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55A1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Este apartado muestra los servicios y procedimientos relacionados con los mismos que presta el Instituto Tecnológico de Canarias.</w:t>
      </w:r>
    </w:p>
    <w:p w14:paraId="6997B749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 </w:t>
      </w:r>
    </w:p>
    <w:p w14:paraId="7C5F5564" w14:textId="77777777" w:rsidR="00AB0D4C" w:rsidRPr="00AB0D4C" w:rsidRDefault="00AB0D4C" w:rsidP="00AB0D4C">
      <w:pPr>
        <w:pStyle w:val="Ttulo3"/>
        <w:shd w:val="clear" w:color="auto" w:fill="FFFFFF"/>
        <w:spacing w:before="300" w:beforeAutospacing="0" w:after="150" w:afterAutospacing="0" w:line="390" w:lineRule="atLeast"/>
        <w:rPr>
          <w:rStyle w:val="s1"/>
          <w:rFonts w:ascii="Montserrat" w:hAnsi="Montserrat"/>
          <w:caps/>
          <w:color w:val="0095F8"/>
          <w:spacing w:val="-4"/>
        </w:rPr>
      </w:pPr>
      <w:r w:rsidRPr="00AB0D4C">
        <w:rPr>
          <w:rStyle w:val="s1"/>
          <w:rFonts w:ascii="Montserrat" w:hAnsi="Montserrat"/>
          <w:caps/>
          <w:color w:val="0095F8"/>
          <w:spacing w:val="-4"/>
        </w:rPr>
        <w:t>Servicios </w:t>
      </w:r>
    </w:p>
    <w:p w14:paraId="705BDBE1" w14:textId="77777777" w:rsidR="00AB0D4C" w:rsidRPr="00AB0D4C" w:rsidRDefault="00AB0D4C" w:rsidP="00AB0D4C">
      <w:pPr>
        <w:pStyle w:val="NormalWeb"/>
        <w:spacing w:before="0" w:after="300"/>
        <w:rPr>
          <w:rFonts w:ascii="Open Sans" w:hAnsi="Open Sans" w:cs="Open Sans"/>
          <w:b/>
          <w:bCs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 </w:t>
      </w:r>
    </w:p>
    <w:p w14:paraId="0F0F3F00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Respecto a los servicios que el ITC presta o puede prestar se pueden clasificar tanto por áreas como por la tipología del destinatario, según se trate de una Administración pública de la cual sea medio propio personificado o si se trata de otro tipo de entidad tanto pública como privada, en el siguiente documento se muestra el Dossier de Servicios del Instituto Tecnológico de Canarias</w:t>
      </w:r>
    </w:p>
    <w:p w14:paraId="56F0AB01" w14:textId="77777777" w:rsidR="00AB0D4C" w:rsidRPr="00AB0D4C" w:rsidRDefault="00AB0D4C" w:rsidP="00AB0D4C">
      <w:pPr>
        <w:pStyle w:val="NormalWeb"/>
        <w:numPr>
          <w:ilvl w:val="0"/>
          <w:numId w:val="11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Catálogo de Servicios del Instituto Tecnológico de Canarias, S.A. (</w:t>
      </w:r>
      <w:hyperlink r:id="rId10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pdf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11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.docx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12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odt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</w:t>
      </w:r>
    </w:p>
    <w:p w14:paraId="69DD348E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 </w:t>
      </w:r>
    </w:p>
    <w:p w14:paraId="66361AB4" w14:textId="77777777" w:rsidR="00AB0D4C" w:rsidRPr="00AB0D4C" w:rsidRDefault="00AB0D4C" w:rsidP="00AB0D4C">
      <w:pPr>
        <w:pStyle w:val="NormalWeb"/>
        <w:spacing w:before="0" w:after="300"/>
        <w:rPr>
          <w:rFonts w:ascii="Open Sans" w:hAnsi="Open Sans" w:cs="Open Sans"/>
          <w:b/>
          <w:bCs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Administración pública de la cual sea medio propio personificado</w:t>
      </w:r>
    </w:p>
    <w:p w14:paraId="44AB538A" w14:textId="77777777" w:rsidR="00AB0D4C" w:rsidRPr="00AB0D4C" w:rsidRDefault="00AB0D4C" w:rsidP="00AB0D4C">
      <w:pPr>
        <w:pStyle w:val="NormalWeb"/>
        <w:numPr>
          <w:ilvl w:val="0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Requisitos y condiciones de acceso a los servicios:</w:t>
      </w:r>
      <w:r w:rsidRPr="00AB0D4C">
        <w:rPr>
          <w:rFonts w:ascii="Open Sans" w:hAnsi="Open Sans" w:cs="Open Sans"/>
          <w:color w:val="333333"/>
          <w:sz w:val="23"/>
          <w:szCs w:val="23"/>
        </w:rPr>
        <w:t> Solicitud mediante el formulario electrónico situado en </w:t>
      </w:r>
      <w:hyperlink r:id="rId13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Contacto (itccanarias.org)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, seleccionando </w:t>
      </w: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Tipo Consulta&gt;Solicitud de Información, Área</w:t>
      </w:r>
      <w:proofErr w:type="gramStart"/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&gt;(</w:t>
      </w:r>
      <w:proofErr w:type="gramEnd"/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elegir área)</w:t>
      </w:r>
      <w:r w:rsidRPr="00AB0D4C">
        <w:rPr>
          <w:rFonts w:ascii="Open Sans" w:hAnsi="Open Sans" w:cs="Open Sans"/>
          <w:color w:val="333333"/>
          <w:sz w:val="23"/>
          <w:szCs w:val="23"/>
        </w:rPr>
        <w:t> y </w:t>
      </w: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Acción&gt;Solicitud de realización de un servicio </w:t>
      </w:r>
      <w:r w:rsidRPr="00AB0D4C">
        <w:rPr>
          <w:rFonts w:ascii="Open Sans" w:hAnsi="Open Sans" w:cs="Open Sans"/>
          <w:color w:val="333333"/>
          <w:sz w:val="23"/>
          <w:szCs w:val="23"/>
        </w:rPr>
        <w:t>e introduciendo la información necesaria para la realización del servicio. Dicha solicitud llegará a la jefatura del departamento del área que corresponda por razón de la materia objeto del encargo/servicio. </w:t>
      </w:r>
    </w:p>
    <w:p w14:paraId="7BB0C167" w14:textId="77777777" w:rsidR="00AB0D4C" w:rsidRPr="00AB0D4C" w:rsidRDefault="00AB0D4C" w:rsidP="00AB0D4C">
      <w:pPr>
        <w:pStyle w:val="NormalWeb"/>
        <w:numPr>
          <w:ilvl w:val="0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Horario:</w:t>
      </w:r>
      <w:r w:rsidRPr="00AB0D4C">
        <w:rPr>
          <w:rFonts w:ascii="Open Sans" w:hAnsi="Open Sans" w:cs="Open Sans"/>
          <w:color w:val="333333"/>
          <w:sz w:val="23"/>
          <w:szCs w:val="23"/>
        </w:rPr>
        <w:t> 8:00 a 15:00</w:t>
      </w:r>
    </w:p>
    <w:p w14:paraId="46F87851" w14:textId="77777777" w:rsidR="00AB0D4C" w:rsidRPr="00AB0D4C" w:rsidRDefault="00AB0D4C" w:rsidP="00AB0D4C">
      <w:pPr>
        <w:pStyle w:val="NormalWeb"/>
        <w:numPr>
          <w:ilvl w:val="0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Tasas:</w:t>
      </w:r>
      <w:r w:rsidRPr="00AB0D4C">
        <w:rPr>
          <w:rFonts w:ascii="Open Sans" w:hAnsi="Open Sans" w:cs="Open Sans"/>
          <w:color w:val="333333"/>
          <w:sz w:val="23"/>
          <w:szCs w:val="23"/>
        </w:rPr>
        <w:t> No se cobran tasas por nuestros servicios</w:t>
      </w:r>
    </w:p>
    <w:p w14:paraId="452C847B" w14:textId="77777777" w:rsidR="00AB0D4C" w:rsidRPr="00AB0D4C" w:rsidRDefault="00AB0D4C" w:rsidP="00AB0D4C">
      <w:pPr>
        <w:pStyle w:val="NormalWeb"/>
        <w:numPr>
          <w:ilvl w:val="0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Tarifas o precios:</w:t>
      </w:r>
    </w:p>
    <w:p w14:paraId="57E34058" w14:textId="77777777" w:rsidR="00AB0D4C" w:rsidRPr="00AB0D4C" w:rsidRDefault="00AB0D4C" w:rsidP="00AB0D4C">
      <w:pPr>
        <w:pStyle w:val="NormalWeb"/>
        <w:numPr>
          <w:ilvl w:val="1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El histórico de tabla de Tarifas aplicables 2020-2024 se muestra en el siguiente archivo (</w:t>
      </w:r>
      <w:hyperlink r:id="rId14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.xlsx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15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ods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</w:t>
      </w:r>
    </w:p>
    <w:p w14:paraId="44284BC2" w14:textId="77777777" w:rsidR="00AB0D4C" w:rsidRPr="00AB0D4C" w:rsidRDefault="00AB0D4C" w:rsidP="00AB0D4C">
      <w:pPr>
        <w:pStyle w:val="NormalWeb"/>
        <w:numPr>
          <w:ilvl w:val="1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Las tarifas aplicables para 2025 se encuentran en los siguientes archivos (</w:t>
      </w:r>
      <w:hyperlink r:id="rId16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pdf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 (</w:t>
      </w:r>
      <w:hyperlink r:id="rId17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.docx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18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odt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</w:t>
      </w:r>
    </w:p>
    <w:p w14:paraId="58EF1882" w14:textId="77777777" w:rsidR="00AB0D4C" w:rsidRPr="00AB0D4C" w:rsidRDefault="00AB0D4C" w:rsidP="00AB0D4C">
      <w:pPr>
        <w:pStyle w:val="NormalWeb"/>
        <w:numPr>
          <w:ilvl w:val="0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lastRenderedPageBreak/>
        <w:t>Lista de espera para acceder a los servicios: </w:t>
      </w:r>
      <w:r w:rsidRPr="00AB0D4C">
        <w:rPr>
          <w:rFonts w:ascii="Open Sans" w:hAnsi="Open Sans" w:cs="Open Sans"/>
          <w:color w:val="333333"/>
          <w:sz w:val="23"/>
          <w:szCs w:val="23"/>
        </w:rPr>
        <w:t>La solicitud de realización de servicio generará una entrada en la lista de espera para acceder a los servicios en el caso de no poder atender inmediatamente la petición. En todo caso, se comunicará a la administración peticionaria su inclusión en dicha lista.</w:t>
      </w:r>
    </w:p>
    <w:p w14:paraId="678C148E" w14:textId="77777777" w:rsidR="00AB0D4C" w:rsidRPr="00AB0D4C" w:rsidRDefault="00AB0D4C" w:rsidP="00AB0D4C">
      <w:pPr>
        <w:pStyle w:val="NormalWeb"/>
        <w:numPr>
          <w:ilvl w:val="1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Lista de espera para acceder a los servicios en el ejercicio 2024 (</w:t>
      </w:r>
      <w:hyperlink r:id="rId19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pdf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 (</w:t>
      </w:r>
      <w:hyperlink r:id="rId20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.docx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21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odt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 </w:t>
      </w:r>
    </w:p>
    <w:p w14:paraId="03FD89EB" w14:textId="77777777" w:rsidR="00AB0D4C" w:rsidRPr="00AB0D4C" w:rsidRDefault="00AB0D4C" w:rsidP="00AB0D4C">
      <w:pPr>
        <w:pStyle w:val="NormalWeb"/>
        <w:numPr>
          <w:ilvl w:val="1"/>
          <w:numId w:val="12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Histórico de lista de espera para acceder a los servicios (</w:t>
      </w:r>
      <w:hyperlink r:id="rId22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.xlsx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23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ods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</w:t>
      </w:r>
    </w:p>
    <w:p w14:paraId="30A0B94A" w14:textId="77777777" w:rsidR="00AB0D4C" w:rsidRPr="00AB0D4C" w:rsidRDefault="00AB0D4C" w:rsidP="00AB0D4C">
      <w:pPr>
        <w:pStyle w:val="NormalWeb"/>
        <w:spacing w:before="0" w:after="300"/>
        <w:rPr>
          <w:rFonts w:ascii="Open Sans" w:hAnsi="Open Sans" w:cs="Open Sans"/>
          <w:b/>
          <w:bCs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 </w:t>
      </w:r>
    </w:p>
    <w:p w14:paraId="20F11936" w14:textId="77777777" w:rsidR="00AB0D4C" w:rsidRPr="00AB0D4C" w:rsidRDefault="00AB0D4C" w:rsidP="00AB0D4C">
      <w:pPr>
        <w:pStyle w:val="NormalWeb"/>
        <w:spacing w:before="0" w:after="300"/>
        <w:rPr>
          <w:rFonts w:ascii="Open Sans" w:hAnsi="Open Sans" w:cs="Open Sans"/>
          <w:b/>
          <w:bCs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Otro tipo de entidad</w:t>
      </w:r>
    </w:p>
    <w:p w14:paraId="5C60F17A" w14:textId="77777777" w:rsidR="00AB0D4C" w:rsidRPr="00AB0D4C" w:rsidRDefault="00AB0D4C" w:rsidP="00AB0D4C">
      <w:pPr>
        <w:pStyle w:val="NormalWeb"/>
        <w:numPr>
          <w:ilvl w:val="0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Requisitos y condiciones de acceso a los servicios: </w:t>
      </w:r>
      <w:r w:rsidRPr="00AB0D4C">
        <w:rPr>
          <w:rFonts w:ascii="Open Sans" w:hAnsi="Open Sans" w:cs="Open Sans"/>
          <w:color w:val="333333"/>
          <w:sz w:val="23"/>
          <w:szCs w:val="23"/>
        </w:rPr>
        <w:t>Solicitud mediante el formulario electrónico situado en </w:t>
      </w:r>
      <w:hyperlink r:id="rId24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Contacto (itccanarias.org)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, seleccionando </w:t>
      </w: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Tipo Consulta&gt;Solicitud de Información, Área</w:t>
      </w:r>
      <w:proofErr w:type="gramStart"/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&gt;(</w:t>
      </w:r>
      <w:proofErr w:type="gramEnd"/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elegir área)</w:t>
      </w:r>
      <w:r w:rsidRPr="00AB0D4C">
        <w:rPr>
          <w:rFonts w:ascii="Open Sans" w:hAnsi="Open Sans" w:cs="Open Sans"/>
          <w:color w:val="333333"/>
          <w:sz w:val="23"/>
          <w:szCs w:val="23"/>
        </w:rPr>
        <w:t> y </w:t>
      </w: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Acción&gt;Solicitud de realización de un servicio </w:t>
      </w:r>
      <w:r w:rsidRPr="00AB0D4C">
        <w:rPr>
          <w:rFonts w:ascii="Open Sans" w:hAnsi="Open Sans" w:cs="Open Sans"/>
          <w:color w:val="333333"/>
          <w:sz w:val="23"/>
          <w:szCs w:val="23"/>
        </w:rPr>
        <w:t>e introduciendo la información necesaria para la realización del servicio. Dicha solicitud llegará a la jefatura del departamento del área que corresponda por razón de la materia objeto del encargo/servicio. </w:t>
      </w:r>
    </w:p>
    <w:p w14:paraId="0E1CAC64" w14:textId="77777777" w:rsidR="00AB0D4C" w:rsidRPr="00AB0D4C" w:rsidRDefault="00AB0D4C" w:rsidP="00AB0D4C">
      <w:pPr>
        <w:pStyle w:val="NormalWeb"/>
        <w:numPr>
          <w:ilvl w:val="0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Horario:</w:t>
      </w:r>
      <w:r w:rsidRPr="00AB0D4C">
        <w:rPr>
          <w:rFonts w:ascii="Open Sans" w:hAnsi="Open Sans" w:cs="Open Sans"/>
          <w:color w:val="333333"/>
          <w:sz w:val="23"/>
          <w:szCs w:val="23"/>
        </w:rPr>
        <w:t> 8:00 a 15:15</w:t>
      </w:r>
    </w:p>
    <w:p w14:paraId="7D0E2E59" w14:textId="77777777" w:rsidR="00AB0D4C" w:rsidRPr="00AB0D4C" w:rsidRDefault="00AB0D4C" w:rsidP="00AB0D4C">
      <w:pPr>
        <w:pStyle w:val="NormalWeb"/>
        <w:numPr>
          <w:ilvl w:val="0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Tasas:</w:t>
      </w:r>
      <w:r w:rsidRPr="00AB0D4C">
        <w:rPr>
          <w:rFonts w:ascii="Open Sans" w:hAnsi="Open Sans" w:cs="Open Sans"/>
          <w:color w:val="333333"/>
          <w:sz w:val="23"/>
          <w:szCs w:val="23"/>
        </w:rPr>
        <w:t> No se cobran tasas por nuestros servicios</w:t>
      </w:r>
    </w:p>
    <w:p w14:paraId="24150B1D" w14:textId="77777777" w:rsidR="00AB0D4C" w:rsidRPr="00AB0D4C" w:rsidRDefault="00AB0D4C" w:rsidP="00AB0D4C">
      <w:pPr>
        <w:pStyle w:val="NormalWeb"/>
        <w:numPr>
          <w:ilvl w:val="0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Tarifas o precios.</w:t>
      </w:r>
      <w:r w:rsidRPr="00AB0D4C">
        <w:rPr>
          <w:rFonts w:ascii="Open Sans" w:hAnsi="Open Sans" w:cs="Open Sans"/>
          <w:color w:val="333333"/>
          <w:sz w:val="23"/>
          <w:szCs w:val="23"/>
        </w:rPr>
        <w:t> Se elaborará por cada servicio una oferta de servicios que recogerá el contenido mínimo del servicio a prestar y el importe global de los mismos, desglosados los impuestos.</w:t>
      </w:r>
    </w:p>
    <w:p w14:paraId="565817E6" w14:textId="77777777" w:rsidR="00AB0D4C" w:rsidRPr="00AB0D4C" w:rsidRDefault="00AB0D4C" w:rsidP="00AB0D4C">
      <w:pPr>
        <w:pStyle w:val="NormalWeb"/>
        <w:numPr>
          <w:ilvl w:val="0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Lista de espera para acceder a los servicios</w:t>
      </w:r>
    </w:p>
    <w:p w14:paraId="0C99AD85" w14:textId="77777777" w:rsidR="00AB0D4C" w:rsidRPr="00AB0D4C" w:rsidRDefault="00AB0D4C" w:rsidP="00AB0D4C">
      <w:pPr>
        <w:pStyle w:val="NormalWeb"/>
        <w:numPr>
          <w:ilvl w:val="1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Lista de espera para acceder a los servicios en el ejercicio 2024 (</w:t>
      </w:r>
      <w:hyperlink r:id="rId25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pdf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 (</w:t>
      </w:r>
      <w:hyperlink r:id="rId26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.docx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27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odt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 </w:t>
      </w:r>
    </w:p>
    <w:p w14:paraId="7EA28E6B" w14:textId="77777777" w:rsidR="00AB0D4C" w:rsidRPr="00AB0D4C" w:rsidRDefault="00AB0D4C" w:rsidP="00AB0D4C">
      <w:pPr>
        <w:pStyle w:val="NormalWeb"/>
        <w:numPr>
          <w:ilvl w:val="1"/>
          <w:numId w:val="13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Histórico de lista de espera para acceder a los servicios (</w:t>
      </w:r>
      <w:hyperlink r:id="rId28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.xlsx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) (</w:t>
      </w:r>
      <w:hyperlink r:id="rId29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ods</w:t>
        </w:r>
        <w:proofErr w:type="spellEnd"/>
      </w:hyperlink>
      <w:r w:rsidRPr="00AB0D4C">
        <w:rPr>
          <w:rFonts w:ascii="Open Sans" w:hAnsi="Open Sans" w:cs="Open Sans"/>
          <w:color w:val="333333"/>
          <w:sz w:val="23"/>
          <w:szCs w:val="23"/>
        </w:rPr>
        <w:t>)</w:t>
      </w:r>
      <w:r w:rsidRPr="00AB0D4C">
        <w:rPr>
          <w:rFonts w:ascii="Open Sans" w:hAnsi="Open Sans" w:cs="Open Sans"/>
          <w:color w:val="333333"/>
          <w:sz w:val="23"/>
          <w:szCs w:val="23"/>
        </w:rPr>
        <w:br/>
        <w:t>  </w:t>
      </w:r>
    </w:p>
    <w:p w14:paraId="3D3EAD89" w14:textId="77777777" w:rsidR="00AB0D4C" w:rsidRPr="00AB0D4C" w:rsidRDefault="00AB0D4C" w:rsidP="00AB0D4C">
      <w:pPr>
        <w:pStyle w:val="NormalWeb"/>
        <w:spacing w:before="0" w:after="30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 </w:t>
      </w:r>
    </w:p>
    <w:p w14:paraId="2894349E" w14:textId="77777777" w:rsidR="00AB0D4C" w:rsidRPr="00AB0D4C" w:rsidRDefault="00AB0D4C" w:rsidP="00AB0D4C">
      <w:pPr>
        <w:pStyle w:val="Ttulo3"/>
        <w:shd w:val="clear" w:color="auto" w:fill="FFFFFF"/>
        <w:spacing w:before="300" w:beforeAutospacing="0" w:after="150" w:afterAutospacing="0" w:line="390" w:lineRule="atLeast"/>
        <w:rPr>
          <w:rStyle w:val="s1"/>
          <w:rFonts w:ascii="Montserrat" w:hAnsi="Montserrat"/>
          <w:caps/>
          <w:color w:val="0095F8"/>
          <w:spacing w:val="-4"/>
        </w:rPr>
      </w:pPr>
      <w:r w:rsidRPr="00AB0D4C">
        <w:rPr>
          <w:rStyle w:val="s1"/>
          <w:rFonts w:ascii="Montserrat" w:hAnsi="Montserrat"/>
          <w:caps/>
          <w:color w:val="0095F8"/>
          <w:spacing w:val="-4"/>
        </w:rPr>
        <w:t>Procedimientos</w:t>
      </w:r>
    </w:p>
    <w:p w14:paraId="58B34EB0" w14:textId="77777777" w:rsidR="00AB0D4C" w:rsidRPr="00AB0D4C" w:rsidRDefault="00AB0D4C" w:rsidP="00AB0D4C">
      <w:pPr>
        <w:pStyle w:val="NormalWeb"/>
        <w:spacing w:before="0" w:after="300"/>
        <w:rPr>
          <w:rFonts w:ascii="Open Sans" w:hAnsi="Open Sans" w:cs="Open Sans"/>
          <w:b/>
          <w:bCs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lastRenderedPageBreak/>
        <w:t> </w:t>
      </w:r>
    </w:p>
    <w:p w14:paraId="71DEA61A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Catálogo de procedimientos, incluyendo los de carácter tributario en su caso, con indicación de los que estén disponibles en formato electrónico</w:t>
      </w:r>
    </w:p>
    <w:p w14:paraId="0597306E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No existe catálogo de procedimientos.</w:t>
      </w:r>
    </w:p>
    <w:p w14:paraId="14299E8A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Procedimiento para la presentación de quejas y reclamaciones sobre el funcionamiento de los servicios prestados por el ITC  </w:t>
      </w:r>
    </w:p>
    <w:p w14:paraId="1BB3DEEA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 xml:space="preserve">El sistema de gestión de las quejas, reclamaciones o sugerencia del ITC para la evaluación y mejora de la calidad de sus productos y </w:t>
      </w:r>
      <w:proofErr w:type="gramStart"/>
      <w:r w:rsidRPr="00AB0D4C">
        <w:rPr>
          <w:rFonts w:ascii="Open Sans" w:hAnsi="Open Sans" w:cs="Open Sans"/>
          <w:color w:val="333333"/>
          <w:sz w:val="23"/>
          <w:szCs w:val="23"/>
        </w:rPr>
        <w:t>servicios,</w:t>
      </w:r>
      <w:proofErr w:type="gramEnd"/>
      <w:r w:rsidRPr="00AB0D4C">
        <w:rPr>
          <w:rFonts w:ascii="Open Sans" w:hAnsi="Open Sans" w:cs="Open Sans"/>
          <w:color w:val="333333"/>
          <w:sz w:val="23"/>
          <w:szCs w:val="23"/>
        </w:rPr>
        <w:t xml:space="preserve"> está ajustado a un procedimiento en el que se puede encontrar una definición de lo que es cada modalidad, los medios a través de los cuales se puede presentar al ITC una queja, reclamación o sugerencia, los plazos y la forma de funcionamiento del sistema.</w:t>
      </w:r>
    </w:p>
    <w:p w14:paraId="5E7B751F" w14:textId="77777777" w:rsidR="00AB0D4C" w:rsidRPr="00AB0D4C" w:rsidRDefault="00AB0D4C" w:rsidP="00AB0D4C">
      <w:pPr>
        <w:pStyle w:val="NormalWeb"/>
        <w:numPr>
          <w:ilvl w:val="0"/>
          <w:numId w:val="14"/>
        </w:numPr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Procedimiento de Quejas, Reclamaciones y Sugerencias respecto a los servicios del ITC</w:t>
      </w:r>
      <w:hyperlink r:id="rId30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 (.docx)</w:t>
        </w:r>
      </w:hyperlink>
      <w:hyperlink r:id="rId31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 (.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odt</w:t>
        </w:r>
        <w:proofErr w:type="spellEnd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)</w:t>
        </w:r>
      </w:hyperlink>
    </w:p>
    <w:p w14:paraId="4149165B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Número de reclamaciones y número o proporción de aceptadas o resueltas a favor de los interesados</w:t>
      </w:r>
    </w:p>
    <w:p w14:paraId="2BEB70B5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El Instituto Tecnológico de Canarias no ha recibido ninguna queja, reclamación o sugerencia sobre los servicios ofrecidos, por lo que no contamos con información estadística al respecto.</w:t>
      </w:r>
    </w:p>
    <w:p w14:paraId="024FACD2" w14:textId="77777777" w:rsidR="00AB0D4C" w:rsidRPr="00AB0D4C" w:rsidRDefault="00AB0D4C" w:rsidP="00AB0D4C">
      <w:pPr>
        <w:pStyle w:val="NormalWeb"/>
        <w:numPr>
          <w:ilvl w:val="0"/>
          <w:numId w:val="15"/>
        </w:numPr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Histórico ejercicios 2019-2024 del número de quejas, reclamaciones y sugerencias </w:t>
      </w:r>
      <w:hyperlink r:id="rId32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(.xlsx)</w:t>
        </w:r>
      </w:hyperlink>
      <w:r w:rsidRPr="00AB0D4C">
        <w:rPr>
          <w:rFonts w:ascii="Open Sans" w:hAnsi="Open Sans" w:cs="Open Sans"/>
          <w:color w:val="333333"/>
          <w:sz w:val="23"/>
          <w:szCs w:val="23"/>
        </w:rPr>
        <w:t> </w:t>
      </w:r>
      <w:hyperlink r:id="rId33" w:tgtFrame="_blank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(.</w:t>
        </w:r>
        <w:proofErr w:type="spellStart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ods</w:t>
        </w:r>
        <w:proofErr w:type="spellEnd"/>
        <w:r w:rsidRPr="00AB0D4C">
          <w:rPr>
            <w:rStyle w:val="Hipervnculo"/>
            <w:rFonts w:ascii="Open Sans" w:hAnsi="Open Sans" w:cs="Open Sans"/>
            <w:sz w:val="23"/>
            <w:szCs w:val="23"/>
          </w:rPr>
          <w:t>)</w:t>
        </w:r>
      </w:hyperlink>
    </w:p>
    <w:p w14:paraId="45A59854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Canal interno de información de la Ley 2/2023 y principios esenciales del procedimiento de gestión</w:t>
      </w:r>
    </w:p>
    <w:p w14:paraId="7CD1B684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El canal interno de información de la Ley 2/2023 está en proceso de integración dentro del Canal Ético y de denuncias del ITC  </w:t>
      </w:r>
      <w:hyperlink r:id="rId34" w:history="1">
        <w:r w:rsidRPr="00AB0D4C">
          <w:rPr>
            <w:rStyle w:val="Hipervnculo"/>
            <w:rFonts w:ascii="Open Sans" w:hAnsi="Open Sans" w:cs="Open Sans"/>
            <w:sz w:val="23"/>
            <w:szCs w:val="23"/>
          </w:rPr>
          <w:t>https://www.itccanarias.org/web/es/canal-etico</w:t>
        </w:r>
      </w:hyperlink>
    </w:p>
    <w:p w14:paraId="1453DB4B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color w:val="333333"/>
          <w:sz w:val="23"/>
          <w:szCs w:val="23"/>
        </w:rPr>
        <w:t> </w:t>
      </w:r>
    </w:p>
    <w:p w14:paraId="7010911A" w14:textId="77777777" w:rsidR="00AB0D4C" w:rsidRPr="00AB0D4C" w:rsidRDefault="00AB0D4C" w:rsidP="00AB0D4C">
      <w:pPr>
        <w:pStyle w:val="NormalWeb"/>
        <w:rPr>
          <w:rFonts w:ascii="Open Sans" w:hAnsi="Open Sans" w:cs="Open Sans"/>
          <w:color w:val="333333"/>
          <w:sz w:val="23"/>
          <w:szCs w:val="23"/>
        </w:rPr>
      </w:pP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Fecha de Actualización</w:t>
      </w:r>
      <w:r w:rsidRPr="00AB0D4C">
        <w:rPr>
          <w:rFonts w:ascii="Open Sans" w:hAnsi="Open Sans" w:cs="Open Sans"/>
          <w:color w:val="333333"/>
          <w:sz w:val="23"/>
          <w:szCs w:val="23"/>
        </w:rPr>
        <w:t>: 17 de marzo de 2025</w:t>
      </w:r>
      <w:r w:rsidRPr="00AB0D4C">
        <w:rPr>
          <w:rFonts w:ascii="Open Sans" w:hAnsi="Open Sans" w:cs="Open Sans"/>
          <w:color w:val="333333"/>
          <w:sz w:val="23"/>
          <w:szCs w:val="23"/>
        </w:rPr>
        <w:br/>
      </w: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Periodicidad: </w:t>
      </w:r>
      <w:r w:rsidRPr="00AB0D4C">
        <w:rPr>
          <w:rFonts w:ascii="Open Sans" w:hAnsi="Open Sans" w:cs="Open Sans"/>
          <w:color w:val="333333"/>
          <w:sz w:val="23"/>
          <w:szCs w:val="23"/>
        </w:rPr>
        <w:t>Anual</w:t>
      </w:r>
      <w:r w:rsidRPr="00AB0D4C">
        <w:rPr>
          <w:rFonts w:ascii="Open Sans" w:hAnsi="Open Sans" w:cs="Open Sans"/>
          <w:color w:val="333333"/>
          <w:sz w:val="23"/>
          <w:szCs w:val="23"/>
        </w:rPr>
        <w:br/>
      </w:r>
      <w:r w:rsidRPr="00AB0D4C">
        <w:rPr>
          <w:rFonts w:ascii="Open Sans" w:hAnsi="Open Sans" w:cs="Open Sans"/>
          <w:b/>
          <w:bCs/>
          <w:color w:val="333333"/>
          <w:sz w:val="23"/>
          <w:szCs w:val="23"/>
        </w:rPr>
        <w:t>Tipo de información:</w:t>
      </w:r>
      <w:r w:rsidRPr="00AB0D4C">
        <w:rPr>
          <w:rFonts w:ascii="Open Sans" w:hAnsi="Open Sans" w:cs="Open Sans"/>
          <w:color w:val="333333"/>
          <w:sz w:val="23"/>
          <w:szCs w:val="23"/>
        </w:rPr>
        <w:t> Servicios y Procedimientos.</w:t>
      </w:r>
    </w:p>
    <w:p w14:paraId="7277A629" w14:textId="6186EAF2" w:rsidR="00C8667E" w:rsidRPr="00B732BF" w:rsidRDefault="00C8667E" w:rsidP="00AB0D4C">
      <w:pPr>
        <w:pStyle w:val="NormalWeb"/>
        <w:shd w:val="clear" w:color="auto" w:fill="FFFFFF"/>
        <w:spacing w:before="0" w:beforeAutospacing="0" w:after="300" w:afterAutospacing="0"/>
      </w:pPr>
    </w:p>
    <w:sectPr w:rsidR="00C8667E" w:rsidRPr="00B732BF" w:rsidSect="0080777A">
      <w:headerReference w:type="default" r:id="rId35"/>
      <w:pgSz w:w="11906" w:h="16838"/>
      <w:pgMar w:top="2268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6EF5" w14:textId="77777777" w:rsidR="002E20EE" w:rsidRDefault="002E20EE" w:rsidP="003453D9">
      <w:pPr>
        <w:spacing w:after="0" w:line="240" w:lineRule="auto"/>
      </w:pPr>
      <w:r>
        <w:separator/>
      </w:r>
    </w:p>
  </w:endnote>
  <w:endnote w:type="continuationSeparator" w:id="0">
    <w:p w14:paraId="2A3F98A7" w14:textId="77777777" w:rsidR="002E20EE" w:rsidRDefault="002E20EE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ABB0" w14:textId="77777777" w:rsidR="002E20EE" w:rsidRDefault="002E20EE" w:rsidP="003453D9">
      <w:pPr>
        <w:spacing w:after="0" w:line="240" w:lineRule="auto"/>
      </w:pPr>
      <w:r>
        <w:separator/>
      </w:r>
    </w:p>
  </w:footnote>
  <w:footnote w:type="continuationSeparator" w:id="0">
    <w:p w14:paraId="6B57B4F6" w14:textId="77777777" w:rsidR="002E20EE" w:rsidRDefault="002E20EE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68FB" w14:textId="6221312B" w:rsidR="003453D9" w:rsidRDefault="003453D9">
    <w:pPr>
      <w:pStyle w:val="Encabezado"/>
    </w:pPr>
  </w:p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3453D9" w14:paraId="721DE9DF" w14:textId="77777777" w:rsidTr="0080777A">
      <w:trPr>
        <w:trHeight w:val="835"/>
      </w:trPr>
      <w:tc>
        <w:tcPr>
          <w:tcW w:w="3975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37" name="Imagen 37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4D256D8" w14:textId="77777777" w:rsidR="003453D9" w:rsidRPr="00F45F47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49C0FFC" w14:textId="49590572" w:rsidR="00F45F47" w:rsidRPr="003453D9" w:rsidRDefault="00AB0D4C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SERVICIOS Y PROCEDIMIENTOS</w:t>
          </w:r>
        </w:p>
      </w:tc>
    </w:tr>
  </w:tbl>
  <w:p w14:paraId="79FF7433" w14:textId="09AE5FA8" w:rsidR="003453D9" w:rsidRDefault="00345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39D7"/>
    <w:multiLevelType w:val="multilevel"/>
    <w:tmpl w:val="6CC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658A"/>
    <w:multiLevelType w:val="multilevel"/>
    <w:tmpl w:val="37B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4A8C"/>
    <w:multiLevelType w:val="multilevel"/>
    <w:tmpl w:val="505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D5E9D"/>
    <w:multiLevelType w:val="multilevel"/>
    <w:tmpl w:val="F19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605E6"/>
    <w:multiLevelType w:val="multilevel"/>
    <w:tmpl w:val="D2C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B52F8"/>
    <w:multiLevelType w:val="multilevel"/>
    <w:tmpl w:val="96E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92F0D"/>
    <w:multiLevelType w:val="multilevel"/>
    <w:tmpl w:val="628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8609B"/>
    <w:multiLevelType w:val="multilevel"/>
    <w:tmpl w:val="BEE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B7094"/>
    <w:multiLevelType w:val="multilevel"/>
    <w:tmpl w:val="5B2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846D1"/>
    <w:multiLevelType w:val="multilevel"/>
    <w:tmpl w:val="E0F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D45C0"/>
    <w:multiLevelType w:val="multilevel"/>
    <w:tmpl w:val="4E5C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D77B4"/>
    <w:multiLevelType w:val="multilevel"/>
    <w:tmpl w:val="FD7A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60512"/>
    <w:multiLevelType w:val="multilevel"/>
    <w:tmpl w:val="485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83FE3"/>
    <w:multiLevelType w:val="multilevel"/>
    <w:tmpl w:val="7044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62D46"/>
    <w:multiLevelType w:val="multilevel"/>
    <w:tmpl w:val="166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147831">
    <w:abstractNumId w:val="7"/>
  </w:num>
  <w:num w:numId="2" w16cid:durableId="113451630">
    <w:abstractNumId w:val="1"/>
  </w:num>
  <w:num w:numId="3" w16cid:durableId="100297307">
    <w:abstractNumId w:val="5"/>
  </w:num>
  <w:num w:numId="4" w16cid:durableId="500507214">
    <w:abstractNumId w:val="3"/>
  </w:num>
  <w:num w:numId="5" w16cid:durableId="136652792">
    <w:abstractNumId w:val="13"/>
  </w:num>
  <w:num w:numId="6" w16cid:durableId="629746306">
    <w:abstractNumId w:val="6"/>
  </w:num>
  <w:num w:numId="7" w16cid:durableId="909071654">
    <w:abstractNumId w:val="11"/>
  </w:num>
  <w:num w:numId="8" w16cid:durableId="1030842140">
    <w:abstractNumId w:val="2"/>
  </w:num>
  <w:num w:numId="9" w16cid:durableId="1523860618">
    <w:abstractNumId w:val="4"/>
  </w:num>
  <w:num w:numId="10" w16cid:durableId="1465540555">
    <w:abstractNumId w:val="14"/>
  </w:num>
  <w:num w:numId="11" w16cid:durableId="1045562104">
    <w:abstractNumId w:val="10"/>
  </w:num>
  <w:num w:numId="12" w16cid:durableId="1532302049">
    <w:abstractNumId w:val="0"/>
  </w:num>
  <w:num w:numId="13" w16cid:durableId="1374844417">
    <w:abstractNumId w:val="12"/>
  </w:num>
  <w:num w:numId="14" w16cid:durableId="489832564">
    <w:abstractNumId w:val="9"/>
  </w:num>
  <w:num w:numId="15" w16cid:durableId="28219924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D9"/>
    <w:rsid w:val="00111D7A"/>
    <w:rsid w:val="001B4872"/>
    <w:rsid w:val="001C6FC4"/>
    <w:rsid w:val="002D59B0"/>
    <w:rsid w:val="002E20EE"/>
    <w:rsid w:val="003453D9"/>
    <w:rsid w:val="003676FE"/>
    <w:rsid w:val="003E2CE3"/>
    <w:rsid w:val="005074CC"/>
    <w:rsid w:val="00537F1E"/>
    <w:rsid w:val="00540D04"/>
    <w:rsid w:val="005921ED"/>
    <w:rsid w:val="006242CE"/>
    <w:rsid w:val="00642FBF"/>
    <w:rsid w:val="0068227D"/>
    <w:rsid w:val="00746DEA"/>
    <w:rsid w:val="007F44D5"/>
    <w:rsid w:val="0080777A"/>
    <w:rsid w:val="00873F2C"/>
    <w:rsid w:val="00964374"/>
    <w:rsid w:val="00966FAD"/>
    <w:rsid w:val="00977C40"/>
    <w:rsid w:val="009D48C6"/>
    <w:rsid w:val="00A1265C"/>
    <w:rsid w:val="00AB0D4C"/>
    <w:rsid w:val="00AC0EC7"/>
    <w:rsid w:val="00B732BF"/>
    <w:rsid w:val="00C8667E"/>
    <w:rsid w:val="00D8268B"/>
    <w:rsid w:val="00D82CD5"/>
    <w:rsid w:val="00DF5824"/>
    <w:rsid w:val="00E00B04"/>
    <w:rsid w:val="00EE08B3"/>
    <w:rsid w:val="00EE735B"/>
    <w:rsid w:val="00F175CB"/>
    <w:rsid w:val="00F23945"/>
    <w:rsid w:val="00F33F68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B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ccanarias.org/web/es/contacto" TargetMode="External"/><Relationship Id="rId18" Type="http://schemas.openxmlformats.org/officeDocument/2006/relationships/hyperlink" Target="https://www.itccanarias.org/web/images/itc/TR-SER-Orden_de_Tarifas_463_2024.odt" TargetMode="External"/><Relationship Id="rId26" Type="http://schemas.openxmlformats.org/officeDocument/2006/relationships/hyperlink" Target="https://www.itccanarias.org/web/images/itc/TR-SER-2024_-_Lista_Espera_Servicios_Entidade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ccanarias.org/web/images/itc/TR-SER-2024_-_Lista_Espera_Servicios_AAPP.odt" TargetMode="External"/><Relationship Id="rId34" Type="http://schemas.openxmlformats.org/officeDocument/2006/relationships/hyperlink" Target="https://www.itccanarias.org/web/es/canal-etic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ccanarias.org/web/images/itc/TR-INS-Servicios_ITC_2022.odt" TargetMode="External"/><Relationship Id="rId17" Type="http://schemas.openxmlformats.org/officeDocument/2006/relationships/hyperlink" Target="https://www.itccanarias.org/web/images/itc/TR-SER-Orden_de_Tarifas_463_2024.docx" TargetMode="External"/><Relationship Id="rId25" Type="http://schemas.openxmlformats.org/officeDocument/2006/relationships/hyperlink" Target="https://www.itccanarias.org/web/images/itc/TR-SER-2024_-_Lista_Espera_Servicios_Entidades.pdf" TargetMode="External"/><Relationship Id="rId33" Type="http://schemas.openxmlformats.org/officeDocument/2006/relationships/hyperlink" Target="https://www.itccanarias.org/web/images/itc/TR-SER-NMERO_QUEJAS_RECLAMACIONES_SUGERENCIAS_311224.o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ccanarias.org/web/images/itc/TR-SER-Orden_de_Tarifas_463_2024.pdf" TargetMode="External"/><Relationship Id="rId20" Type="http://schemas.openxmlformats.org/officeDocument/2006/relationships/hyperlink" Target="https://www.itccanarias.org/web/images/itc/TR-SER-2024_-_Lista_Espera_Servicios_AAPP.docx" TargetMode="External"/><Relationship Id="rId29" Type="http://schemas.openxmlformats.org/officeDocument/2006/relationships/hyperlink" Target="https://www.itccanarias.org/web/images/itc/TR-SER-LISTA_ESPERA_PARA_ACCEDER_SERVICIOS_Entidades_2024.od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ccanarias.org/web/images/itc/TR-INS-Servicios_ITC_2022.docx" TargetMode="External"/><Relationship Id="rId24" Type="http://schemas.openxmlformats.org/officeDocument/2006/relationships/hyperlink" Target="https://www.itccanarias.org/web/es/contacto" TargetMode="External"/><Relationship Id="rId32" Type="http://schemas.openxmlformats.org/officeDocument/2006/relationships/hyperlink" Target="https://www.itccanarias.org/web/images/itc/TR-SER-NMERO_QUEJAS_RECLAMACIONES_SUGERENCIAS_311224.xlsx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ccanarias.org/web/images/itc/TR-SER-Tabla_Tarifas_-_Orden_de_Tarifas.ods" TargetMode="External"/><Relationship Id="rId23" Type="http://schemas.openxmlformats.org/officeDocument/2006/relationships/hyperlink" Target="https://www.itccanarias.org/web/images/itc/TR-SER-LISTA_ESPERA_PARA_ACCEDER_SERVICIOS_AAPP_2024.ods" TargetMode="External"/><Relationship Id="rId28" Type="http://schemas.openxmlformats.org/officeDocument/2006/relationships/hyperlink" Target="https://www.itccanarias.org/web/images/itc/TR-SER-LISTA_ESPERA_PARA_ACCEDER_SERVICIOS_Entidades_2024.xls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ccanarias.org/web/images/itc/TR-INS-Servicios_ITC_2022.pdf" TargetMode="External"/><Relationship Id="rId19" Type="http://schemas.openxmlformats.org/officeDocument/2006/relationships/hyperlink" Target="https://www.itccanarias.org/web/images/itc/TR-SER-2024_-_Lista_Espera_Servicios_AAPP.pdf" TargetMode="External"/><Relationship Id="rId31" Type="http://schemas.openxmlformats.org/officeDocument/2006/relationships/hyperlink" Target="https://www.itccanarias.org/web/images/itc/TR-SER-Procedimiento_de_Quejas_Reclamaciones_y_Sugerencias_ITC.od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ccanarias.org/web/images/itc/TR-SER-Tabla_Tarifas_-_Orden_de_Tarifas.xlsx" TargetMode="External"/><Relationship Id="rId22" Type="http://schemas.openxmlformats.org/officeDocument/2006/relationships/hyperlink" Target="https://www.itccanarias.org/web/images/itc/TR-SER-LISTA_ESPERA_PARA_ACCEDER_SERVICIOS_AAPP_2024.xlsx" TargetMode="External"/><Relationship Id="rId27" Type="http://schemas.openxmlformats.org/officeDocument/2006/relationships/hyperlink" Target="https://www.itccanarias.org/web/images/itc/TR-SER-2024_-_Lista_Espera_Servicios_Entidades.odt" TargetMode="External"/><Relationship Id="rId30" Type="http://schemas.openxmlformats.org/officeDocument/2006/relationships/hyperlink" Target="https://www.itccanarias.org/web/images/itc/TR-SER-Procedimiento_de_Quejas_Reclamaciones_y_Sugerencias_ITC.docx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2024</Ejercicio>
    <Secci_x00f3_n xmlns="048b7169-8466-4a4e-b90e-b1878ed5b7d9">01. Institucional</Secci_x00f3_n>
    <Contenido_x0020_Activo xmlns="048b7169-8466-4a4e-b90e-b1878ed5b7d9">
      <Value>Sí</Value>
    </Contenido_x0020_Activo>
    <Categor_x00ed_a xmlns="048b7169-8466-4a4e-b90e-b1878ed5b7d9">Transparencia</Categor_x00ed_a>
    <Revisi_x00f3_n xmlns="048b7169-8466-4a4e-b90e-b1878ed5b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94C65-F728-4007-8F84-B5D8C471A5C2}">
  <ds:schemaRefs>
    <ds:schemaRef ds:uri="http://purl.org/dc/terms/"/>
    <ds:schemaRef ds:uri="6cd6409b-00de-4330-8a8c-4a7321b1351d"/>
    <ds:schemaRef ds:uri="http://purl.org/dc/dcmitype/"/>
    <ds:schemaRef ds:uri="http://schemas.microsoft.com/office/infopath/2007/PartnerControls"/>
    <ds:schemaRef ds:uri="048b7169-8466-4a4e-b90e-b1878ed5b7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DE6D16-980C-4616-92B2-7E407876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7169-8466-4a4e-b90e-b1878ed5b7d9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CF55B-C313-4587-9541-7B5F31621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Ramón García Déniz</cp:lastModifiedBy>
  <cp:revision>3</cp:revision>
  <dcterms:created xsi:type="dcterms:W3CDTF">2024-02-29T10:30:00Z</dcterms:created>
  <dcterms:modified xsi:type="dcterms:W3CDTF">2025-04-09T14:59:00Z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</Properties>
</file>