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7660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Este apartado muestra los servicios y procedimientos relacionados con los mismos que presta el Instituto Tecnológico de Canarias.</w:t>
      </w:r>
    </w:p>
    <w:p w14:paraId="168D01C4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3A897B38" w14:textId="77777777" w:rsidR="001C0A67" w:rsidRDefault="001C0A67" w:rsidP="001C0A67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Style w:val="Textoennegrita"/>
          <w:rFonts w:ascii="Montserrat" w:hAnsi="Montserrat"/>
          <w:b/>
          <w:bCs/>
          <w:caps/>
          <w:color w:val="0095F8"/>
          <w:spacing w:val="-4"/>
        </w:rPr>
        <w:t>SERVICIOS </w:t>
      </w:r>
    </w:p>
    <w:p w14:paraId="4748E3F7" w14:textId="77777777" w:rsidR="001C0A67" w:rsidRDefault="001C0A67" w:rsidP="001C0A67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 </w:t>
      </w:r>
    </w:p>
    <w:p w14:paraId="525E65A7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Respecto a los servicios que el ITC presta o puede prestar el ITC se pueden clasificar tanto por áreas como por la tipología del destinatario, según se trate de una Administración pública de la cual sea medio propio personificado o si se trata de otro tipo de entidad tanto pública como privada, en el siguiente documento se muestra el Dossier de Servicios del Instituto Tecnológico de Canarias</w:t>
      </w:r>
    </w:p>
    <w:p w14:paraId="0A6E993A" w14:textId="77777777" w:rsidR="001C0A67" w:rsidRDefault="001C0A67" w:rsidP="001C0A6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Catálogo de Servicios del Instituto Tecnológico de Canarias, S.A. (</w:t>
      </w:r>
      <w:hyperlink r:id="rId7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.docx</w:t>
        </w:r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8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4FF90C94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206460AF" w14:textId="77777777" w:rsidR="001C0A67" w:rsidRDefault="001C0A67" w:rsidP="001C0A67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Administración pública de la cual sea medio propio personificado</w:t>
      </w:r>
    </w:p>
    <w:p w14:paraId="45DDE806" w14:textId="77777777" w:rsidR="001C0A67" w:rsidRDefault="001C0A67" w:rsidP="001C0A6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Requisitos y condiciones de acceso a los servicios:</w:t>
      </w:r>
      <w:r>
        <w:rPr>
          <w:rFonts w:ascii="Open Sans" w:hAnsi="Open Sans" w:cs="Open Sans"/>
          <w:color w:val="333333"/>
          <w:sz w:val="23"/>
          <w:szCs w:val="23"/>
        </w:rPr>
        <w:t> Solicitud por correo electrónico de servicio a la jefatura del departamento del área que corresponda por razón de la materia objeto del encargo/servicio, y en el caso que se desconozca al correo electrónico: </w:t>
      </w:r>
      <w:hyperlink r:id="rId9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oficina@itccanarias.org</w:t>
        </w:r>
      </w:hyperlink>
      <w:r>
        <w:rPr>
          <w:rFonts w:ascii="Open Sans" w:hAnsi="Open Sans" w:cs="Open Sans"/>
          <w:color w:val="333333"/>
          <w:sz w:val="23"/>
          <w:szCs w:val="23"/>
        </w:rPr>
        <w:t>, que en función del área redireccionará a la jefatura de departamento correspondiente.</w:t>
      </w:r>
    </w:p>
    <w:p w14:paraId="6D1B0ED6" w14:textId="77777777" w:rsidR="001C0A67" w:rsidRDefault="001C0A67" w:rsidP="001C0A6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Horario:</w:t>
      </w:r>
      <w:r>
        <w:rPr>
          <w:rFonts w:ascii="Open Sans" w:hAnsi="Open Sans" w:cs="Open Sans"/>
          <w:color w:val="333333"/>
          <w:sz w:val="23"/>
          <w:szCs w:val="23"/>
        </w:rPr>
        <w:t> 8:00 a 15:15</w:t>
      </w:r>
    </w:p>
    <w:p w14:paraId="42150DB8" w14:textId="77777777" w:rsidR="001C0A67" w:rsidRDefault="001C0A67" w:rsidP="001C0A6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Tasas:</w:t>
      </w:r>
      <w:r>
        <w:rPr>
          <w:rFonts w:ascii="Open Sans" w:hAnsi="Open Sans" w:cs="Open Sans"/>
          <w:color w:val="333333"/>
          <w:sz w:val="23"/>
          <w:szCs w:val="23"/>
        </w:rPr>
        <w:t> No se cobran tasas por nuestros servicios</w:t>
      </w:r>
    </w:p>
    <w:p w14:paraId="3CBC2DED" w14:textId="77777777" w:rsidR="001C0A67" w:rsidRDefault="001C0A67" w:rsidP="001C0A6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Tarifas o precios:</w:t>
      </w:r>
      <w:r>
        <w:rPr>
          <w:rFonts w:ascii="Open Sans" w:hAnsi="Open Sans" w:cs="Open Sans"/>
          <w:color w:val="333333"/>
          <w:sz w:val="23"/>
          <w:szCs w:val="23"/>
        </w:rPr>
        <w:t> Se adjunta la </w:t>
      </w:r>
      <w:hyperlink r:id="rId10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Orden por la que se aprueban las Tarifas aplicables a las actuaciones a realizar durante el ejercicio 2020 por la Sociedad Mercantil Pública “Instituto Tecnológico de Canarias, S.A.” (ITC), como medio propio instrumental de la Administración Pública de la Comunidad Autónoma de Canarias y los Organismos autónomos dependientes de ella (.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  <w:proofErr w:type="spellEnd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)</w:t>
        </w:r>
      </w:hyperlink>
    </w:p>
    <w:p w14:paraId="1A3AAE06" w14:textId="77777777" w:rsidR="001C0A67" w:rsidRDefault="001C0A67" w:rsidP="001C0A6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Lista de espera para acceder a los servicios:</w:t>
      </w:r>
      <w:r>
        <w:rPr>
          <w:rFonts w:ascii="Open Sans" w:hAnsi="Open Sans" w:cs="Open Sans"/>
          <w:color w:val="333333"/>
          <w:sz w:val="23"/>
          <w:szCs w:val="23"/>
        </w:rPr>
        <w:t> No hay lista de espera para acceder a los servicios. </w:t>
      </w:r>
    </w:p>
    <w:p w14:paraId="5832D63F" w14:textId="77777777" w:rsidR="001C0A67" w:rsidRDefault="001C0A67" w:rsidP="001C0A67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 </w:t>
      </w:r>
    </w:p>
    <w:p w14:paraId="31522653" w14:textId="77777777" w:rsidR="001C0A67" w:rsidRDefault="001C0A67" w:rsidP="001C0A67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Style w:val="Textoennegrita"/>
          <w:rFonts w:ascii="Arial" w:hAnsi="Arial" w:cs="Arial"/>
          <w:b/>
          <w:bCs/>
          <w:color w:val="333333"/>
          <w:sz w:val="26"/>
          <w:szCs w:val="26"/>
        </w:rPr>
        <w:t>Otro tipo de entidad</w:t>
      </w:r>
    </w:p>
    <w:p w14:paraId="37950629" w14:textId="77777777" w:rsidR="001C0A67" w:rsidRDefault="001C0A67" w:rsidP="001C0A6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lastRenderedPageBreak/>
        <w:t>Requisitos y condiciones de acceso a los servicios: </w:t>
      </w:r>
      <w:r>
        <w:rPr>
          <w:rFonts w:ascii="Open Sans" w:hAnsi="Open Sans" w:cs="Open Sans"/>
          <w:color w:val="333333"/>
          <w:sz w:val="23"/>
          <w:szCs w:val="23"/>
        </w:rPr>
        <w:t>Solicitud por correo electrónico de servicio a la jefatura del departamento del área que corresponda por razón de la materia objeto del encargo/servicio, y en el caso que se desconozca al correo electrónico: </w:t>
      </w:r>
      <w:hyperlink r:id="rId11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oficina@itccanarias.org</w:t>
        </w:r>
      </w:hyperlink>
      <w:r>
        <w:rPr>
          <w:rFonts w:ascii="Open Sans" w:hAnsi="Open Sans" w:cs="Open Sans"/>
          <w:color w:val="333333"/>
          <w:sz w:val="23"/>
          <w:szCs w:val="23"/>
        </w:rPr>
        <w:t>, que en función del área redireccionará a la jefatura de departamento correspondiente.</w:t>
      </w:r>
    </w:p>
    <w:p w14:paraId="6B1A1BB9" w14:textId="77777777" w:rsidR="001C0A67" w:rsidRDefault="001C0A67" w:rsidP="001C0A6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Horario:</w:t>
      </w:r>
      <w:r>
        <w:rPr>
          <w:rFonts w:ascii="Open Sans" w:hAnsi="Open Sans" w:cs="Open Sans"/>
          <w:color w:val="333333"/>
          <w:sz w:val="23"/>
          <w:szCs w:val="23"/>
        </w:rPr>
        <w:t> 8:00 a 15:15</w:t>
      </w:r>
    </w:p>
    <w:p w14:paraId="63A67753" w14:textId="77777777" w:rsidR="001C0A67" w:rsidRDefault="001C0A67" w:rsidP="001C0A6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Tasas:</w:t>
      </w:r>
      <w:r>
        <w:rPr>
          <w:rFonts w:ascii="Open Sans" w:hAnsi="Open Sans" w:cs="Open Sans"/>
          <w:color w:val="333333"/>
          <w:sz w:val="23"/>
          <w:szCs w:val="23"/>
        </w:rPr>
        <w:t> No se cobran tasas por nuestros servicios</w:t>
      </w:r>
    </w:p>
    <w:p w14:paraId="043C9362" w14:textId="77777777" w:rsidR="001C0A67" w:rsidRDefault="001C0A67" w:rsidP="001C0A6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Tarifas o precios.</w:t>
      </w:r>
      <w:r>
        <w:rPr>
          <w:rFonts w:ascii="Open Sans" w:hAnsi="Open Sans" w:cs="Open Sans"/>
          <w:color w:val="333333"/>
          <w:sz w:val="23"/>
          <w:szCs w:val="23"/>
        </w:rPr>
        <w:t> Se elaborará por cada servicio una oferta de servicios que recogerá el contenido mínimo del servicio a prestar y el importe global de los mismos, desglosados los impuestos.</w:t>
      </w:r>
    </w:p>
    <w:p w14:paraId="22EEBD1E" w14:textId="77777777" w:rsidR="001C0A67" w:rsidRDefault="001C0A67" w:rsidP="001C0A6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Lista de espera para acceder a los servicios:</w:t>
      </w:r>
      <w:r>
        <w:rPr>
          <w:rFonts w:ascii="Open Sans" w:hAnsi="Open Sans" w:cs="Open Sans"/>
          <w:color w:val="333333"/>
          <w:sz w:val="23"/>
          <w:szCs w:val="23"/>
        </w:rPr>
        <w:t> No hay lista de espera para acceder a los servicios.</w:t>
      </w:r>
      <w:r>
        <w:rPr>
          <w:rFonts w:ascii="Open Sans" w:hAnsi="Open Sans" w:cs="Open Sans"/>
          <w:color w:val="333333"/>
          <w:sz w:val="23"/>
          <w:szCs w:val="23"/>
        </w:rPr>
        <w:br/>
        <w:t>  </w:t>
      </w:r>
    </w:p>
    <w:p w14:paraId="3BD9E950" w14:textId="77777777" w:rsidR="001C0A67" w:rsidRDefault="001C0A67" w:rsidP="001C0A67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Fonts w:ascii="Montserrat" w:hAnsi="Montserrat"/>
          <w:b w:val="0"/>
          <w:bCs w:val="0"/>
          <w:caps/>
          <w:color w:val="0095F8"/>
          <w:spacing w:val="-4"/>
        </w:rPr>
        <w:t> </w:t>
      </w:r>
    </w:p>
    <w:p w14:paraId="31D86B7E" w14:textId="77777777" w:rsidR="001C0A67" w:rsidRDefault="001C0A67" w:rsidP="001C0A67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Style w:val="Textoennegrita"/>
          <w:rFonts w:ascii="Montserrat" w:hAnsi="Montserrat"/>
          <w:b/>
          <w:bCs/>
          <w:caps/>
          <w:color w:val="0095F8"/>
          <w:spacing w:val="-4"/>
        </w:rPr>
        <w:t>PROCEDIMIENTOS</w:t>
      </w:r>
    </w:p>
    <w:p w14:paraId="56A09AE9" w14:textId="77777777" w:rsidR="001C0A67" w:rsidRDefault="001C0A67" w:rsidP="001C0A67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 </w:t>
      </w:r>
    </w:p>
    <w:p w14:paraId="6A63CA30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Catálogo de procedimientos, incluyendo los de carácter tributario en su caso, con indicación de los que estén disponibles en formato electrónico</w:t>
      </w:r>
    </w:p>
    <w:p w14:paraId="115082B6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No existe catálogo de procedimientos.</w:t>
      </w:r>
    </w:p>
    <w:p w14:paraId="58B3297A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Procedimiento para la presentación de quejas y reclamaciones sobre el funcionamiento del servicio.  </w:t>
      </w:r>
    </w:p>
    <w:p w14:paraId="6C4B1159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 xml:space="preserve">El sistema de gestión de las quejas, reclamaciones o sugerencia del ITC para la evaluación y mejora de la calidad de sus productos y 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t>servicios,</w:t>
      </w:r>
      <w:proofErr w:type="gramEnd"/>
      <w:r>
        <w:rPr>
          <w:rFonts w:ascii="Tahoma" w:hAnsi="Tahoma" w:cs="Tahoma"/>
          <w:color w:val="333333"/>
          <w:sz w:val="23"/>
          <w:szCs w:val="23"/>
        </w:rPr>
        <w:t xml:space="preserve"> está ajustado a un procedimiento en el que se puede encontrar una definición de lo que es cada modalidad, los medios a través de los cuales se puede presentar al ITC una queja, reclamación o sugerencia, los plazos y la forma de funcionamiento del sistema.</w:t>
      </w:r>
    </w:p>
    <w:p w14:paraId="16E56FFB" w14:textId="77777777" w:rsidR="001C0A67" w:rsidRDefault="001C0A67" w:rsidP="001C0A67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Procedimiento de Quejas, Reclamaciones y Sugerencias ITC 2020</w:t>
      </w:r>
      <w:hyperlink r:id="rId12" w:history="1">
        <w:r>
          <w:rPr>
            <w:rStyle w:val="Hipervnculo"/>
            <w:rFonts w:ascii="Tahoma" w:hAnsi="Tahoma" w:cs="Tahoma"/>
            <w:color w:val="009FE3"/>
            <w:sz w:val="23"/>
            <w:szCs w:val="23"/>
          </w:rPr>
          <w:t> (.docx)</w:t>
        </w:r>
      </w:hyperlink>
      <w:hyperlink r:id="rId13" w:history="1">
        <w:r>
          <w:rPr>
            <w:rStyle w:val="Hipervnculo"/>
            <w:rFonts w:ascii="Tahoma" w:hAnsi="Tahoma" w:cs="Tahoma"/>
            <w:color w:val="009FE3"/>
            <w:sz w:val="23"/>
            <w:szCs w:val="23"/>
          </w:rPr>
          <w:t> (.</w:t>
        </w:r>
        <w:proofErr w:type="spellStart"/>
        <w:r>
          <w:rPr>
            <w:rStyle w:val="Hipervnculo"/>
            <w:rFonts w:ascii="Tahoma" w:hAnsi="Tahoma" w:cs="Tahoma"/>
            <w:color w:val="009FE3"/>
            <w:sz w:val="23"/>
            <w:szCs w:val="23"/>
          </w:rPr>
          <w:t>odt</w:t>
        </w:r>
        <w:proofErr w:type="spellEnd"/>
        <w:r>
          <w:rPr>
            <w:rStyle w:val="Hipervnculo"/>
            <w:rFonts w:ascii="Tahoma" w:hAnsi="Tahoma" w:cs="Tahoma"/>
            <w:color w:val="009FE3"/>
            <w:sz w:val="23"/>
            <w:szCs w:val="23"/>
          </w:rPr>
          <w:t>)</w:t>
        </w:r>
      </w:hyperlink>
    </w:p>
    <w:p w14:paraId="7B05B258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Tahoma" w:hAnsi="Tahoma" w:cs="Tahoma"/>
          <w:b/>
          <w:bCs/>
          <w:color w:val="333333"/>
          <w:sz w:val="23"/>
          <w:szCs w:val="23"/>
        </w:rPr>
        <w:t>Número de reclamaciones y número o proporción de aceptadas o resueltas a favor de los interesados.</w:t>
      </w:r>
    </w:p>
    <w:p w14:paraId="2497C2B8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El Instituto Tecnológico de Canarias no ha recibido ninguna queja, reclamación o sugerencia, por lo que contamos con información estadística al respecto.</w:t>
      </w:r>
    </w:p>
    <w:p w14:paraId="6D15E448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7BE39D62" w14:textId="77777777" w:rsidR="001C0A67" w:rsidRDefault="001C0A67" w:rsidP="001C0A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lastRenderedPageBreak/>
        <w:t>Fecha de Actualización</w:t>
      </w:r>
      <w:r>
        <w:rPr>
          <w:rFonts w:ascii="Open Sans" w:hAnsi="Open Sans" w:cs="Open Sans"/>
          <w:color w:val="333333"/>
          <w:sz w:val="23"/>
          <w:szCs w:val="23"/>
        </w:rPr>
        <w:t>: 27 de octubre de 2021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Periodicidad: </w:t>
      </w:r>
      <w:r>
        <w:rPr>
          <w:rFonts w:ascii="Open Sans" w:hAnsi="Open Sans" w:cs="Open Sans"/>
          <w:color w:val="333333"/>
          <w:sz w:val="23"/>
          <w:szCs w:val="23"/>
        </w:rPr>
        <w:t>Anual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Tipo de información:</w:t>
      </w:r>
      <w:r>
        <w:rPr>
          <w:rFonts w:ascii="Open Sans" w:hAnsi="Open Sans" w:cs="Open Sans"/>
          <w:color w:val="333333"/>
          <w:sz w:val="23"/>
          <w:szCs w:val="23"/>
        </w:rPr>
        <w:t> Servicios y Procedimientos.</w:t>
      </w:r>
    </w:p>
    <w:p w14:paraId="2BC05F0C" w14:textId="67284301" w:rsidR="007F44D5" w:rsidRPr="001C0A67" w:rsidRDefault="007F44D5" w:rsidP="001C0A67"/>
    <w:sectPr w:rsidR="007F44D5" w:rsidRPr="001C0A67" w:rsidSect="003453D9">
      <w:headerReference w:type="default" r:id="rId14"/>
      <w:pgSz w:w="11906" w:h="16838"/>
      <w:pgMar w:top="198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62C7" w14:textId="77777777" w:rsidR="00DF5824" w:rsidRDefault="00DF5824" w:rsidP="003453D9">
      <w:pPr>
        <w:spacing w:after="0" w:line="240" w:lineRule="auto"/>
      </w:pPr>
      <w:r>
        <w:separator/>
      </w:r>
    </w:p>
  </w:endnote>
  <w:endnote w:type="continuationSeparator" w:id="0">
    <w:p w14:paraId="15DC4347" w14:textId="77777777" w:rsidR="00DF5824" w:rsidRDefault="00DF5824" w:rsidP="003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CE5F" w14:textId="77777777" w:rsidR="00DF5824" w:rsidRDefault="00DF5824" w:rsidP="003453D9">
      <w:pPr>
        <w:spacing w:after="0" w:line="240" w:lineRule="auto"/>
      </w:pPr>
      <w:r>
        <w:separator/>
      </w:r>
    </w:p>
  </w:footnote>
  <w:footnote w:type="continuationSeparator" w:id="0">
    <w:p w14:paraId="56D5A197" w14:textId="77777777" w:rsidR="00DF5824" w:rsidRDefault="00DF5824" w:rsidP="0034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68FB" w14:textId="6221312B" w:rsidR="003453D9" w:rsidRDefault="003453D9">
    <w:pPr>
      <w:pStyle w:val="Encabezado"/>
    </w:pPr>
  </w:p>
  <w:tbl>
    <w:tblPr>
      <w:tblStyle w:val="Tablaconcuadrcula"/>
      <w:tblW w:w="1006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6"/>
      <w:gridCol w:w="5559"/>
    </w:tblGrid>
    <w:tr w:rsidR="003453D9" w14:paraId="721DE9DF" w14:textId="77777777" w:rsidTr="003453D9">
      <w:trPr>
        <w:trHeight w:val="835"/>
      </w:trPr>
      <w:tc>
        <w:tcPr>
          <w:tcW w:w="4506" w:type="dxa"/>
          <w:vAlign w:val="center"/>
        </w:tcPr>
        <w:p w14:paraId="78CDA767" w14:textId="0D78716A" w:rsidR="003453D9" w:rsidRDefault="003453D9" w:rsidP="003453D9">
          <w:pPr>
            <w:pStyle w:val="Encabezado"/>
          </w:pPr>
          <w:r w:rsidRPr="003453D9">
            <w:rPr>
              <w:rFonts w:ascii="Montserrat" w:eastAsia="Times New Roman" w:hAnsi="Montserrat" w:cs="Open Sans"/>
              <w:noProof/>
              <w:color w:val="009FE3"/>
              <w:kern w:val="36"/>
              <w:sz w:val="36"/>
              <w:szCs w:val="36"/>
              <w:lang w:eastAsia="es-ES"/>
            </w:rPr>
            <w:drawing>
              <wp:inline distT="0" distB="0" distL="0" distR="0" wp14:anchorId="60A3963E" wp14:editId="572DA44C">
                <wp:extent cx="2264636" cy="356098"/>
                <wp:effectExtent l="0" t="0" r="2540" b="6350"/>
                <wp:docPr id="16" name="Imagen 16" descr="Instituto Tecnológico de Canaria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Tecnológico de Canaria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39" cy="359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9" w:type="dxa"/>
          <w:vAlign w:val="center"/>
        </w:tcPr>
        <w:p w14:paraId="049C0FFC" w14:textId="3FA13006" w:rsidR="003453D9" w:rsidRPr="003453D9" w:rsidRDefault="003453D9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</w:pPr>
          <w:r w:rsidRPr="00A1265C"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  <w:t>PORTAL DE TRANSPARENCIA</w:t>
          </w:r>
        </w:p>
      </w:tc>
    </w:tr>
  </w:tbl>
  <w:p w14:paraId="79FF7433" w14:textId="09AE5FA8" w:rsidR="003453D9" w:rsidRDefault="003453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E2E"/>
    <w:multiLevelType w:val="multilevel"/>
    <w:tmpl w:val="E076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1DC2"/>
    <w:multiLevelType w:val="multilevel"/>
    <w:tmpl w:val="9E62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05495"/>
    <w:multiLevelType w:val="multilevel"/>
    <w:tmpl w:val="3C6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E4751"/>
    <w:multiLevelType w:val="multilevel"/>
    <w:tmpl w:val="8A50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72341"/>
    <w:multiLevelType w:val="multilevel"/>
    <w:tmpl w:val="6AA6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01541"/>
    <w:multiLevelType w:val="multilevel"/>
    <w:tmpl w:val="011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12A72"/>
    <w:multiLevelType w:val="multilevel"/>
    <w:tmpl w:val="0CBA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A0DFB"/>
    <w:multiLevelType w:val="multilevel"/>
    <w:tmpl w:val="2786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041B"/>
    <w:multiLevelType w:val="multilevel"/>
    <w:tmpl w:val="6A7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624C9"/>
    <w:multiLevelType w:val="multilevel"/>
    <w:tmpl w:val="FD84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3412D"/>
    <w:multiLevelType w:val="multilevel"/>
    <w:tmpl w:val="59BE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6345C"/>
    <w:multiLevelType w:val="multilevel"/>
    <w:tmpl w:val="F908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1237F"/>
    <w:multiLevelType w:val="multilevel"/>
    <w:tmpl w:val="E11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663DE"/>
    <w:multiLevelType w:val="multilevel"/>
    <w:tmpl w:val="09BA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B7B6D"/>
    <w:multiLevelType w:val="multilevel"/>
    <w:tmpl w:val="C47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76FF1"/>
    <w:multiLevelType w:val="multilevel"/>
    <w:tmpl w:val="816C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07955"/>
    <w:multiLevelType w:val="multilevel"/>
    <w:tmpl w:val="2256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4448F"/>
    <w:multiLevelType w:val="multilevel"/>
    <w:tmpl w:val="ED04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5834B8"/>
    <w:multiLevelType w:val="multilevel"/>
    <w:tmpl w:val="6672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857A75"/>
    <w:multiLevelType w:val="multilevel"/>
    <w:tmpl w:val="3BA2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F81B0E"/>
    <w:multiLevelType w:val="multilevel"/>
    <w:tmpl w:val="554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0D5C88"/>
    <w:multiLevelType w:val="multilevel"/>
    <w:tmpl w:val="225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02CFC"/>
    <w:multiLevelType w:val="multilevel"/>
    <w:tmpl w:val="F638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505F0"/>
    <w:multiLevelType w:val="multilevel"/>
    <w:tmpl w:val="D16E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1E6299"/>
    <w:multiLevelType w:val="multilevel"/>
    <w:tmpl w:val="B57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BF0D5D"/>
    <w:multiLevelType w:val="multilevel"/>
    <w:tmpl w:val="C61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8613B"/>
    <w:multiLevelType w:val="multilevel"/>
    <w:tmpl w:val="9E9C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0D7296"/>
    <w:multiLevelType w:val="multilevel"/>
    <w:tmpl w:val="4DEE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6D3915"/>
    <w:multiLevelType w:val="multilevel"/>
    <w:tmpl w:val="306C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5F1F03"/>
    <w:multiLevelType w:val="multilevel"/>
    <w:tmpl w:val="F52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A35DE"/>
    <w:multiLevelType w:val="hybridMultilevel"/>
    <w:tmpl w:val="70D41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77C8C"/>
    <w:multiLevelType w:val="multilevel"/>
    <w:tmpl w:val="CDC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CD0DAB"/>
    <w:multiLevelType w:val="multilevel"/>
    <w:tmpl w:val="31CC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869B0"/>
    <w:multiLevelType w:val="multilevel"/>
    <w:tmpl w:val="C5B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AC583E"/>
    <w:multiLevelType w:val="multilevel"/>
    <w:tmpl w:val="FA4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D3D17"/>
    <w:multiLevelType w:val="multilevel"/>
    <w:tmpl w:val="99B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370C31"/>
    <w:multiLevelType w:val="multilevel"/>
    <w:tmpl w:val="D23C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D44945"/>
    <w:multiLevelType w:val="multilevel"/>
    <w:tmpl w:val="284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50657C"/>
    <w:multiLevelType w:val="multilevel"/>
    <w:tmpl w:val="3366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257C7"/>
    <w:multiLevelType w:val="multilevel"/>
    <w:tmpl w:val="908E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800DA"/>
    <w:multiLevelType w:val="multilevel"/>
    <w:tmpl w:val="93CE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D72B9E"/>
    <w:multiLevelType w:val="multilevel"/>
    <w:tmpl w:val="F57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E36544"/>
    <w:multiLevelType w:val="multilevel"/>
    <w:tmpl w:val="69C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55F29"/>
    <w:multiLevelType w:val="multilevel"/>
    <w:tmpl w:val="C2C8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7C1E1B"/>
    <w:multiLevelType w:val="multilevel"/>
    <w:tmpl w:val="4FBE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B20F30"/>
    <w:multiLevelType w:val="multilevel"/>
    <w:tmpl w:val="CB2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311259"/>
    <w:multiLevelType w:val="multilevel"/>
    <w:tmpl w:val="1B7C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6"/>
  </w:num>
  <w:num w:numId="3">
    <w:abstractNumId w:val="37"/>
  </w:num>
  <w:num w:numId="4">
    <w:abstractNumId w:val="9"/>
  </w:num>
  <w:num w:numId="5">
    <w:abstractNumId w:val="33"/>
  </w:num>
  <w:num w:numId="6">
    <w:abstractNumId w:val="12"/>
  </w:num>
  <w:num w:numId="7">
    <w:abstractNumId w:val="22"/>
  </w:num>
  <w:num w:numId="8">
    <w:abstractNumId w:val="3"/>
  </w:num>
  <w:num w:numId="9">
    <w:abstractNumId w:val="32"/>
  </w:num>
  <w:num w:numId="10">
    <w:abstractNumId w:val="34"/>
  </w:num>
  <w:num w:numId="11">
    <w:abstractNumId w:val="36"/>
  </w:num>
  <w:num w:numId="12">
    <w:abstractNumId w:val="15"/>
  </w:num>
  <w:num w:numId="13">
    <w:abstractNumId w:val="25"/>
  </w:num>
  <w:num w:numId="14">
    <w:abstractNumId w:val="39"/>
  </w:num>
  <w:num w:numId="15">
    <w:abstractNumId w:val="19"/>
  </w:num>
  <w:num w:numId="16">
    <w:abstractNumId w:val="17"/>
  </w:num>
  <w:num w:numId="17">
    <w:abstractNumId w:val="16"/>
  </w:num>
  <w:num w:numId="18">
    <w:abstractNumId w:val="21"/>
  </w:num>
  <w:num w:numId="19">
    <w:abstractNumId w:val="28"/>
  </w:num>
  <w:num w:numId="20">
    <w:abstractNumId w:val="4"/>
  </w:num>
  <w:num w:numId="21">
    <w:abstractNumId w:val="30"/>
  </w:num>
  <w:num w:numId="22">
    <w:abstractNumId w:val="1"/>
  </w:num>
  <w:num w:numId="23">
    <w:abstractNumId w:val="38"/>
  </w:num>
  <w:num w:numId="24">
    <w:abstractNumId w:val="5"/>
  </w:num>
  <w:num w:numId="25">
    <w:abstractNumId w:val="23"/>
  </w:num>
  <w:num w:numId="26">
    <w:abstractNumId w:val="11"/>
  </w:num>
  <w:num w:numId="27">
    <w:abstractNumId w:val="14"/>
  </w:num>
  <w:num w:numId="28">
    <w:abstractNumId w:val="40"/>
  </w:num>
  <w:num w:numId="29">
    <w:abstractNumId w:val="31"/>
  </w:num>
  <w:num w:numId="30">
    <w:abstractNumId w:val="24"/>
  </w:num>
  <w:num w:numId="31">
    <w:abstractNumId w:val="7"/>
  </w:num>
  <w:num w:numId="32">
    <w:abstractNumId w:val="18"/>
  </w:num>
  <w:num w:numId="33">
    <w:abstractNumId w:val="20"/>
  </w:num>
  <w:num w:numId="34">
    <w:abstractNumId w:val="35"/>
  </w:num>
  <w:num w:numId="35">
    <w:abstractNumId w:val="0"/>
  </w:num>
  <w:num w:numId="36">
    <w:abstractNumId w:val="6"/>
  </w:num>
  <w:num w:numId="37">
    <w:abstractNumId w:val="41"/>
  </w:num>
  <w:num w:numId="38">
    <w:abstractNumId w:val="29"/>
  </w:num>
  <w:num w:numId="39">
    <w:abstractNumId w:val="8"/>
  </w:num>
  <w:num w:numId="40">
    <w:abstractNumId w:val="45"/>
  </w:num>
  <w:num w:numId="41">
    <w:abstractNumId w:val="42"/>
  </w:num>
  <w:num w:numId="42">
    <w:abstractNumId w:val="10"/>
  </w:num>
  <w:num w:numId="43">
    <w:abstractNumId w:val="44"/>
  </w:num>
  <w:num w:numId="44">
    <w:abstractNumId w:val="43"/>
  </w:num>
  <w:num w:numId="45">
    <w:abstractNumId w:val="13"/>
  </w:num>
  <w:num w:numId="46">
    <w:abstractNumId w:val="4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9"/>
    <w:rsid w:val="001C0A67"/>
    <w:rsid w:val="003453D9"/>
    <w:rsid w:val="0037571C"/>
    <w:rsid w:val="005921ED"/>
    <w:rsid w:val="006242CE"/>
    <w:rsid w:val="00642FBF"/>
    <w:rsid w:val="0068227D"/>
    <w:rsid w:val="007A540C"/>
    <w:rsid w:val="007F44D5"/>
    <w:rsid w:val="00964374"/>
    <w:rsid w:val="00A1265C"/>
    <w:rsid w:val="00AC0EC7"/>
    <w:rsid w:val="00C8667E"/>
    <w:rsid w:val="00DF5824"/>
    <w:rsid w:val="00E00B04"/>
    <w:rsid w:val="00E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0E7"/>
  <w15:chartTrackingRefBased/>
  <w15:docId w15:val="{2C9718A5-4CD5-496C-89C6-23F48BE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5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45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45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3D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453D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53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item-106">
    <w:name w:val="item-10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453D9"/>
    <w:rPr>
      <w:color w:val="0000FF"/>
      <w:u w:val="single"/>
    </w:rPr>
  </w:style>
  <w:style w:type="paragraph" w:customStyle="1" w:styleId="item-103">
    <w:name w:val="item-10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7">
    <w:name w:val="item-10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abel">
    <w:name w:val="label"/>
    <w:basedOn w:val="Fuentedeprrafopredeter"/>
    <w:rsid w:val="003453D9"/>
  </w:style>
  <w:style w:type="paragraph" w:customStyle="1" w:styleId="item-323">
    <w:name w:val="item-3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5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5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sp-menu-item">
    <w:name w:val="sp-menu-item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e">
    <w:name w:val="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1">
    <w:name w:val="p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3453D9"/>
  </w:style>
  <w:style w:type="character" w:styleId="Textoennegrita">
    <w:name w:val="Strong"/>
    <w:basedOn w:val="Fuentedeprrafopredeter"/>
    <w:uiPriority w:val="22"/>
    <w:qFormat/>
    <w:rsid w:val="003453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2">
    <w:name w:val="p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3">
    <w:name w:val="p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3453D9"/>
  </w:style>
  <w:style w:type="paragraph" w:customStyle="1" w:styleId="p4">
    <w:name w:val="p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4">
    <w:name w:val="item-10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5">
    <w:name w:val="item-10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209">
    <w:name w:val="item-209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45">
    <w:name w:val="item-14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6">
    <w:name w:val="item-35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4">
    <w:name w:val="item-35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8">
    <w:name w:val="item-358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-copyright">
    <w:name w:val="sp-copyright"/>
    <w:basedOn w:val="Fuentedeprrafopredeter"/>
    <w:rsid w:val="003453D9"/>
  </w:style>
  <w:style w:type="paragraph" w:customStyle="1" w:styleId="item-101">
    <w:name w:val="item-10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12">
    <w:name w:val="item-11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23">
    <w:name w:val="item-1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74">
    <w:name w:val="item-17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67">
    <w:name w:val="item-16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ng-active">
    <w:name w:val="lang-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3D9"/>
  </w:style>
  <w:style w:type="paragraph" w:styleId="Piedepgina">
    <w:name w:val="footer"/>
    <w:basedOn w:val="Normal"/>
    <w:link w:val="Piedepgina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D9"/>
  </w:style>
  <w:style w:type="table" w:styleId="Tablaconcuadrcula">
    <w:name w:val="Table Grid"/>
    <w:basedOn w:val="Tablanormal"/>
    <w:uiPriority w:val="39"/>
    <w:rsid w:val="0034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866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C86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82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63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461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4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2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0147">
                                  <w:marLeft w:val="0"/>
                                  <w:marRight w:val="0"/>
                                  <w:marTop w:val="45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034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697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none" w:sz="0" w:space="0" w:color="auto"/>
            <w:right w:val="none" w:sz="0" w:space="0" w:color="auto"/>
          </w:divBdr>
          <w:divsChild>
            <w:div w:id="596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ccanarias.org/web/images/itc/TR-INS-Servicios_ITC.odt" TargetMode="External"/><Relationship Id="rId13" Type="http://schemas.openxmlformats.org/officeDocument/2006/relationships/hyperlink" Target="https://www.itccanarias.org/web/images/itc/TR-SER-Procedimiento_de_Quejas_Reclamaciones_y_Sugerencias_ITC_2020.od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ccanarias.org/web/images/itc/TR-INS-Servicios_ITC.docx" TargetMode="External"/><Relationship Id="rId12" Type="http://schemas.openxmlformats.org/officeDocument/2006/relationships/hyperlink" Target="https://www.itccanarias.org/web/images/itc/TR-SER-Procedimiento_de_Quejas_Reclamaciones_y_Sugerencias_ITC_2020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icina@itccanaria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ccanarias.org/web/images/itc/TR-SER-Orden_de_tarifas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icina@itccanarias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ccanarias.org/we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3516</Characters>
  <Application>Microsoft Office Word</Application>
  <DocSecurity>0</DocSecurity>
  <Lines>78</Lines>
  <Paragraphs>30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García</dc:creator>
  <cp:keywords/>
  <dc:description/>
  <cp:lastModifiedBy>Ramón García</cp:lastModifiedBy>
  <cp:revision>3</cp:revision>
  <dcterms:created xsi:type="dcterms:W3CDTF">2021-10-28T08:48:00Z</dcterms:created>
  <dcterms:modified xsi:type="dcterms:W3CDTF">2021-11-05T12:45:00Z</dcterms:modified>
</cp:coreProperties>
</file>