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EAB61" w14:textId="77777777" w:rsidR="00F72420" w:rsidRDefault="00F72420" w:rsidP="00F72420">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Este apartado recoge información relativa a todas las retribuciones que se abonan o se podrían abonar por parte del ITC, bien sea a los miembros del Consejo de Administración, personal de libre nombramiento, o al personal del ITC, tanto el directivo como no directivo, y el sujeto al </w:t>
      </w:r>
      <w:hyperlink r:id="rId7" w:tgtFrame="_blank" w:history="1">
        <w:r>
          <w:rPr>
            <w:rStyle w:val="Hipervnculo"/>
            <w:rFonts w:ascii="Open Sans" w:hAnsi="Open Sans" w:cs="Open Sans"/>
            <w:color w:val="009FE3"/>
            <w:sz w:val="23"/>
            <w:szCs w:val="23"/>
          </w:rPr>
          <w:t>Convenio Colectivo del ITC</w:t>
        </w:r>
      </w:hyperlink>
      <w:r>
        <w:rPr>
          <w:rFonts w:ascii="Open Sans" w:hAnsi="Open Sans" w:cs="Open Sans"/>
          <w:color w:val="333333"/>
          <w:sz w:val="23"/>
          <w:szCs w:val="23"/>
        </w:rPr>
        <w:t>.</w:t>
      </w:r>
    </w:p>
    <w:p w14:paraId="4AE16647" w14:textId="77777777" w:rsidR="00F72420" w:rsidRDefault="00F72420" w:rsidP="00F72420">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Fonts w:ascii="Cambria" w:hAnsi="Cambria" w:cs="Cambria"/>
          <w:b w:val="0"/>
          <w:bCs w:val="0"/>
          <w:caps/>
          <w:color w:val="0095F8"/>
          <w:spacing w:val="-4"/>
        </w:rPr>
        <w:t> </w:t>
      </w:r>
    </w:p>
    <w:p w14:paraId="441D9AEB" w14:textId="77777777" w:rsidR="00F72420" w:rsidRDefault="00F72420" w:rsidP="00F72420">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t>RETRIBUCIONES</w:t>
      </w:r>
      <w:r>
        <w:rPr>
          <w:rStyle w:val="Textoennegrita"/>
          <w:rFonts w:ascii="Cambria" w:hAnsi="Cambria" w:cs="Cambria"/>
          <w:b/>
          <w:bCs/>
          <w:caps/>
          <w:color w:val="0095F8"/>
          <w:spacing w:val="-4"/>
        </w:rPr>
        <w:t> </w:t>
      </w:r>
      <w:r>
        <w:rPr>
          <w:rFonts w:ascii="Montserrat" w:hAnsi="Montserrat"/>
          <w:b w:val="0"/>
          <w:bCs w:val="0"/>
          <w:caps/>
          <w:color w:val="0095F8"/>
          <w:spacing w:val="-4"/>
        </w:rPr>
        <w:t>(.DOCX) (.</w:t>
      </w:r>
      <w:proofErr w:type="spellStart"/>
      <w:r>
        <w:rPr>
          <w:rFonts w:ascii="Montserrat" w:hAnsi="Montserrat"/>
          <w:b w:val="0"/>
          <w:bCs w:val="0"/>
          <w:caps/>
          <w:color w:val="0095F8"/>
          <w:spacing w:val="-4"/>
        </w:rPr>
        <w:t>ODT</w:t>
      </w:r>
      <w:proofErr w:type="spellEnd"/>
      <w:r>
        <w:rPr>
          <w:rFonts w:ascii="Montserrat" w:hAnsi="Montserrat"/>
          <w:b w:val="0"/>
          <w:bCs w:val="0"/>
          <w:caps/>
          <w:color w:val="0095F8"/>
          <w:spacing w:val="-4"/>
        </w:rPr>
        <w:t>)</w:t>
      </w:r>
      <w:r>
        <w:rPr>
          <w:rFonts w:ascii="Cambria" w:hAnsi="Cambria" w:cs="Cambria"/>
          <w:b w:val="0"/>
          <w:bCs w:val="0"/>
          <w:caps/>
          <w:color w:val="0095F8"/>
          <w:spacing w:val="-4"/>
        </w:rPr>
        <w:t> </w:t>
      </w:r>
    </w:p>
    <w:p w14:paraId="3ECD0B87" w14:textId="77777777" w:rsidR="00F72420" w:rsidRDefault="00F72420" w:rsidP="00F72420">
      <w:pPr>
        <w:pStyle w:val="Ttulo4"/>
        <w:shd w:val="clear" w:color="auto" w:fill="FFFFFF"/>
        <w:spacing w:before="150" w:after="150"/>
        <w:rPr>
          <w:rFonts w:ascii="Open Sans" w:hAnsi="Open Sans" w:cs="Open Sans"/>
          <w:b/>
          <w:bCs/>
          <w:color w:val="333333"/>
          <w:sz w:val="26"/>
          <w:szCs w:val="26"/>
        </w:rPr>
      </w:pPr>
      <w:r>
        <w:rPr>
          <w:rFonts w:ascii="Open Sans" w:hAnsi="Open Sans" w:cs="Open Sans"/>
          <w:color w:val="333333"/>
          <w:sz w:val="26"/>
          <w:szCs w:val="26"/>
        </w:rPr>
        <w:t> </w:t>
      </w:r>
    </w:p>
    <w:p w14:paraId="5B4011EF" w14:textId="77777777" w:rsidR="00F72420" w:rsidRDefault="00F72420" w:rsidP="00F72420">
      <w:pPr>
        <w:pStyle w:val="Ttulo4"/>
        <w:shd w:val="clear" w:color="auto" w:fill="FFFFFF"/>
        <w:spacing w:before="150" w:after="150"/>
        <w:rPr>
          <w:rFonts w:ascii="Open Sans" w:hAnsi="Open Sans" w:cs="Open Sans"/>
          <w:color w:val="333333"/>
          <w:sz w:val="26"/>
          <w:szCs w:val="26"/>
        </w:rPr>
      </w:pPr>
      <w:r>
        <w:rPr>
          <w:rStyle w:val="Textoennegrita"/>
          <w:rFonts w:ascii="Open Sans" w:hAnsi="Open Sans" w:cs="Open Sans"/>
          <w:b w:val="0"/>
          <w:bCs w:val="0"/>
          <w:color w:val="333333"/>
          <w:sz w:val="26"/>
          <w:szCs w:val="26"/>
        </w:rPr>
        <w:t>Retribución de los Miembros del Consejo de Administración </w:t>
      </w:r>
    </w:p>
    <w:p w14:paraId="43FCDA23" w14:textId="77777777" w:rsidR="00F72420" w:rsidRDefault="00F72420" w:rsidP="00F72420">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cargo de Consejero/a es un cargo no retribuido salvo por las cuantías por asistencia a los consejos que pudieran corresponderles. El artículo 52 del </w:t>
      </w:r>
      <w:hyperlink r:id="rId8" w:tgtFrame="_blank" w:history="1">
        <w:r>
          <w:rPr>
            <w:rStyle w:val="Hipervnculo"/>
            <w:rFonts w:ascii="Open Sans" w:hAnsi="Open Sans" w:cs="Open Sans"/>
            <w:color w:val="009FE3"/>
            <w:sz w:val="23"/>
            <w:szCs w:val="23"/>
          </w:rPr>
          <w:t>Decreto 251/1997 de 30 de Septiembre de 1997</w:t>
        </w:r>
      </w:hyperlink>
      <w:r>
        <w:rPr>
          <w:rFonts w:ascii="Open Sans" w:hAnsi="Open Sans" w:cs="Open Sans"/>
          <w:color w:val="333333"/>
          <w:sz w:val="23"/>
          <w:szCs w:val="23"/>
        </w:rPr>
        <w:t> por el que se aprueba el reglamento de indemnizaciones por razón del servicio, establece que </w:t>
      </w:r>
      <w:r>
        <w:rPr>
          <w:rStyle w:val="nfasis"/>
          <w:rFonts w:ascii="Open Sans" w:hAnsi="Open Sans" w:cs="Open Sans"/>
          <w:color w:val="333333"/>
          <w:sz w:val="23"/>
          <w:szCs w:val="23"/>
        </w:rPr>
        <w:t>“los altos cargos y el personal al servicio de la Administración Pública autonómica no percibirán indemnización por el concepto de asistencia a reuniones de órganos sociales de las entidades jurídico privadas participadas por la Administración Pública autonómica que se celebren íntegramente dentro de la jornada de trabajo establecida reglamentariamente”</w:t>
      </w:r>
      <w:r>
        <w:rPr>
          <w:rFonts w:ascii="Open Sans" w:hAnsi="Open Sans" w:cs="Open Sans"/>
          <w:color w:val="333333"/>
          <w:sz w:val="23"/>
          <w:szCs w:val="23"/>
        </w:rPr>
        <w:t> y dado que todos los miembros del Consejo de Administración son altos cargos al servicio de la Administración Pública autonómica y los Consejos de Administración se celebran íntegramente dentro de la jornada de trabajo establecida, el ITC no ha abonado ninguna retribución por este concepto. Además, no tiene gastos de representación asignados.</w:t>
      </w:r>
    </w:p>
    <w:p w14:paraId="56494229" w14:textId="77777777" w:rsidR="00F72420" w:rsidRDefault="00F72420" w:rsidP="00F72420">
      <w:pPr>
        <w:numPr>
          <w:ilvl w:val="0"/>
          <w:numId w:val="30"/>
        </w:numPr>
        <w:shd w:val="clear" w:color="auto" w:fill="FFFFFF"/>
        <w:spacing w:before="100" w:beforeAutospacing="1" w:after="100" w:afterAutospacing="1" w:line="240" w:lineRule="auto"/>
        <w:rPr>
          <w:rFonts w:cs="Open Sans"/>
          <w:color w:val="333333"/>
          <w:sz w:val="23"/>
          <w:szCs w:val="23"/>
        </w:rPr>
      </w:pPr>
      <w:hyperlink r:id="rId9" w:tgtFrame="_blank" w:history="1">
        <w:r>
          <w:rPr>
            <w:rStyle w:val="Hipervnculo"/>
            <w:rFonts w:cs="Open Sans"/>
            <w:color w:val="009FE3"/>
            <w:sz w:val="23"/>
            <w:szCs w:val="23"/>
          </w:rPr>
          <w:t>Decreto 251-1997 de 30 de Septiembre por el que se aprueba el reglamento de indemnizaciones por razón de servicio (.</w:t>
        </w:r>
        <w:proofErr w:type="spellStart"/>
        <w:r>
          <w:rPr>
            <w:rStyle w:val="Hipervnculo"/>
            <w:rFonts w:cs="Open Sans"/>
            <w:color w:val="009FE3"/>
            <w:sz w:val="23"/>
            <w:szCs w:val="23"/>
          </w:rPr>
          <w:t>pdf</w:t>
        </w:r>
        <w:proofErr w:type="spellEnd"/>
        <w:r>
          <w:rPr>
            <w:rStyle w:val="Hipervnculo"/>
            <w:rFonts w:cs="Open Sans"/>
            <w:color w:val="009FE3"/>
            <w:sz w:val="23"/>
            <w:szCs w:val="23"/>
          </w:rPr>
          <w:t>)</w:t>
        </w:r>
      </w:hyperlink>
    </w:p>
    <w:p w14:paraId="537C09BE" w14:textId="77777777" w:rsidR="00F72420" w:rsidRDefault="00F72420" w:rsidP="00F72420">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588E989C" w14:textId="77777777" w:rsidR="00F72420" w:rsidRDefault="00F72420" w:rsidP="00F72420">
      <w:pPr>
        <w:pStyle w:val="Ttulo4"/>
        <w:shd w:val="clear" w:color="auto" w:fill="FFFFFF"/>
        <w:spacing w:before="150" w:after="150"/>
        <w:rPr>
          <w:rFonts w:ascii="Open Sans" w:hAnsi="Open Sans" w:cs="Open Sans"/>
          <w:color w:val="333333"/>
          <w:sz w:val="26"/>
          <w:szCs w:val="26"/>
        </w:rPr>
      </w:pPr>
      <w:r>
        <w:rPr>
          <w:rStyle w:val="Textoennegrita"/>
          <w:rFonts w:ascii="Open Sans" w:hAnsi="Open Sans" w:cs="Open Sans"/>
          <w:b w:val="0"/>
          <w:bCs w:val="0"/>
          <w:color w:val="333333"/>
          <w:sz w:val="26"/>
          <w:szCs w:val="26"/>
        </w:rPr>
        <w:t>Retribución del Personal Directivo con responsabilidad pública</w:t>
      </w:r>
    </w:p>
    <w:p w14:paraId="718189A9" w14:textId="77777777" w:rsidR="00F72420" w:rsidRDefault="00F72420" w:rsidP="00F72420">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La retribución anual del Gerente a 31 de diciembre de 2019 es de </w:t>
      </w:r>
      <w:r>
        <w:rPr>
          <w:rStyle w:val="Textoennegrita"/>
          <w:rFonts w:ascii="Open Sans" w:hAnsi="Open Sans" w:cs="Open Sans"/>
          <w:color w:val="333333"/>
          <w:sz w:val="23"/>
          <w:szCs w:val="23"/>
        </w:rPr>
        <w:t>62.222,45</w:t>
      </w:r>
      <w:r>
        <w:rPr>
          <w:rFonts w:ascii="Open Sans" w:hAnsi="Open Sans" w:cs="Open Sans"/>
          <w:color w:val="333333"/>
          <w:sz w:val="23"/>
          <w:szCs w:val="23"/>
        </w:rPr>
        <w:t> €, siendo su dedicación total. No tiene gastos de representación asignados. </w:t>
      </w:r>
    </w:p>
    <w:p w14:paraId="118B154E" w14:textId="77777777" w:rsidR="00F72420" w:rsidRDefault="00F72420" w:rsidP="00F72420">
      <w:pPr>
        <w:numPr>
          <w:ilvl w:val="0"/>
          <w:numId w:val="31"/>
        </w:numPr>
        <w:shd w:val="clear" w:color="auto" w:fill="FFFFFF"/>
        <w:spacing w:before="100" w:beforeAutospacing="1" w:after="100" w:afterAutospacing="1" w:line="240" w:lineRule="auto"/>
        <w:rPr>
          <w:rFonts w:cs="Open Sans"/>
          <w:color w:val="333333"/>
          <w:sz w:val="23"/>
          <w:szCs w:val="23"/>
        </w:rPr>
      </w:pPr>
      <w:r>
        <w:rPr>
          <w:rFonts w:cs="Open Sans"/>
          <w:color w:val="333333"/>
          <w:sz w:val="23"/>
          <w:szCs w:val="23"/>
        </w:rPr>
        <w:t>Retribuciones Gerencia ITC 2020 (</w:t>
      </w:r>
      <w:hyperlink r:id="rId10" w:tgtFrame="_blank" w:history="1">
        <w:r>
          <w:rPr>
            <w:rStyle w:val="Hipervnculo"/>
            <w:rFonts w:cs="Open Sans"/>
            <w:color w:val="009FE3"/>
            <w:sz w:val="23"/>
            <w:szCs w:val="23"/>
          </w:rPr>
          <w:t>.xlsx</w:t>
        </w:r>
      </w:hyperlink>
      <w:r>
        <w:rPr>
          <w:rFonts w:cs="Open Sans"/>
          <w:color w:val="333333"/>
          <w:sz w:val="23"/>
          <w:szCs w:val="23"/>
        </w:rPr>
        <w:t>) (</w:t>
      </w:r>
      <w:hyperlink r:id="rId11" w:tgtFrame="_blank" w:history="1">
        <w:r>
          <w:rPr>
            <w:rStyle w:val="Hipervnculo"/>
            <w:rFonts w:cs="Open Sans"/>
            <w:color w:val="009FE3"/>
            <w:sz w:val="23"/>
            <w:szCs w:val="23"/>
          </w:rPr>
          <w:t>.</w:t>
        </w:r>
        <w:proofErr w:type="spellStart"/>
        <w:r>
          <w:rPr>
            <w:rStyle w:val="Hipervnculo"/>
            <w:rFonts w:cs="Open Sans"/>
            <w:color w:val="009FE3"/>
            <w:sz w:val="23"/>
            <w:szCs w:val="23"/>
          </w:rPr>
          <w:t>ods</w:t>
        </w:r>
        <w:proofErr w:type="spellEnd"/>
      </w:hyperlink>
      <w:r>
        <w:rPr>
          <w:rFonts w:cs="Open Sans"/>
          <w:color w:val="333333"/>
          <w:sz w:val="23"/>
          <w:szCs w:val="23"/>
        </w:rPr>
        <w:t>)</w:t>
      </w:r>
    </w:p>
    <w:p w14:paraId="1FBCFD05" w14:textId="77777777" w:rsidR="00F72420" w:rsidRDefault="00F72420" w:rsidP="00F72420">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En caso de dietas y gastos de viajes, se adjuntan las indemnizaciones por razón del servicio relativas a gastos de viajes y dietas del Gerente</w:t>
      </w:r>
      <w:r>
        <w:rPr>
          <w:rStyle w:val="Textoennegrita"/>
          <w:rFonts w:ascii="Open Sans" w:hAnsi="Open Sans" w:cs="Open Sans"/>
          <w:color w:val="333333"/>
          <w:sz w:val="23"/>
          <w:szCs w:val="23"/>
          <w:u w:val="single"/>
        </w:rPr>
        <w:t>,</w:t>
      </w:r>
      <w:r>
        <w:rPr>
          <w:rFonts w:ascii="Open Sans" w:hAnsi="Open Sans" w:cs="Open Sans"/>
          <w:color w:val="333333"/>
          <w:sz w:val="23"/>
          <w:szCs w:val="23"/>
        </w:rPr>
        <w:t xml:space="preserve"> conforme a la normativa que es de aplicación al ITC y que establece el límite económico de las mismas en </w:t>
      </w:r>
      <w:r>
        <w:rPr>
          <w:rFonts w:ascii="Open Sans" w:hAnsi="Open Sans" w:cs="Open Sans"/>
          <w:color w:val="333333"/>
          <w:sz w:val="23"/>
          <w:szCs w:val="23"/>
        </w:rPr>
        <w:lastRenderedPageBreak/>
        <w:t>función del grupo profesional en que se encuadre el alto cargo o resto de personal. </w:t>
      </w:r>
    </w:p>
    <w:p w14:paraId="30437EAF" w14:textId="77777777" w:rsidR="00F72420" w:rsidRDefault="00F72420" w:rsidP="00F72420">
      <w:pPr>
        <w:numPr>
          <w:ilvl w:val="0"/>
          <w:numId w:val="32"/>
        </w:numPr>
        <w:shd w:val="clear" w:color="auto" w:fill="FFFFFF"/>
        <w:spacing w:before="100" w:beforeAutospacing="1" w:after="100" w:afterAutospacing="1" w:line="240" w:lineRule="auto"/>
        <w:rPr>
          <w:rFonts w:cs="Open Sans"/>
          <w:color w:val="333333"/>
          <w:sz w:val="23"/>
          <w:szCs w:val="23"/>
        </w:rPr>
      </w:pPr>
      <w:r>
        <w:rPr>
          <w:rFonts w:cs="Open Sans"/>
          <w:color w:val="333333"/>
          <w:sz w:val="23"/>
          <w:szCs w:val="23"/>
        </w:rPr>
        <w:t>Indemnizaciones Gerencia (</w:t>
      </w:r>
      <w:hyperlink r:id="rId12" w:tgtFrame="_blank" w:history="1">
        <w:r>
          <w:rPr>
            <w:rStyle w:val="Hipervnculo"/>
            <w:rFonts w:cs="Open Sans"/>
            <w:color w:val="009FE3"/>
            <w:sz w:val="23"/>
            <w:szCs w:val="23"/>
          </w:rPr>
          <w:t>.xlsx</w:t>
        </w:r>
      </w:hyperlink>
      <w:r>
        <w:rPr>
          <w:rFonts w:cs="Open Sans"/>
          <w:color w:val="333333"/>
          <w:sz w:val="23"/>
          <w:szCs w:val="23"/>
        </w:rPr>
        <w:t>) (</w:t>
      </w:r>
      <w:hyperlink r:id="rId13" w:tgtFrame="_blank" w:history="1">
        <w:r>
          <w:rPr>
            <w:rStyle w:val="Hipervnculo"/>
            <w:rFonts w:cs="Open Sans"/>
            <w:color w:val="009FE3"/>
            <w:sz w:val="23"/>
            <w:szCs w:val="23"/>
          </w:rPr>
          <w:t>.</w:t>
        </w:r>
        <w:proofErr w:type="spellStart"/>
        <w:r>
          <w:rPr>
            <w:rStyle w:val="Hipervnculo"/>
            <w:rFonts w:cs="Open Sans"/>
            <w:color w:val="009FE3"/>
            <w:sz w:val="23"/>
            <w:szCs w:val="23"/>
          </w:rPr>
          <w:t>ods</w:t>
        </w:r>
        <w:proofErr w:type="spellEnd"/>
      </w:hyperlink>
      <w:r>
        <w:rPr>
          <w:rFonts w:cs="Open Sans"/>
          <w:color w:val="333333"/>
          <w:sz w:val="23"/>
          <w:szCs w:val="23"/>
        </w:rPr>
        <w:t>)</w:t>
      </w:r>
    </w:p>
    <w:p w14:paraId="285FDF8F" w14:textId="77777777" w:rsidR="00F72420" w:rsidRDefault="00F72420" w:rsidP="00F72420">
      <w:pPr>
        <w:numPr>
          <w:ilvl w:val="0"/>
          <w:numId w:val="32"/>
        </w:numPr>
        <w:shd w:val="clear" w:color="auto" w:fill="FFFFFF"/>
        <w:spacing w:before="100" w:beforeAutospacing="1" w:after="100" w:afterAutospacing="1" w:line="240" w:lineRule="auto"/>
        <w:rPr>
          <w:rFonts w:cs="Open Sans"/>
          <w:color w:val="333333"/>
          <w:sz w:val="23"/>
          <w:szCs w:val="23"/>
        </w:rPr>
      </w:pPr>
      <w:hyperlink r:id="rId14" w:tgtFrame="_blank" w:history="1">
        <w:r>
          <w:rPr>
            <w:rStyle w:val="Hipervnculo"/>
            <w:rFonts w:cs="Open Sans"/>
            <w:color w:val="009FE3"/>
            <w:sz w:val="23"/>
            <w:szCs w:val="23"/>
          </w:rPr>
          <w:t>ORDEN de 9 de mayo de 2005, por la que se desarrolla el régimen de anticipos de dietas y gastos de viaje establecido en el Reglamento de Indemnizaciones por razón del servicio (.</w:t>
        </w:r>
        <w:proofErr w:type="spellStart"/>
        <w:r>
          <w:rPr>
            <w:rStyle w:val="Hipervnculo"/>
            <w:rFonts w:cs="Open Sans"/>
            <w:color w:val="009FE3"/>
            <w:sz w:val="23"/>
            <w:szCs w:val="23"/>
          </w:rPr>
          <w:t>pdf</w:t>
        </w:r>
        <w:proofErr w:type="spellEnd"/>
        <w:r>
          <w:rPr>
            <w:rStyle w:val="Hipervnculo"/>
            <w:rFonts w:cs="Open Sans"/>
            <w:color w:val="009FE3"/>
            <w:sz w:val="23"/>
            <w:szCs w:val="23"/>
          </w:rPr>
          <w:t>)</w:t>
        </w:r>
      </w:hyperlink>
    </w:p>
    <w:p w14:paraId="01103E94" w14:textId="77777777" w:rsidR="00F72420" w:rsidRDefault="00F72420" w:rsidP="00F72420">
      <w:pPr>
        <w:numPr>
          <w:ilvl w:val="0"/>
          <w:numId w:val="32"/>
        </w:numPr>
        <w:shd w:val="clear" w:color="auto" w:fill="FFFFFF"/>
        <w:spacing w:before="100" w:beforeAutospacing="1" w:after="100" w:afterAutospacing="1" w:line="240" w:lineRule="auto"/>
        <w:rPr>
          <w:rFonts w:cs="Open Sans"/>
          <w:color w:val="333333"/>
          <w:sz w:val="23"/>
          <w:szCs w:val="23"/>
        </w:rPr>
      </w:pPr>
      <w:hyperlink r:id="rId15" w:tgtFrame="_blank" w:history="1">
        <w:r>
          <w:rPr>
            <w:rStyle w:val="Hipervnculo"/>
            <w:rFonts w:cs="Open Sans"/>
            <w:color w:val="009FE3"/>
            <w:sz w:val="23"/>
            <w:szCs w:val="23"/>
          </w:rPr>
          <w:t>Decreto 251-1997 de 30 de Septiembre por el que se aprueba el reglamento de indemnizaciones por razón de servicio (.</w:t>
        </w:r>
        <w:proofErr w:type="spellStart"/>
        <w:r>
          <w:rPr>
            <w:rStyle w:val="Hipervnculo"/>
            <w:rFonts w:cs="Open Sans"/>
            <w:color w:val="009FE3"/>
            <w:sz w:val="23"/>
            <w:szCs w:val="23"/>
          </w:rPr>
          <w:t>pdf</w:t>
        </w:r>
        <w:proofErr w:type="spellEnd"/>
        <w:r>
          <w:rPr>
            <w:rStyle w:val="Hipervnculo"/>
            <w:rFonts w:cs="Open Sans"/>
            <w:color w:val="009FE3"/>
            <w:sz w:val="23"/>
            <w:szCs w:val="23"/>
          </w:rPr>
          <w:t>)</w:t>
        </w:r>
      </w:hyperlink>
    </w:p>
    <w:p w14:paraId="673D6E22" w14:textId="77777777" w:rsidR="00F72420" w:rsidRDefault="00F72420" w:rsidP="00F72420">
      <w:pPr>
        <w:pStyle w:val="p1"/>
        <w:shd w:val="clear" w:color="auto" w:fill="FFFFFF"/>
        <w:spacing w:before="0" w:beforeAutospacing="0" w:after="300" w:afterAutospacing="0"/>
        <w:rPr>
          <w:rFonts w:ascii="Open Sans" w:hAnsi="Open Sans" w:cs="Open Sans"/>
          <w:color w:val="333333"/>
          <w:sz w:val="23"/>
          <w:szCs w:val="23"/>
        </w:rPr>
      </w:pPr>
      <w:r>
        <w:rPr>
          <w:rStyle w:val="s1"/>
          <w:rFonts w:ascii="Open Sans" w:hAnsi="Open Sans" w:cs="Open Sans"/>
          <w:color w:val="333333"/>
          <w:sz w:val="23"/>
          <w:szCs w:val="23"/>
        </w:rPr>
        <w:t>No han existido indemnizaciones por abandono del cargo.  </w:t>
      </w:r>
    </w:p>
    <w:p w14:paraId="3AB6FB4D" w14:textId="77777777" w:rsidR="00F72420" w:rsidRDefault="00F72420" w:rsidP="00F72420">
      <w:pPr>
        <w:pStyle w:val="Ttulo2"/>
        <w:shd w:val="clear" w:color="auto" w:fill="FFFFFF"/>
        <w:spacing w:before="300" w:after="150"/>
        <w:rPr>
          <w:rFonts w:ascii="Montserrat" w:hAnsi="Montserrat" w:cs="Times New Roman"/>
          <w:color w:val="333333"/>
          <w:sz w:val="42"/>
          <w:szCs w:val="42"/>
        </w:rPr>
      </w:pPr>
      <w:r>
        <w:rPr>
          <w:rFonts w:ascii="Cambria" w:hAnsi="Cambria" w:cs="Cambria"/>
          <w:b/>
          <w:bCs/>
          <w:color w:val="333333"/>
          <w:sz w:val="42"/>
          <w:szCs w:val="42"/>
        </w:rPr>
        <w:t> </w:t>
      </w:r>
    </w:p>
    <w:p w14:paraId="18D37BF6" w14:textId="77777777" w:rsidR="00F72420" w:rsidRDefault="00F72420" w:rsidP="00F72420">
      <w:pPr>
        <w:pStyle w:val="Ttulo4"/>
        <w:shd w:val="clear" w:color="auto" w:fill="FFFFFF"/>
        <w:spacing w:before="150" w:after="150"/>
        <w:rPr>
          <w:rFonts w:ascii="Open Sans" w:hAnsi="Open Sans" w:cs="Open Sans"/>
          <w:b/>
          <w:bCs/>
          <w:color w:val="333333"/>
          <w:sz w:val="26"/>
          <w:szCs w:val="26"/>
        </w:rPr>
      </w:pPr>
      <w:r>
        <w:rPr>
          <w:rStyle w:val="Textoennegrita"/>
          <w:rFonts w:ascii="Open Sans" w:hAnsi="Open Sans" w:cs="Open Sans"/>
          <w:b w:val="0"/>
          <w:bCs w:val="0"/>
          <w:color w:val="333333"/>
          <w:sz w:val="26"/>
          <w:szCs w:val="26"/>
        </w:rPr>
        <w:t>Personal de eventual confianza</w:t>
      </w:r>
    </w:p>
    <w:p w14:paraId="04474EAF" w14:textId="77777777" w:rsidR="00F72420" w:rsidRDefault="00F72420" w:rsidP="00F72420">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No existe personal de confianza o asesoramiento especial dentro de la entidad.</w:t>
      </w:r>
    </w:p>
    <w:p w14:paraId="3EA23989" w14:textId="77777777" w:rsidR="00F72420" w:rsidRDefault="00F72420" w:rsidP="00F72420">
      <w:pPr>
        <w:pStyle w:val="Ttulo2"/>
        <w:shd w:val="clear" w:color="auto" w:fill="FFFFFF"/>
        <w:spacing w:before="300" w:after="150"/>
        <w:rPr>
          <w:rFonts w:ascii="Montserrat" w:hAnsi="Montserrat" w:cs="Times New Roman"/>
          <w:color w:val="333333"/>
          <w:sz w:val="42"/>
          <w:szCs w:val="42"/>
        </w:rPr>
      </w:pPr>
      <w:r>
        <w:rPr>
          <w:rFonts w:ascii="Cambria" w:hAnsi="Cambria" w:cs="Cambria"/>
          <w:b/>
          <w:bCs/>
          <w:color w:val="333333"/>
          <w:sz w:val="42"/>
          <w:szCs w:val="42"/>
        </w:rPr>
        <w:t> </w:t>
      </w:r>
    </w:p>
    <w:p w14:paraId="70860BD1" w14:textId="77777777" w:rsidR="00F72420" w:rsidRDefault="00F72420" w:rsidP="00F72420">
      <w:pPr>
        <w:pStyle w:val="Ttulo4"/>
        <w:shd w:val="clear" w:color="auto" w:fill="FFFFFF"/>
        <w:spacing w:before="150" w:after="150"/>
        <w:rPr>
          <w:rFonts w:ascii="Open Sans" w:hAnsi="Open Sans" w:cs="Open Sans"/>
          <w:b/>
          <w:bCs/>
          <w:color w:val="333333"/>
          <w:sz w:val="26"/>
          <w:szCs w:val="26"/>
        </w:rPr>
      </w:pPr>
      <w:r>
        <w:rPr>
          <w:rStyle w:val="Textoennegrita"/>
          <w:rFonts w:ascii="Open Sans" w:hAnsi="Open Sans" w:cs="Open Sans"/>
          <w:b w:val="0"/>
          <w:bCs w:val="0"/>
          <w:color w:val="333333"/>
          <w:sz w:val="26"/>
          <w:szCs w:val="26"/>
        </w:rPr>
        <w:t>Empleados/as de la entidad</w:t>
      </w:r>
    </w:p>
    <w:p w14:paraId="618042F7" w14:textId="77777777" w:rsidR="00F72420" w:rsidRDefault="00F72420" w:rsidP="00F72420">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Se incluye y adjunta la información sobre las retribuciones anuales medias por categoría de todo el personal del ITC, sujeto al </w:t>
      </w:r>
      <w:hyperlink r:id="rId16" w:tgtFrame="_blank" w:history="1">
        <w:r>
          <w:rPr>
            <w:rStyle w:val="Hipervnculo"/>
            <w:rFonts w:ascii="Open Sans" w:hAnsi="Open Sans" w:cs="Open Sans"/>
            <w:color w:val="009FE3"/>
            <w:sz w:val="23"/>
            <w:szCs w:val="23"/>
          </w:rPr>
          <w:t>Convenio Colectivo del ITC</w:t>
        </w:r>
      </w:hyperlink>
      <w:r>
        <w:rPr>
          <w:rFonts w:ascii="Open Sans" w:hAnsi="Open Sans" w:cs="Open Sans"/>
          <w:color w:val="333333"/>
          <w:sz w:val="23"/>
          <w:szCs w:val="23"/>
        </w:rPr>
        <w:t>.  </w:t>
      </w:r>
    </w:p>
    <w:p w14:paraId="1095E941" w14:textId="77777777" w:rsidR="00F72420" w:rsidRDefault="00F72420" w:rsidP="00F72420">
      <w:pPr>
        <w:numPr>
          <w:ilvl w:val="0"/>
          <w:numId w:val="33"/>
        </w:numPr>
        <w:shd w:val="clear" w:color="auto" w:fill="FFFFFF"/>
        <w:spacing w:before="100" w:beforeAutospacing="1" w:after="100" w:afterAutospacing="1" w:line="240" w:lineRule="auto"/>
        <w:rPr>
          <w:rFonts w:cs="Open Sans"/>
          <w:color w:val="333333"/>
          <w:sz w:val="23"/>
          <w:szCs w:val="23"/>
        </w:rPr>
      </w:pPr>
      <w:r>
        <w:rPr>
          <w:rFonts w:cs="Open Sans"/>
          <w:color w:val="333333"/>
          <w:sz w:val="23"/>
          <w:szCs w:val="23"/>
        </w:rPr>
        <w:t>Retribuciones anuales medias por categoría del personal del ITC (</w:t>
      </w:r>
      <w:hyperlink r:id="rId17" w:tgtFrame="_blank" w:history="1">
        <w:r>
          <w:rPr>
            <w:rStyle w:val="Hipervnculo"/>
            <w:rFonts w:cs="Open Sans"/>
            <w:color w:val="009FE3"/>
            <w:sz w:val="23"/>
            <w:szCs w:val="23"/>
          </w:rPr>
          <w:t>.xls</w:t>
        </w:r>
      </w:hyperlink>
      <w:r>
        <w:rPr>
          <w:rFonts w:cs="Open Sans"/>
          <w:color w:val="333333"/>
          <w:sz w:val="23"/>
          <w:szCs w:val="23"/>
        </w:rPr>
        <w:t>) (</w:t>
      </w:r>
      <w:hyperlink r:id="rId18" w:tgtFrame="_blank" w:history="1">
        <w:r>
          <w:rPr>
            <w:rStyle w:val="Hipervnculo"/>
            <w:rFonts w:cs="Open Sans"/>
            <w:color w:val="009FE3"/>
            <w:sz w:val="23"/>
            <w:szCs w:val="23"/>
          </w:rPr>
          <w:t>.</w:t>
        </w:r>
        <w:proofErr w:type="spellStart"/>
        <w:r>
          <w:rPr>
            <w:rStyle w:val="Hipervnculo"/>
            <w:rFonts w:cs="Open Sans"/>
            <w:color w:val="009FE3"/>
            <w:sz w:val="23"/>
            <w:szCs w:val="23"/>
          </w:rPr>
          <w:t>ods</w:t>
        </w:r>
        <w:proofErr w:type="spellEnd"/>
      </w:hyperlink>
      <w:r>
        <w:rPr>
          <w:rFonts w:cs="Open Sans"/>
          <w:color w:val="333333"/>
          <w:sz w:val="23"/>
          <w:szCs w:val="23"/>
        </w:rPr>
        <w:t>)</w:t>
      </w:r>
    </w:p>
    <w:p w14:paraId="62222F30" w14:textId="1CC94739" w:rsidR="00F72420" w:rsidRDefault="00F72420" w:rsidP="00F72420">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lastRenderedPageBreak/>
        <w:t> </w:t>
      </w:r>
      <w:r>
        <w:rPr>
          <w:rFonts w:ascii="Open Sans" w:hAnsi="Open Sans" w:cs="Open Sans"/>
          <w:noProof/>
          <w:color w:val="333333"/>
          <w:sz w:val="23"/>
          <w:szCs w:val="23"/>
        </w:rPr>
        <w:drawing>
          <wp:inline distT="0" distB="0" distL="0" distR="0" wp14:anchorId="048F167F" wp14:editId="3053E01B">
            <wp:extent cx="5671185" cy="5955665"/>
            <wp:effectExtent l="0" t="0" r="5715"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71185" cy="5955665"/>
                    </a:xfrm>
                    <a:prstGeom prst="rect">
                      <a:avLst/>
                    </a:prstGeom>
                    <a:noFill/>
                    <a:ln>
                      <a:noFill/>
                    </a:ln>
                  </pic:spPr>
                </pic:pic>
              </a:graphicData>
            </a:graphic>
          </wp:inline>
        </w:drawing>
      </w:r>
    </w:p>
    <w:p w14:paraId="547936B4" w14:textId="77777777" w:rsidR="00F72420" w:rsidRDefault="00F72420" w:rsidP="00F72420">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En el ejercicio 2019 se pagó una indemnización de </w:t>
      </w:r>
      <w:r>
        <w:rPr>
          <w:rStyle w:val="Textoennegrita"/>
          <w:rFonts w:ascii="Open Sans" w:hAnsi="Open Sans" w:cs="Open Sans"/>
          <w:color w:val="333333"/>
          <w:sz w:val="23"/>
          <w:szCs w:val="23"/>
        </w:rPr>
        <w:t>1.604,67 €</w:t>
      </w:r>
      <w:r>
        <w:rPr>
          <w:rFonts w:ascii="Open Sans" w:hAnsi="Open Sans" w:cs="Open Sans"/>
          <w:color w:val="333333"/>
          <w:sz w:val="23"/>
          <w:szCs w:val="23"/>
        </w:rPr>
        <w:t> por finalización de contrato temporal.</w:t>
      </w:r>
    </w:p>
    <w:p w14:paraId="4934714E" w14:textId="77777777" w:rsidR="00F72420" w:rsidRDefault="00F72420" w:rsidP="00F72420">
      <w:pPr>
        <w:pStyle w:val="Ttulo2"/>
        <w:shd w:val="clear" w:color="auto" w:fill="FFFFFF"/>
        <w:spacing w:before="300" w:after="150"/>
        <w:rPr>
          <w:rFonts w:ascii="Montserrat" w:hAnsi="Montserrat" w:cs="Times New Roman"/>
          <w:color w:val="333333"/>
          <w:sz w:val="42"/>
          <w:szCs w:val="42"/>
        </w:rPr>
      </w:pPr>
      <w:r>
        <w:rPr>
          <w:rFonts w:ascii="Cambria" w:hAnsi="Cambria" w:cs="Cambria"/>
          <w:b/>
          <w:bCs/>
          <w:color w:val="333333"/>
          <w:sz w:val="42"/>
          <w:szCs w:val="42"/>
        </w:rPr>
        <w:t> </w:t>
      </w:r>
    </w:p>
    <w:p w14:paraId="7BEB95F9" w14:textId="77777777" w:rsidR="00F72420" w:rsidRDefault="00F72420" w:rsidP="00F72420">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t>INFORMACIÓN GENERAL SOBRE LAS CUANTÍAS</w:t>
      </w:r>
      <w:r>
        <w:rPr>
          <w:rStyle w:val="Textoennegrita"/>
          <w:rFonts w:ascii="Cambria" w:hAnsi="Cambria" w:cs="Cambria"/>
          <w:b/>
          <w:bCs/>
          <w:caps/>
          <w:color w:val="0095F8"/>
          <w:spacing w:val="-4"/>
        </w:rPr>
        <w:t> </w:t>
      </w:r>
      <w:r>
        <w:rPr>
          <w:rStyle w:val="Textoennegrita"/>
          <w:rFonts w:ascii="Montserrat" w:hAnsi="Montserrat"/>
          <w:b/>
          <w:bCs/>
          <w:caps/>
          <w:color w:val="0095F8"/>
          <w:spacing w:val="-4"/>
        </w:rPr>
        <w:t>POR ASISTENCIA A LOS CONSEJOS DE ADMINISTRACIÓN DE LA ENTIDAD</w:t>
      </w:r>
    </w:p>
    <w:p w14:paraId="17E56D17" w14:textId="77777777" w:rsidR="00F72420" w:rsidRDefault="00F72420" w:rsidP="00F72420">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lastRenderedPageBreak/>
        <w:t xml:space="preserve">Los Estatutos Sociales señalan que el cargo de Consejero no será retribuido salvo lo que corresponda a dietas por asistencia a reuniones del Consejo de Administración. La cuantía de estas dietas debe respetar lo previsto en el </w:t>
      </w:r>
      <w:proofErr w:type="spellStart"/>
      <w:r>
        <w:rPr>
          <w:rFonts w:ascii="Open Sans" w:hAnsi="Open Sans" w:cs="Open Sans"/>
          <w:color w:val="333333"/>
          <w:sz w:val="23"/>
          <w:szCs w:val="23"/>
        </w:rPr>
        <w:t>artº</w:t>
      </w:r>
      <w:proofErr w:type="spellEnd"/>
      <w:r>
        <w:rPr>
          <w:rFonts w:ascii="Open Sans" w:hAnsi="Open Sans" w:cs="Open Sans"/>
          <w:color w:val="333333"/>
          <w:sz w:val="23"/>
          <w:szCs w:val="23"/>
        </w:rPr>
        <w:t xml:space="preserve"> 52 del Decreto 251/1997 de 30 de septiembre por el que se aprueba el reglamento de indemnizaciones por razón del servicio, respecto a la cuantía máxima.</w:t>
      </w:r>
    </w:p>
    <w:p w14:paraId="5796DA1B" w14:textId="77777777" w:rsidR="00F72420" w:rsidRDefault="00F72420" w:rsidP="00F72420">
      <w:pPr>
        <w:numPr>
          <w:ilvl w:val="0"/>
          <w:numId w:val="34"/>
        </w:numPr>
        <w:shd w:val="clear" w:color="auto" w:fill="FFFFFF"/>
        <w:spacing w:before="100" w:beforeAutospacing="1" w:after="100" w:afterAutospacing="1" w:line="240" w:lineRule="auto"/>
        <w:rPr>
          <w:rFonts w:cs="Open Sans"/>
          <w:color w:val="333333"/>
          <w:sz w:val="23"/>
          <w:szCs w:val="23"/>
        </w:rPr>
      </w:pPr>
      <w:hyperlink r:id="rId20" w:tgtFrame="_blank" w:history="1">
        <w:r>
          <w:rPr>
            <w:rStyle w:val="Hipervnculo"/>
            <w:rFonts w:cs="Open Sans"/>
            <w:color w:val="009FE3"/>
            <w:sz w:val="23"/>
            <w:szCs w:val="23"/>
          </w:rPr>
          <w:t>Decreto 251-1997 de 30 de Septiembre por el que se aprueba el reglamento de indemnizaciones por razón de servicio (.</w:t>
        </w:r>
        <w:proofErr w:type="spellStart"/>
        <w:r>
          <w:rPr>
            <w:rStyle w:val="Hipervnculo"/>
            <w:rFonts w:cs="Open Sans"/>
            <w:color w:val="009FE3"/>
            <w:sz w:val="23"/>
            <w:szCs w:val="23"/>
          </w:rPr>
          <w:t>pdf</w:t>
        </w:r>
        <w:proofErr w:type="spellEnd"/>
        <w:r>
          <w:rPr>
            <w:rStyle w:val="Hipervnculo"/>
            <w:rFonts w:cs="Open Sans"/>
            <w:color w:val="009FE3"/>
            <w:sz w:val="23"/>
            <w:szCs w:val="23"/>
          </w:rPr>
          <w:t>)</w:t>
        </w:r>
      </w:hyperlink>
    </w:p>
    <w:p w14:paraId="513A13FA" w14:textId="77777777" w:rsidR="00F72420" w:rsidRDefault="00F72420" w:rsidP="00F72420">
      <w:pPr>
        <w:pStyle w:val="Ttulo2"/>
        <w:shd w:val="clear" w:color="auto" w:fill="FFFFFF"/>
        <w:spacing w:before="300" w:after="150"/>
        <w:rPr>
          <w:rFonts w:ascii="Montserrat" w:hAnsi="Montserrat" w:cs="Times New Roman"/>
          <w:color w:val="333333"/>
          <w:sz w:val="42"/>
          <w:szCs w:val="42"/>
        </w:rPr>
      </w:pPr>
      <w:r>
        <w:rPr>
          <w:rFonts w:ascii="Cambria" w:hAnsi="Cambria" w:cs="Cambria"/>
          <w:b/>
          <w:bCs/>
          <w:color w:val="333333"/>
          <w:sz w:val="42"/>
          <w:szCs w:val="42"/>
        </w:rPr>
        <w:t> </w:t>
      </w:r>
    </w:p>
    <w:p w14:paraId="3C1D3350" w14:textId="77777777" w:rsidR="00F72420" w:rsidRDefault="00F72420" w:rsidP="00F72420">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t>INDEMNIZACIONES POR RAZÓN DEL SERVICIO EN CONCEPTO DE VIAJES, MANUTENCIÓN Y ALOJAMIENTO</w:t>
      </w:r>
    </w:p>
    <w:p w14:paraId="47466791" w14:textId="77777777" w:rsidR="00F72420" w:rsidRDefault="00F72420" w:rsidP="00F72420">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Se adjunta la normativa de aplicación al ITC que establece el límite económico de las mismas en función del grupo profesional en que se encuentre el alto cargo o resto de personal.</w:t>
      </w:r>
    </w:p>
    <w:p w14:paraId="730007E7" w14:textId="77777777" w:rsidR="00F72420" w:rsidRDefault="00F72420" w:rsidP="00F72420">
      <w:pPr>
        <w:numPr>
          <w:ilvl w:val="0"/>
          <w:numId w:val="35"/>
        </w:numPr>
        <w:shd w:val="clear" w:color="auto" w:fill="FFFFFF"/>
        <w:spacing w:before="100" w:beforeAutospacing="1" w:after="100" w:afterAutospacing="1" w:line="240" w:lineRule="auto"/>
        <w:rPr>
          <w:rFonts w:cs="Open Sans"/>
          <w:color w:val="333333"/>
          <w:sz w:val="23"/>
          <w:szCs w:val="23"/>
        </w:rPr>
      </w:pPr>
      <w:hyperlink r:id="rId21" w:tgtFrame="_blank" w:history="1">
        <w:r>
          <w:rPr>
            <w:rStyle w:val="Hipervnculo"/>
            <w:rFonts w:cs="Open Sans"/>
            <w:color w:val="009FE3"/>
            <w:sz w:val="23"/>
            <w:szCs w:val="23"/>
          </w:rPr>
          <w:t>ORDEN de 9 de mayo de 2005, por la que se desarrolla el régimen de anticipos de dietas y gastos de viaje establecido en el Reglamento de Indemnizaciones por razón del servicio (.</w:t>
        </w:r>
        <w:proofErr w:type="spellStart"/>
        <w:r>
          <w:rPr>
            <w:rStyle w:val="Hipervnculo"/>
            <w:rFonts w:cs="Open Sans"/>
            <w:color w:val="009FE3"/>
            <w:sz w:val="23"/>
            <w:szCs w:val="23"/>
          </w:rPr>
          <w:t>pdf</w:t>
        </w:r>
        <w:proofErr w:type="spellEnd"/>
        <w:r>
          <w:rPr>
            <w:rStyle w:val="Hipervnculo"/>
            <w:rFonts w:cs="Open Sans"/>
            <w:color w:val="009FE3"/>
            <w:sz w:val="23"/>
            <w:szCs w:val="23"/>
          </w:rPr>
          <w:t>)</w:t>
        </w:r>
      </w:hyperlink>
    </w:p>
    <w:p w14:paraId="633C2E23" w14:textId="77777777" w:rsidR="00F72420" w:rsidRDefault="00F72420" w:rsidP="00F72420">
      <w:pPr>
        <w:numPr>
          <w:ilvl w:val="0"/>
          <w:numId w:val="35"/>
        </w:numPr>
        <w:shd w:val="clear" w:color="auto" w:fill="FFFFFF"/>
        <w:spacing w:before="100" w:beforeAutospacing="1" w:after="100" w:afterAutospacing="1" w:line="240" w:lineRule="auto"/>
        <w:rPr>
          <w:rFonts w:cs="Open Sans"/>
          <w:color w:val="333333"/>
          <w:sz w:val="23"/>
          <w:szCs w:val="23"/>
        </w:rPr>
      </w:pPr>
      <w:hyperlink r:id="rId22" w:tgtFrame="_blank" w:history="1">
        <w:r>
          <w:rPr>
            <w:rStyle w:val="Hipervnculo"/>
            <w:rFonts w:cs="Open Sans"/>
            <w:color w:val="009FE3"/>
            <w:sz w:val="23"/>
            <w:szCs w:val="23"/>
          </w:rPr>
          <w:t>Decreto 251-1997 de 30 de Septiembre por el que se aprueba el reglamento de indemnizaciones por razón de servicio (.</w:t>
        </w:r>
        <w:proofErr w:type="spellStart"/>
        <w:r>
          <w:rPr>
            <w:rStyle w:val="Hipervnculo"/>
            <w:rFonts w:cs="Open Sans"/>
            <w:color w:val="009FE3"/>
            <w:sz w:val="23"/>
            <w:szCs w:val="23"/>
          </w:rPr>
          <w:t>pdf</w:t>
        </w:r>
        <w:proofErr w:type="spellEnd"/>
        <w:r>
          <w:rPr>
            <w:rStyle w:val="Hipervnculo"/>
            <w:rFonts w:cs="Open Sans"/>
            <w:color w:val="009FE3"/>
            <w:sz w:val="23"/>
            <w:szCs w:val="23"/>
          </w:rPr>
          <w:t>)</w:t>
        </w:r>
      </w:hyperlink>
    </w:p>
    <w:p w14:paraId="16C2F36C" w14:textId="77777777" w:rsidR="00F72420" w:rsidRDefault="00F72420" w:rsidP="00F72420">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50012FA1" w14:textId="77777777" w:rsidR="00F72420" w:rsidRDefault="00F72420" w:rsidP="00F72420">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588D1292" w14:textId="77777777" w:rsidR="00F72420" w:rsidRDefault="00F72420" w:rsidP="00F72420">
      <w:pPr>
        <w:pStyle w:val="p1"/>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Fecha de Actualización</w:t>
      </w:r>
      <w:r>
        <w:rPr>
          <w:rStyle w:val="s1"/>
          <w:rFonts w:ascii="Open Sans" w:hAnsi="Open Sans" w:cs="Open Sans"/>
          <w:color w:val="333333"/>
          <w:sz w:val="23"/>
          <w:szCs w:val="23"/>
        </w:rPr>
        <w:t>: 27 de mayo de 2020</w:t>
      </w:r>
      <w:r>
        <w:rPr>
          <w:rFonts w:ascii="Open Sans" w:hAnsi="Open Sans" w:cs="Open Sans"/>
          <w:color w:val="333333"/>
          <w:sz w:val="23"/>
          <w:szCs w:val="23"/>
        </w:rPr>
        <w:br/>
      </w:r>
      <w:r>
        <w:rPr>
          <w:rStyle w:val="Textoennegrita"/>
          <w:rFonts w:ascii="Open Sans" w:hAnsi="Open Sans" w:cs="Open Sans"/>
          <w:color w:val="333333"/>
          <w:sz w:val="23"/>
          <w:szCs w:val="23"/>
        </w:rPr>
        <w:t>Periodicidad: </w:t>
      </w:r>
      <w:r>
        <w:rPr>
          <w:rStyle w:val="s1"/>
          <w:rFonts w:ascii="Open Sans" w:hAnsi="Open Sans" w:cs="Open Sans"/>
          <w:color w:val="333333"/>
          <w:sz w:val="23"/>
          <w:szCs w:val="23"/>
        </w:rPr>
        <w:t xml:space="preserve">Cada vez que se </w:t>
      </w:r>
      <w:proofErr w:type="spellStart"/>
      <w:r>
        <w:rPr>
          <w:rStyle w:val="s1"/>
          <w:rFonts w:ascii="Open Sans" w:hAnsi="Open Sans" w:cs="Open Sans"/>
          <w:color w:val="333333"/>
          <w:sz w:val="23"/>
          <w:szCs w:val="23"/>
        </w:rPr>
        <w:t>se</w:t>
      </w:r>
      <w:proofErr w:type="spellEnd"/>
      <w:r>
        <w:rPr>
          <w:rStyle w:val="s1"/>
          <w:rFonts w:ascii="Open Sans" w:hAnsi="Open Sans" w:cs="Open Sans"/>
          <w:color w:val="333333"/>
          <w:sz w:val="23"/>
          <w:szCs w:val="23"/>
        </w:rPr>
        <w:t xml:space="preserve"> actualice la normativa.</w:t>
      </w:r>
      <w:r>
        <w:rPr>
          <w:rFonts w:ascii="Open Sans" w:hAnsi="Open Sans" w:cs="Open Sans"/>
          <w:color w:val="333333"/>
          <w:sz w:val="23"/>
          <w:szCs w:val="23"/>
        </w:rPr>
        <w:br/>
      </w:r>
      <w:r>
        <w:rPr>
          <w:rStyle w:val="Textoennegrita"/>
          <w:rFonts w:ascii="Open Sans" w:hAnsi="Open Sans" w:cs="Open Sans"/>
          <w:color w:val="333333"/>
          <w:sz w:val="23"/>
          <w:szCs w:val="23"/>
        </w:rPr>
        <w:t>Tipo de información:</w:t>
      </w:r>
      <w:r>
        <w:rPr>
          <w:rStyle w:val="s1"/>
          <w:rFonts w:ascii="Open Sans" w:hAnsi="Open Sans" w:cs="Open Sans"/>
          <w:color w:val="333333"/>
          <w:sz w:val="23"/>
          <w:szCs w:val="23"/>
        </w:rPr>
        <w:t> Retribuciones.</w:t>
      </w:r>
    </w:p>
    <w:p w14:paraId="6E8B5EC5" w14:textId="16CEA245" w:rsidR="005E0337" w:rsidRPr="00F72420" w:rsidRDefault="005E0337" w:rsidP="00F72420"/>
    <w:sectPr w:rsidR="005E0337" w:rsidRPr="00F72420" w:rsidSect="00F72420">
      <w:headerReference w:type="default" r:id="rId23"/>
      <w:pgSz w:w="11906" w:h="16838"/>
      <w:pgMar w:top="2410" w:right="1274"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D1031" w14:textId="77777777" w:rsidR="0074687E" w:rsidRDefault="0074687E" w:rsidP="0074687E">
      <w:pPr>
        <w:spacing w:after="0" w:line="240" w:lineRule="auto"/>
      </w:pPr>
      <w:r>
        <w:separator/>
      </w:r>
    </w:p>
  </w:endnote>
  <w:endnote w:type="continuationSeparator" w:id="0">
    <w:p w14:paraId="6835FF4A" w14:textId="77777777" w:rsidR="0074687E" w:rsidRDefault="0074687E" w:rsidP="0074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charset w:val="00"/>
    <w:family w:val="auto"/>
    <w:pitch w:val="variable"/>
    <w:sig w:usb0="8000002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66CDE" w14:textId="77777777" w:rsidR="0074687E" w:rsidRDefault="0074687E" w:rsidP="0074687E">
      <w:pPr>
        <w:spacing w:after="0" w:line="240" w:lineRule="auto"/>
      </w:pPr>
      <w:r>
        <w:separator/>
      </w:r>
    </w:p>
  </w:footnote>
  <w:footnote w:type="continuationSeparator" w:id="0">
    <w:p w14:paraId="15A176F4" w14:textId="77777777" w:rsidR="0074687E" w:rsidRDefault="0074687E" w:rsidP="00746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58E11" w14:textId="77777777" w:rsidR="0074687E" w:rsidRDefault="0074687E">
    <w:pPr>
      <w:pStyle w:val="Encabezad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gridCol w:w="4461"/>
    </w:tblGrid>
    <w:tr w:rsidR="0074687E" w14:paraId="061B58BC" w14:textId="77777777" w:rsidTr="0074687E">
      <w:tc>
        <w:tcPr>
          <w:tcW w:w="4460" w:type="dxa"/>
          <w:vAlign w:val="center"/>
        </w:tcPr>
        <w:p w14:paraId="4A08083A" w14:textId="77777777" w:rsidR="0074687E" w:rsidRDefault="0074687E" w:rsidP="0074687E">
          <w:pPr>
            <w:pStyle w:val="Encabezado"/>
          </w:pPr>
          <w:r>
            <w:rPr>
              <w:noProof/>
            </w:rPr>
            <w:drawing>
              <wp:inline distT="0" distB="0" distL="0" distR="0" wp14:anchorId="2AE6F6FC" wp14:editId="799DDB63">
                <wp:extent cx="1952625" cy="308309"/>
                <wp:effectExtent l="0" t="0" r="0" b="0"/>
                <wp:docPr id="8" name="Imagen 8" descr="Instituto Tecnológico de Cana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o Tecnológico de Canari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274" cy="317727"/>
                        </a:xfrm>
                        <a:prstGeom prst="rect">
                          <a:avLst/>
                        </a:prstGeom>
                        <a:noFill/>
                        <a:ln>
                          <a:noFill/>
                        </a:ln>
                      </pic:spPr>
                    </pic:pic>
                  </a:graphicData>
                </a:graphic>
              </wp:inline>
            </w:drawing>
          </w:r>
        </w:p>
      </w:tc>
      <w:tc>
        <w:tcPr>
          <w:tcW w:w="4461" w:type="dxa"/>
          <w:vAlign w:val="center"/>
        </w:tcPr>
        <w:p w14:paraId="3130820C" w14:textId="77777777" w:rsidR="0074687E" w:rsidRPr="0074687E" w:rsidRDefault="0074687E" w:rsidP="0074687E">
          <w:pPr>
            <w:pStyle w:val="Encabezado"/>
            <w:jc w:val="right"/>
            <w:rPr>
              <w:b/>
              <w:bCs/>
              <w:color w:val="00B0F0"/>
              <w:sz w:val="24"/>
              <w:szCs w:val="24"/>
            </w:rPr>
          </w:pPr>
          <w:r w:rsidRPr="0074687E">
            <w:rPr>
              <w:b/>
              <w:bCs/>
              <w:color w:val="00B0F0"/>
              <w:sz w:val="24"/>
              <w:szCs w:val="24"/>
            </w:rPr>
            <w:t>Portal de transparencia</w:t>
          </w:r>
        </w:p>
        <w:p w14:paraId="2CF9CC32" w14:textId="716E493D" w:rsidR="0074687E" w:rsidRPr="0074687E" w:rsidRDefault="00F72420" w:rsidP="0074687E">
          <w:pPr>
            <w:pStyle w:val="Encabezado"/>
            <w:jc w:val="right"/>
            <w:rPr>
              <w:b/>
              <w:bCs/>
              <w:color w:val="00B0F0"/>
            </w:rPr>
          </w:pPr>
          <w:r>
            <w:rPr>
              <w:b/>
              <w:bCs/>
              <w:color w:val="00B0F0"/>
              <w:sz w:val="28"/>
              <w:szCs w:val="28"/>
            </w:rPr>
            <w:t>Retribuciones</w:t>
          </w:r>
        </w:p>
      </w:tc>
    </w:tr>
    <w:tr w:rsidR="00437609" w14:paraId="065AB5B0" w14:textId="77777777" w:rsidTr="0074687E">
      <w:tc>
        <w:tcPr>
          <w:tcW w:w="4460" w:type="dxa"/>
          <w:vAlign w:val="center"/>
        </w:tcPr>
        <w:p w14:paraId="3EE2DEE7" w14:textId="77777777" w:rsidR="00437609" w:rsidRDefault="00437609" w:rsidP="0074687E">
          <w:pPr>
            <w:pStyle w:val="Encabezado"/>
            <w:rPr>
              <w:noProof/>
            </w:rPr>
          </w:pPr>
        </w:p>
      </w:tc>
      <w:tc>
        <w:tcPr>
          <w:tcW w:w="4461" w:type="dxa"/>
          <w:vAlign w:val="center"/>
        </w:tcPr>
        <w:p w14:paraId="208E18D0" w14:textId="77777777" w:rsidR="00437609" w:rsidRPr="0074687E" w:rsidRDefault="00437609" w:rsidP="0074687E">
          <w:pPr>
            <w:pStyle w:val="Encabezado"/>
            <w:jc w:val="right"/>
            <w:rPr>
              <w:b/>
              <w:bCs/>
              <w:color w:val="00B0F0"/>
              <w:sz w:val="24"/>
              <w:szCs w:val="24"/>
            </w:rPr>
          </w:pPr>
        </w:p>
      </w:tc>
    </w:tr>
  </w:tbl>
  <w:p w14:paraId="6227CB1C" w14:textId="77777777" w:rsidR="0074687E" w:rsidRDefault="007468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A15E6"/>
    <w:multiLevelType w:val="multilevel"/>
    <w:tmpl w:val="783C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00C61"/>
    <w:multiLevelType w:val="multilevel"/>
    <w:tmpl w:val="4DF6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905C1"/>
    <w:multiLevelType w:val="multilevel"/>
    <w:tmpl w:val="CB6C7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DA0ED8"/>
    <w:multiLevelType w:val="multilevel"/>
    <w:tmpl w:val="3728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CB392E"/>
    <w:multiLevelType w:val="multilevel"/>
    <w:tmpl w:val="B44C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FE534A"/>
    <w:multiLevelType w:val="multilevel"/>
    <w:tmpl w:val="08D8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B02EBC"/>
    <w:multiLevelType w:val="multilevel"/>
    <w:tmpl w:val="4DFC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9B7458"/>
    <w:multiLevelType w:val="multilevel"/>
    <w:tmpl w:val="59AEC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3A00BC"/>
    <w:multiLevelType w:val="multilevel"/>
    <w:tmpl w:val="DA04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174B0A"/>
    <w:multiLevelType w:val="multilevel"/>
    <w:tmpl w:val="E0F8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143CAC"/>
    <w:multiLevelType w:val="multilevel"/>
    <w:tmpl w:val="C436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997112"/>
    <w:multiLevelType w:val="multilevel"/>
    <w:tmpl w:val="39500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247AC4"/>
    <w:multiLevelType w:val="multilevel"/>
    <w:tmpl w:val="281E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176B4D"/>
    <w:multiLevelType w:val="multilevel"/>
    <w:tmpl w:val="6EC8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04FEF"/>
    <w:multiLevelType w:val="multilevel"/>
    <w:tmpl w:val="B052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960937"/>
    <w:multiLevelType w:val="multilevel"/>
    <w:tmpl w:val="7330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A538C9"/>
    <w:multiLevelType w:val="multilevel"/>
    <w:tmpl w:val="777A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0F561D"/>
    <w:multiLevelType w:val="multilevel"/>
    <w:tmpl w:val="A6A4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787502"/>
    <w:multiLevelType w:val="multilevel"/>
    <w:tmpl w:val="1AE8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E11DC0"/>
    <w:multiLevelType w:val="hybridMultilevel"/>
    <w:tmpl w:val="F542922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EEC195B"/>
    <w:multiLevelType w:val="multilevel"/>
    <w:tmpl w:val="EF94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E5683D"/>
    <w:multiLevelType w:val="multilevel"/>
    <w:tmpl w:val="5AD6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580835"/>
    <w:multiLevelType w:val="multilevel"/>
    <w:tmpl w:val="18E2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C02442"/>
    <w:multiLevelType w:val="multilevel"/>
    <w:tmpl w:val="5CAC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EF2DDA"/>
    <w:multiLevelType w:val="multilevel"/>
    <w:tmpl w:val="7660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FB3FFA"/>
    <w:multiLevelType w:val="multilevel"/>
    <w:tmpl w:val="27FAF7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5F7F473A"/>
    <w:multiLevelType w:val="multilevel"/>
    <w:tmpl w:val="7624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CF4109"/>
    <w:multiLevelType w:val="multilevel"/>
    <w:tmpl w:val="8240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9632E4"/>
    <w:multiLevelType w:val="multilevel"/>
    <w:tmpl w:val="23AE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AC0F53"/>
    <w:multiLevelType w:val="multilevel"/>
    <w:tmpl w:val="1D50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F26CED"/>
    <w:multiLevelType w:val="multilevel"/>
    <w:tmpl w:val="FD9C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857090"/>
    <w:multiLevelType w:val="multilevel"/>
    <w:tmpl w:val="1BF6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474CA2"/>
    <w:multiLevelType w:val="multilevel"/>
    <w:tmpl w:val="4A8A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F13D1C"/>
    <w:multiLevelType w:val="multilevel"/>
    <w:tmpl w:val="3F10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555712"/>
    <w:multiLevelType w:val="multilevel"/>
    <w:tmpl w:val="29E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4"/>
  </w:num>
  <w:num w:numId="4">
    <w:abstractNumId w:val="12"/>
  </w:num>
  <w:num w:numId="5">
    <w:abstractNumId w:val="2"/>
  </w:num>
  <w:num w:numId="6">
    <w:abstractNumId w:val="9"/>
  </w:num>
  <w:num w:numId="7">
    <w:abstractNumId w:val="30"/>
  </w:num>
  <w:num w:numId="8">
    <w:abstractNumId w:val="21"/>
  </w:num>
  <w:num w:numId="9">
    <w:abstractNumId w:val="22"/>
  </w:num>
  <w:num w:numId="10">
    <w:abstractNumId w:val="31"/>
  </w:num>
  <w:num w:numId="11">
    <w:abstractNumId w:val="25"/>
  </w:num>
  <w:num w:numId="12">
    <w:abstractNumId w:val="0"/>
  </w:num>
  <w:num w:numId="13">
    <w:abstractNumId w:val="27"/>
  </w:num>
  <w:num w:numId="14">
    <w:abstractNumId w:val="28"/>
  </w:num>
  <w:num w:numId="15">
    <w:abstractNumId w:val="20"/>
  </w:num>
  <w:num w:numId="16">
    <w:abstractNumId w:val="26"/>
  </w:num>
  <w:num w:numId="17">
    <w:abstractNumId w:val="34"/>
  </w:num>
  <w:num w:numId="18">
    <w:abstractNumId w:val="17"/>
  </w:num>
  <w:num w:numId="19">
    <w:abstractNumId w:val="15"/>
  </w:num>
  <w:num w:numId="20">
    <w:abstractNumId w:val="5"/>
  </w:num>
  <w:num w:numId="21">
    <w:abstractNumId w:val="16"/>
  </w:num>
  <w:num w:numId="22">
    <w:abstractNumId w:val="18"/>
  </w:num>
  <w:num w:numId="23">
    <w:abstractNumId w:val="10"/>
  </w:num>
  <w:num w:numId="24">
    <w:abstractNumId w:val="13"/>
  </w:num>
  <w:num w:numId="25">
    <w:abstractNumId w:val="1"/>
  </w:num>
  <w:num w:numId="26">
    <w:abstractNumId w:val="11"/>
  </w:num>
  <w:num w:numId="27">
    <w:abstractNumId w:val="7"/>
  </w:num>
  <w:num w:numId="28">
    <w:abstractNumId w:val="23"/>
  </w:num>
  <w:num w:numId="29">
    <w:abstractNumId w:val="19"/>
  </w:num>
  <w:num w:numId="30">
    <w:abstractNumId w:val="3"/>
  </w:num>
  <w:num w:numId="31">
    <w:abstractNumId w:val="6"/>
  </w:num>
  <w:num w:numId="32">
    <w:abstractNumId w:val="33"/>
  </w:num>
  <w:num w:numId="33">
    <w:abstractNumId w:val="24"/>
  </w:num>
  <w:num w:numId="34">
    <w:abstractNumId w:val="3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7E"/>
    <w:rsid w:val="000D138A"/>
    <w:rsid w:val="000D3D66"/>
    <w:rsid w:val="00264B5F"/>
    <w:rsid w:val="003039E3"/>
    <w:rsid w:val="003F5B5A"/>
    <w:rsid w:val="00437609"/>
    <w:rsid w:val="00484716"/>
    <w:rsid w:val="005E0337"/>
    <w:rsid w:val="006D3310"/>
    <w:rsid w:val="0074687E"/>
    <w:rsid w:val="00DA573A"/>
    <w:rsid w:val="00E877A2"/>
    <w:rsid w:val="00F724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66DDC"/>
  <w15:chartTrackingRefBased/>
  <w15:docId w15:val="{607F6353-6879-4E1E-B8AF-8A78E39D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609"/>
    <w:rPr>
      <w:rFonts w:ascii="Open Sans" w:hAnsi="Open Sans"/>
    </w:rPr>
  </w:style>
  <w:style w:type="paragraph" w:styleId="Ttulo2">
    <w:name w:val="heading 2"/>
    <w:basedOn w:val="Normal"/>
    <w:next w:val="Normal"/>
    <w:link w:val="Ttulo2Car"/>
    <w:uiPriority w:val="9"/>
    <w:semiHidden/>
    <w:unhideWhenUsed/>
    <w:qFormat/>
    <w:rsid w:val="00F724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74687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E877A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4687E"/>
    <w:rPr>
      <w:rFonts w:ascii="Times New Roman" w:eastAsia="Times New Roman" w:hAnsi="Times New Roman" w:cs="Times New Roman"/>
      <w:b/>
      <w:bCs/>
      <w:sz w:val="27"/>
      <w:szCs w:val="27"/>
      <w:lang w:eastAsia="es-ES"/>
    </w:rPr>
  </w:style>
  <w:style w:type="paragraph" w:customStyle="1" w:styleId="p1">
    <w:name w:val="p1"/>
    <w:basedOn w:val="Normal"/>
    <w:rsid w:val="0074687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1">
    <w:name w:val="s1"/>
    <w:basedOn w:val="Fuentedeprrafopredeter"/>
    <w:rsid w:val="0074687E"/>
  </w:style>
  <w:style w:type="character" w:styleId="Textoennegrita">
    <w:name w:val="Strong"/>
    <w:basedOn w:val="Fuentedeprrafopredeter"/>
    <w:uiPriority w:val="22"/>
    <w:qFormat/>
    <w:rsid w:val="0074687E"/>
    <w:rPr>
      <w:b/>
      <w:bCs/>
    </w:rPr>
  </w:style>
  <w:style w:type="paragraph" w:styleId="NormalWeb">
    <w:name w:val="Normal (Web)"/>
    <w:basedOn w:val="Normal"/>
    <w:uiPriority w:val="99"/>
    <w:semiHidden/>
    <w:unhideWhenUsed/>
    <w:rsid w:val="0074687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2">
    <w:name w:val="p2"/>
    <w:basedOn w:val="Normal"/>
    <w:rsid w:val="0074687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3">
    <w:name w:val="p3"/>
    <w:basedOn w:val="Normal"/>
    <w:rsid w:val="0074687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4687E"/>
    <w:rPr>
      <w:color w:val="0000FF"/>
      <w:u w:val="single"/>
    </w:rPr>
  </w:style>
  <w:style w:type="character" w:customStyle="1" w:styleId="s2">
    <w:name w:val="s2"/>
    <w:basedOn w:val="Fuentedeprrafopredeter"/>
    <w:rsid w:val="0074687E"/>
  </w:style>
  <w:style w:type="paragraph" w:customStyle="1" w:styleId="p4">
    <w:name w:val="p4"/>
    <w:basedOn w:val="Normal"/>
    <w:rsid w:val="0074687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7468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687E"/>
  </w:style>
  <w:style w:type="paragraph" w:styleId="Piedepgina">
    <w:name w:val="footer"/>
    <w:basedOn w:val="Normal"/>
    <w:link w:val="PiedepginaCar"/>
    <w:uiPriority w:val="99"/>
    <w:unhideWhenUsed/>
    <w:rsid w:val="007468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687E"/>
  </w:style>
  <w:style w:type="table" w:styleId="Tablaconcuadrcula">
    <w:name w:val="Table Grid"/>
    <w:basedOn w:val="Tablanormal"/>
    <w:uiPriority w:val="39"/>
    <w:rsid w:val="0074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877A2"/>
    <w:rPr>
      <w:rFonts w:asciiTheme="majorHAnsi" w:eastAsiaTheme="majorEastAsia" w:hAnsiTheme="majorHAnsi" w:cstheme="majorBidi"/>
      <w:i/>
      <w:iCs/>
      <w:color w:val="2F5496" w:themeColor="accent1" w:themeShade="BF"/>
    </w:rPr>
  </w:style>
  <w:style w:type="paragraph" w:styleId="z-Principiodelformulario">
    <w:name w:val="HTML Top of Form"/>
    <w:basedOn w:val="Normal"/>
    <w:next w:val="Normal"/>
    <w:link w:val="z-PrincipiodelformularioCar"/>
    <w:hidden/>
    <w:uiPriority w:val="99"/>
    <w:semiHidden/>
    <w:unhideWhenUsed/>
    <w:rsid w:val="00437609"/>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437609"/>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437609"/>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437609"/>
    <w:rPr>
      <w:rFonts w:ascii="Arial" w:eastAsia="Times New Roman" w:hAnsi="Arial" w:cs="Arial"/>
      <w:vanish/>
      <w:sz w:val="16"/>
      <w:szCs w:val="16"/>
      <w:lang w:eastAsia="es-ES"/>
    </w:rPr>
  </w:style>
  <w:style w:type="paragraph" w:customStyle="1" w:styleId="has-small-font-size">
    <w:name w:val="has-small-font-size"/>
    <w:basedOn w:val="Normal"/>
    <w:rsid w:val="0043760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37609"/>
    <w:pPr>
      <w:ind w:left="720"/>
      <w:contextualSpacing/>
    </w:pPr>
  </w:style>
  <w:style w:type="character" w:customStyle="1" w:styleId="Ttulo2Car">
    <w:name w:val="Título 2 Car"/>
    <w:basedOn w:val="Fuentedeprrafopredeter"/>
    <w:link w:val="Ttulo2"/>
    <w:uiPriority w:val="9"/>
    <w:semiHidden/>
    <w:rsid w:val="00F72420"/>
    <w:rPr>
      <w:rFonts w:asciiTheme="majorHAnsi" w:eastAsiaTheme="majorEastAsia" w:hAnsiTheme="majorHAnsi" w:cstheme="majorBidi"/>
      <w:color w:val="2F5496" w:themeColor="accent1" w:themeShade="BF"/>
      <w:sz w:val="26"/>
      <w:szCs w:val="26"/>
    </w:rPr>
  </w:style>
  <w:style w:type="character" w:styleId="nfasis">
    <w:name w:val="Emphasis"/>
    <w:basedOn w:val="Fuentedeprrafopredeter"/>
    <w:uiPriority w:val="20"/>
    <w:qFormat/>
    <w:rsid w:val="00F724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35218">
      <w:bodyDiv w:val="1"/>
      <w:marLeft w:val="0"/>
      <w:marRight w:val="0"/>
      <w:marTop w:val="0"/>
      <w:marBottom w:val="0"/>
      <w:divBdr>
        <w:top w:val="none" w:sz="0" w:space="0" w:color="auto"/>
        <w:left w:val="none" w:sz="0" w:space="0" w:color="auto"/>
        <w:bottom w:val="none" w:sz="0" w:space="0" w:color="auto"/>
        <w:right w:val="none" w:sz="0" w:space="0" w:color="auto"/>
      </w:divBdr>
    </w:div>
    <w:div w:id="539902014">
      <w:bodyDiv w:val="1"/>
      <w:marLeft w:val="0"/>
      <w:marRight w:val="0"/>
      <w:marTop w:val="0"/>
      <w:marBottom w:val="0"/>
      <w:divBdr>
        <w:top w:val="none" w:sz="0" w:space="0" w:color="auto"/>
        <w:left w:val="none" w:sz="0" w:space="0" w:color="auto"/>
        <w:bottom w:val="none" w:sz="0" w:space="0" w:color="auto"/>
        <w:right w:val="none" w:sz="0" w:space="0" w:color="auto"/>
      </w:divBdr>
      <w:divsChild>
        <w:div w:id="771051185">
          <w:marLeft w:val="0"/>
          <w:marRight w:val="0"/>
          <w:marTop w:val="0"/>
          <w:marBottom w:val="0"/>
          <w:divBdr>
            <w:top w:val="none" w:sz="0" w:space="0" w:color="auto"/>
            <w:left w:val="none" w:sz="0" w:space="0" w:color="auto"/>
            <w:bottom w:val="none" w:sz="0" w:space="0" w:color="auto"/>
            <w:right w:val="none" w:sz="0" w:space="0" w:color="auto"/>
          </w:divBdr>
          <w:divsChild>
            <w:div w:id="982541957">
              <w:marLeft w:val="-225"/>
              <w:marRight w:val="-225"/>
              <w:marTop w:val="0"/>
              <w:marBottom w:val="0"/>
              <w:divBdr>
                <w:top w:val="none" w:sz="0" w:space="0" w:color="auto"/>
                <w:left w:val="none" w:sz="0" w:space="0" w:color="auto"/>
                <w:bottom w:val="none" w:sz="0" w:space="0" w:color="auto"/>
                <w:right w:val="none" w:sz="0" w:space="0" w:color="auto"/>
              </w:divBdr>
              <w:divsChild>
                <w:div w:id="202325631">
                  <w:marLeft w:val="0"/>
                  <w:marRight w:val="0"/>
                  <w:marTop w:val="0"/>
                  <w:marBottom w:val="0"/>
                  <w:divBdr>
                    <w:top w:val="none" w:sz="0" w:space="0" w:color="auto"/>
                    <w:left w:val="none" w:sz="0" w:space="0" w:color="auto"/>
                    <w:bottom w:val="none" w:sz="0" w:space="0" w:color="auto"/>
                    <w:right w:val="none" w:sz="0" w:space="0" w:color="auto"/>
                  </w:divBdr>
                  <w:divsChild>
                    <w:div w:id="868756543">
                      <w:marLeft w:val="0"/>
                      <w:marRight w:val="0"/>
                      <w:marTop w:val="0"/>
                      <w:marBottom w:val="0"/>
                      <w:divBdr>
                        <w:top w:val="none" w:sz="0" w:space="0" w:color="auto"/>
                        <w:left w:val="none" w:sz="0" w:space="0" w:color="auto"/>
                        <w:bottom w:val="none" w:sz="0" w:space="0" w:color="auto"/>
                        <w:right w:val="none" w:sz="0" w:space="0" w:color="auto"/>
                      </w:divBdr>
                      <w:divsChild>
                        <w:div w:id="1100906006">
                          <w:marLeft w:val="0"/>
                          <w:marRight w:val="0"/>
                          <w:marTop w:val="0"/>
                          <w:marBottom w:val="0"/>
                          <w:divBdr>
                            <w:top w:val="none" w:sz="0" w:space="0" w:color="auto"/>
                            <w:left w:val="none" w:sz="0" w:space="0" w:color="auto"/>
                            <w:bottom w:val="none" w:sz="0" w:space="0" w:color="auto"/>
                            <w:right w:val="none" w:sz="0" w:space="0" w:color="auto"/>
                          </w:divBdr>
                          <w:divsChild>
                            <w:div w:id="2070379000">
                              <w:marLeft w:val="-225"/>
                              <w:marRight w:val="-225"/>
                              <w:marTop w:val="0"/>
                              <w:marBottom w:val="0"/>
                              <w:divBdr>
                                <w:top w:val="none" w:sz="0" w:space="0" w:color="auto"/>
                                <w:left w:val="none" w:sz="0" w:space="0" w:color="auto"/>
                                <w:bottom w:val="none" w:sz="0" w:space="0" w:color="auto"/>
                                <w:right w:val="none" w:sz="0" w:space="0" w:color="auto"/>
                              </w:divBdr>
                              <w:divsChild>
                                <w:div w:id="234778722">
                                  <w:marLeft w:val="0"/>
                                  <w:marRight w:val="0"/>
                                  <w:marTop w:val="0"/>
                                  <w:marBottom w:val="0"/>
                                  <w:divBdr>
                                    <w:top w:val="none" w:sz="0" w:space="0" w:color="auto"/>
                                    <w:left w:val="none" w:sz="0" w:space="0" w:color="auto"/>
                                    <w:bottom w:val="none" w:sz="0" w:space="0" w:color="auto"/>
                                    <w:right w:val="none" w:sz="0" w:space="0" w:color="auto"/>
                                  </w:divBdr>
                                  <w:divsChild>
                                    <w:div w:id="1005473060">
                                      <w:marLeft w:val="0"/>
                                      <w:marRight w:val="0"/>
                                      <w:marTop w:val="0"/>
                                      <w:marBottom w:val="0"/>
                                      <w:divBdr>
                                        <w:top w:val="none" w:sz="0" w:space="0" w:color="auto"/>
                                        <w:left w:val="none" w:sz="0" w:space="0" w:color="auto"/>
                                        <w:bottom w:val="none" w:sz="0" w:space="0" w:color="auto"/>
                                        <w:right w:val="none" w:sz="0" w:space="0" w:color="auto"/>
                                      </w:divBdr>
                                    </w:div>
                                    <w:div w:id="1461414960">
                                      <w:marLeft w:val="0"/>
                                      <w:marRight w:val="0"/>
                                      <w:marTop w:val="0"/>
                                      <w:marBottom w:val="0"/>
                                      <w:divBdr>
                                        <w:top w:val="none" w:sz="0" w:space="0" w:color="auto"/>
                                        <w:left w:val="none" w:sz="0" w:space="0" w:color="auto"/>
                                        <w:bottom w:val="none" w:sz="0" w:space="0" w:color="auto"/>
                                        <w:right w:val="none" w:sz="0" w:space="0" w:color="auto"/>
                                      </w:divBdr>
                                      <w:divsChild>
                                        <w:div w:id="591664855">
                                          <w:marLeft w:val="-225"/>
                                          <w:marRight w:val="-225"/>
                                          <w:marTop w:val="0"/>
                                          <w:marBottom w:val="0"/>
                                          <w:divBdr>
                                            <w:top w:val="none" w:sz="0" w:space="0" w:color="auto"/>
                                            <w:left w:val="none" w:sz="0" w:space="0" w:color="auto"/>
                                            <w:bottom w:val="none" w:sz="0" w:space="0" w:color="auto"/>
                                            <w:right w:val="none" w:sz="0" w:space="0" w:color="auto"/>
                                          </w:divBdr>
                                          <w:divsChild>
                                            <w:div w:id="522983491">
                                              <w:marLeft w:val="0"/>
                                              <w:marRight w:val="0"/>
                                              <w:marTop w:val="150"/>
                                              <w:marBottom w:val="0"/>
                                              <w:divBdr>
                                                <w:top w:val="none" w:sz="0" w:space="0" w:color="auto"/>
                                                <w:left w:val="none" w:sz="0" w:space="0" w:color="auto"/>
                                                <w:bottom w:val="none" w:sz="0" w:space="0" w:color="auto"/>
                                                <w:right w:val="none" w:sz="0" w:space="0" w:color="auto"/>
                                              </w:divBdr>
                                            </w:div>
                                            <w:div w:id="1350568534">
                                              <w:marLeft w:val="0"/>
                                              <w:marRight w:val="0"/>
                                              <w:marTop w:val="150"/>
                                              <w:marBottom w:val="0"/>
                                              <w:divBdr>
                                                <w:top w:val="none" w:sz="0" w:space="0" w:color="auto"/>
                                                <w:left w:val="none" w:sz="0" w:space="0" w:color="auto"/>
                                                <w:bottom w:val="none" w:sz="0" w:space="0" w:color="auto"/>
                                                <w:right w:val="none" w:sz="0" w:space="0" w:color="auto"/>
                                              </w:divBdr>
                                            </w:div>
                                          </w:divsChild>
                                        </w:div>
                                        <w:div w:id="1279990982">
                                          <w:marLeft w:val="0"/>
                                          <w:marRight w:val="0"/>
                                          <w:marTop w:val="0"/>
                                          <w:marBottom w:val="0"/>
                                          <w:divBdr>
                                            <w:top w:val="none" w:sz="0" w:space="0" w:color="auto"/>
                                            <w:left w:val="none" w:sz="0" w:space="0" w:color="auto"/>
                                            <w:bottom w:val="none" w:sz="0" w:space="0" w:color="auto"/>
                                            <w:right w:val="none" w:sz="0" w:space="0" w:color="auto"/>
                                          </w:divBdr>
                                        </w:div>
                                      </w:divsChild>
                                    </w:div>
                                    <w:div w:id="16563276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387160">
      <w:bodyDiv w:val="1"/>
      <w:marLeft w:val="0"/>
      <w:marRight w:val="0"/>
      <w:marTop w:val="0"/>
      <w:marBottom w:val="0"/>
      <w:divBdr>
        <w:top w:val="none" w:sz="0" w:space="0" w:color="auto"/>
        <w:left w:val="none" w:sz="0" w:space="0" w:color="auto"/>
        <w:bottom w:val="none" w:sz="0" w:space="0" w:color="auto"/>
        <w:right w:val="none" w:sz="0" w:space="0" w:color="auto"/>
      </w:divBdr>
    </w:div>
    <w:div w:id="193377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ccanarias.org/web/images/itc/TR-RET-Decreto_251-1997_de_30_de_septiembre_de_indemnizaciones_por_razn_del_servicio.pdf" TargetMode="External"/><Relationship Id="rId13" Type="http://schemas.openxmlformats.org/officeDocument/2006/relationships/hyperlink" Target="https://www.itccanarias.org/web/images/itc/TR-RET-CUADRO_EXCEL_INDEMNIZACION_POR_SERVICIO_2019_GABRIEL.ods" TargetMode="External"/><Relationship Id="rId18" Type="http://schemas.openxmlformats.org/officeDocument/2006/relationships/hyperlink" Target="https://www.itccanarias.org/web/images/itc/TR-RET-Tablas_Salariales_2020.ods" TargetMode="External"/><Relationship Id="rId3" Type="http://schemas.openxmlformats.org/officeDocument/2006/relationships/settings" Target="settings.xml"/><Relationship Id="rId21" Type="http://schemas.openxmlformats.org/officeDocument/2006/relationships/hyperlink" Target="https://www.itccanarias.org/web/images/itc/TR-RET-Decreto_251-1997_de_30_de_septiembre_de_indemnizaciones_por_razn_del_servicio.pdf" TargetMode="External"/><Relationship Id="rId7" Type="http://schemas.openxmlformats.org/officeDocument/2006/relationships/hyperlink" Target="https://www.itccanarias.org/web/images/itc/TR-RET-II_Convenio_Colectivo_ITC.pdf" TargetMode="External"/><Relationship Id="rId12" Type="http://schemas.openxmlformats.org/officeDocument/2006/relationships/hyperlink" Target="https://www.itccanarias.org/web/images/itc/TR-RET-CUADRO_EXCEL_INDEMNIZACION_POR_SERVICIO_2019_GABRIEL.xlsx" TargetMode="External"/><Relationship Id="rId17" Type="http://schemas.openxmlformats.org/officeDocument/2006/relationships/hyperlink" Target="https://www.itccanarias.org/web/images/itc/TR-RET-Tablas_Salariales_2020.xl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tccanarias.org/web/images/itc/TR-RET-II_Convenio_Colectivo_ITC.pdf" TargetMode="External"/><Relationship Id="rId20" Type="http://schemas.openxmlformats.org/officeDocument/2006/relationships/hyperlink" Target="https://www.itccanarias.org/web/images/itc/TR-RET-Decreto_251-1997_de_30_de_septiembre_de_indemnizaciones_por_razn_del_servicio.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ccanarias.org/web/images/itc/TR-RET-RETRIBUCION_GERENTE_ITC_2020.od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tccanarias.org/web/images/itc/TR-RET-Decreto_251-1997_de_30_de_septiembre_de_indemnizaciones_por_razn_del_servicio.pdf" TargetMode="External"/><Relationship Id="rId23" Type="http://schemas.openxmlformats.org/officeDocument/2006/relationships/header" Target="header1.xml"/><Relationship Id="rId10" Type="http://schemas.openxmlformats.org/officeDocument/2006/relationships/hyperlink" Target="https://www.itccanarias.org/web/images/itc/TR-RET-RETRIBUCION_GERENTE_ITC_2020.xlsx"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itccanarias.org/web/images/itc/TR-RET-Decreto_251-1997_de_30_de_septiembre_de_indemnizaciones_por_razn_del_servicio.pdf" TargetMode="External"/><Relationship Id="rId14" Type="http://schemas.openxmlformats.org/officeDocument/2006/relationships/hyperlink" Target="https://www.itccanarias.org/web/images/itc/TR-RET-Orden_de_9_de_mayo_de_2005.pdf" TargetMode="External"/><Relationship Id="rId22" Type="http://schemas.openxmlformats.org/officeDocument/2006/relationships/hyperlink" Target="https://www.itccanarias.org/web/images/itc/TR-RET-Decreto_251-1997_de_30_de_septiembre_de_indemnizaciones_por_razn_del_servici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970</Words>
  <Characters>5341</Characters>
  <Application>Microsoft Office Word</Application>
  <DocSecurity>0</DocSecurity>
  <Lines>44</Lines>
  <Paragraphs>12</Paragraphs>
  <ScaleCrop>false</ScaleCrop>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rgarcia@itccanarias.org</dc:creator>
  <cp:keywords/>
  <dc:description/>
  <cp:lastModifiedBy>rgarcia@itccanarias.org</cp:lastModifiedBy>
  <cp:revision>2</cp:revision>
  <dcterms:created xsi:type="dcterms:W3CDTF">2020-07-06T10:33:00Z</dcterms:created>
  <dcterms:modified xsi:type="dcterms:W3CDTF">2020-07-06T10:33:00Z</dcterms:modified>
</cp:coreProperties>
</file>