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9638" w14:textId="77777777" w:rsidR="002A7C86" w:rsidRDefault="002A7C86" w:rsidP="002A7C86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s1"/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Portal de Transparencia</w:t>
      </w:r>
      <w:r>
        <w:rPr>
          <w:rStyle w:val="s1"/>
          <w:rFonts w:ascii="Open Sans" w:hAnsi="Open Sans" w:cs="Open Sans"/>
          <w:color w:val="333333"/>
          <w:sz w:val="23"/>
          <w:szCs w:val="23"/>
        </w:rPr>
        <w:t> del Instituto Tecnológico de Canarias, S.A, da acceso a los ciudadanos a toda la información pública de esta entidad, facilitando el conocimiento más relevante sobre las actividades y servicios que realizamos, y con el fin de mejorar la calidad y eficiencia de dichas actividades y servicios.</w:t>
      </w:r>
    </w:p>
    <w:p w14:paraId="097A9FB7" w14:textId="77777777" w:rsidR="002A7C86" w:rsidRDefault="002A7C86" w:rsidP="002A7C86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s1"/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s1"/>
          <w:rFonts w:ascii="Open Sans" w:hAnsi="Open Sans" w:cs="Open Sans"/>
          <w:b/>
          <w:bCs/>
          <w:color w:val="333333"/>
          <w:sz w:val="23"/>
          <w:szCs w:val="23"/>
        </w:rPr>
        <w:t>Instituto Tecnológico de Canarias, S.A.</w:t>
      </w:r>
      <w:r>
        <w:rPr>
          <w:rStyle w:val="s1"/>
          <w:rFonts w:ascii="Open Sans" w:hAnsi="Open Sans" w:cs="Open Sans"/>
          <w:color w:val="333333"/>
          <w:sz w:val="23"/>
          <w:szCs w:val="23"/>
        </w:rPr>
        <w:t>, se encuentra dentro del ámbito de aplicación de la </w:t>
      </w:r>
      <w:hyperlink r:id="rId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Ley 12/2014, de 26 de diciembre, de transparencia y acceso a la información pública</w:t>
        </w:r>
      </w:hyperlink>
      <w:r>
        <w:rPr>
          <w:rStyle w:val="s1"/>
          <w:rFonts w:ascii="Open Sans" w:hAnsi="Open Sans" w:cs="Open Sans"/>
          <w:color w:val="333333"/>
          <w:sz w:val="23"/>
          <w:szCs w:val="23"/>
        </w:rPr>
        <w:t>. Esta Ley supone el desarrollo legislativo en el ámbito de la Comunidad Autónoma Canaria de la </w:t>
      </w:r>
      <w:hyperlink r:id="rId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Ley básica estatal Ley 19/2013, de 9 de diciembre, de transparencia, acceso a la información pública y buen gobierno</w:t>
        </w:r>
      </w:hyperlink>
      <w:r>
        <w:rPr>
          <w:rStyle w:val="s1"/>
          <w:rFonts w:ascii="Open Sans" w:hAnsi="Open Sans" w:cs="Open Sans"/>
          <w:color w:val="333333"/>
          <w:sz w:val="23"/>
          <w:szCs w:val="23"/>
        </w:rPr>
        <w:t> y que tiene por objeto ampliar y reforzar la transparencia de la actividad pública, regular y garantizar el derecho de acceso a la información relativa a aquella actividad y establecer las obligaciones de buen gobierno que deben cumplir los responsables públicos.</w:t>
      </w:r>
    </w:p>
    <w:p w14:paraId="404DD9E4" w14:textId="77777777" w:rsidR="002A7C86" w:rsidRDefault="002A7C86" w:rsidP="002A7C86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s1"/>
          <w:rFonts w:ascii="Open Sans" w:hAnsi="Open Sans" w:cs="Open Sans"/>
          <w:color w:val="333333"/>
          <w:sz w:val="23"/>
          <w:szCs w:val="23"/>
        </w:rPr>
        <w:t>Se facilita el enlace a la web del </w:t>
      </w:r>
      <w:hyperlink r:id="rId9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Comisionado de Transparencia</w:t>
        </w:r>
      </w:hyperlink>
      <w:r>
        <w:rPr>
          <w:rStyle w:val="s2"/>
          <w:rFonts w:ascii="Open Sans" w:hAnsi="Open Sans" w:cs="Open Sans"/>
          <w:color w:val="333333"/>
          <w:sz w:val="23"/>
          <w:szCs w:val="23"/>
        </w:rPr>
        <w:t>, en la que se e</w:t>
      </w:r>
      <w:r>
        <w:rPr>
          <w:rStyle w:val="s1"/>
          <w:rFonts w:ascii="Open Sans" w:hAnsi="Open Sans" w:cs="Open Sans"/>
          <w:color w:val="333333"/>
          <w:sz w:val="23"/>
          <w:szCs w:val="23"/>
        </w:rPr>
        <w:t>ncuentra amplia información acerca de sus funciones y posibilita las </w:t>
      </w:r>
      <w:hyperlink r:id="rId1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reclamaciones </w:t>
        </w:r>
      </w:hyperlink>
      <w:r>
        <w:rPr>
          <w:rStyle w:val="s1"/>
          <w:rFonts w:ascii="Open Sans" w:hAnsi="Open Sans" w:cs="Open Sans"/>
          <w:color w:val="333333"/>
          <w:sz w:val="23"/>
          <w:szCs w:val="23"/>
        </w:rPr>
        <w:t>de la ciudadanía ante el Comisionado, en el caso de que al/a la solicitante no se le conceda acceso a la información solicitada. </w:t>
      </w:r>
    </w:p>
    <w:p w14:paraId="05ACE952" w14:textId="1B30EE94" w:rsidR="002A7C86" w:rsidRDefault="002A7C86" w:rsidP="002A7C86">
      <w:pPr>
        <w:pStyle w:val="p1"/>
        <w:shd w:val="clear" w:color="auto" w:fill="FFFFFF"/>
        <w:spacing w:before="0" w:beforeAutospacing="0" w:after="300" w:afterAutospacing="0"/>
        <w:jc w:val="center"/>
        <w:rPr>
          <w:rFonts w:ascii="Open Sans" w:hAnsi="Open Sans" w:cs="Open Sans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 wp14:anchorId="03D0F8DB" wp14:editId="2D6F2025">
            <wp:extent cx="2924175" cy="781050"/>
            <wp:effectExtent l="0" t="0" r="9525" b="0"/>
            <wp:docPr id="5" name="Imagen 5" descr="Texto&#10;&#10;Descripción generada automáticamente con confianza baja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 con confianza baja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FAFC0" w14:textId="77777777" w:rsidR="002A7C86" w:rsidRDefault="002A7C86" w:rsidP="002A7C8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Asimismo, puede consultar la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Declaración de Accesibilidad</w:t>
      </w:r>
      <w:r>
        <w:rPr>
          <w:rFonts w:ascii="Open Sans" w:hAnsi="Open Sans" w:cs="Open Sans"/>
          <w:color w:val="333333"/>
          <w:sz w:val="23"/>
          <w:szCs w:val="23"/>
        </w:rPr>
        <w:t> en el apartado </w:t>
      </w:r>
      <w:hyperlink r:id="rId1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Accesibilidad</w:t>
        </w:r>
      </w:hyperlink>
    </w:p>
    <w:p w14:paraId="09EC9BA8" w14:textId="77777777" w:rsidR="002A7C86" w:rsidRDefault="002A7C86" w:rsidP="002A7C8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Canarias, S.A. </w:t>
      </w:r>
      <w:r>
        <w:rPr>
          <w:rFonts w:ascii="Open Sans" w:hAnsi="Open Sans" w:cs="Open Sans"/>
          <w:color w:val="333333"/>
          <w:sz w:val="23"/>
          <w:szCs w:val="23"/>
        </w:rPr>
        <w:t>se encuentra inmerso en un proceso de adaptación de sus procesos y procedimientos para reforzar la transparencia de su actividad pública. Les facilitamos los informes de cumplimiento del grado de transparencia del ITC emitido por Comisionado de Transparencia y Acceso a la Información Pública de Canarias:</w:t>
      </w:r>
    </w:p>
    <w:p w14:paraId="551C253E" w14:textId="77777777" w:rsidR="002A7C86" w:rsidRDefault="002A7C86" w:rsidP="002A7C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2017 (.</w:t>
      </w:r>
      <w:hyperlink r:id="rId1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1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1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33CD919E" w14:textId="77777777" w:rsidR="002A7C86" w:rsidRDefault="002A7C86" w:rsidP="002A7C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2018 (.</w:t>
      </w:r>
      <w:hyperlink r:id="rId16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1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1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05828EC" w14:textId="77777777" w:rsidR="002A7C86" w:rsidRDefault="002A7C86" w:rsidP="002A7C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2019 (.</w:t>
      </w:r>
      <w:hyperlink r:id="rId19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2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2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0126CD5D" w14:textId="77777777" w:rsidR="002A7C86" w:rsidRDefault="002A7C86" w:rsidP="002A7C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2020 (.</w:t>
      </w:r>
      <w:hyperlink r:id="rId2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2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2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48A1245A" w14:textId="77777777" w:rsidR="002A7C86" w:rsidRDefault="002A7C86" w:rsidP="002A7C8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68FC7A0B" w14:textId="77777777" w:rsidR="002A7C86" w:rsidRDefault="002A7C86" w:rsidP="002A7C8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 Instituto Tecnológico de Canarias, S.A. elabora anualmente, y tras la evaluación por parte del Comisionado de Transparencia y Acceso a la Información Pública de Canarias, un informe sobre el grado de aplicación de la Ley de Transparencia.</w:t>
      </w:r>
    </w:p>
    <w:p w14:paraId="38E2EC23" w14:textId="77777777" w:rsidR="002A7C86" w:rsidRDefault="002A7C86" w:rsidP="002A7C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Anual sobre el grado de aplicación de la Ley 12/2014, de 26 de diciembre, de Transparencia y Acceso a la Información Pública. Ejercicio 2019 (</w:t>
      </w:r>
      <w:hyperlink r:id="rId2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489C305" w14:textId="77777777" w:rsidR="002A7C86" w:rsidRDefault="002A7C86" w:rsidP="002A7C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Anual sobre el grado de aplicación de la Ley 12/2014, de 26 de diciembre, de Transparencia y Acceso a la Información Pública. Ejercicio 2020 (</w:t>
      </w:r>
      <w:hyperlink r:id="rId26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640B7B85" w14:textId="77777777" w:rsidR="002A7C86" w:rsidRDefault="002A7C86" w:rsidP="002A7C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Anual sobre el grado de aplicación de la Ley 12/2014, de 26 de diciembre, de Transparencia y Acceso a la Información Pública. Ejercicio 2021 (</w:t>
      </w:r>
      <w:hyperlink r:id="rId2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278E7BF4" w14:textId="77777777" w:rsidR="002A7C86" w:rsidRDefault="002A7C86" w:rsidP="002A7C8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03602EE" w14:textId="77777777" w:rsidR="002A7C86" w:rsidRDefault="002A7C86" w:rsidP="002A7C8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Si desea realizar una solicitud a nuestra entidad sobre cualquier información recogida dentro de este portal, póngase en contacto con nosotros a través del correo </w:t>
      </w:r>
      <w:hyperlink r:id="rId2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transparencia@itccanarias.org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. Asimismo, si desea información sobre las consultas que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</w:t>
      </w:r>
      <w:r>
        <w:rPr>
          <w:rFonts w:ascii="Open Sans" w:hAnsi="Open Sans" w:cs="Open Sans"/>
          <w:color w:val="333333"/>
          <w:sz w:val="23"/>
          <w:szCs w:val="23"/>
        </w:rPr>
        <w:t> ha recibido, puede solicitarla a través de la sección </w:t>
      </w:r>
      <w:hyperlink r:id="rId29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Derecho de Acceso</w:t>
        </w:r>
      </w:hyperlink>
      <w:r>
        <w:rPr>
          <w:rFonts w:ascii="Open Sans" w:hAnsi="Open Sans" w:cs="Open Sans"/>
          <w:color w:val="333333"/>
          <w:sz w:val="23"/>
          <w:szCs w:val="23"/>
        </w:rPr>
        <w:t>.</w:t>
      </w:r>
    </w:p>
    <w:p w14:paraId="484B8F5B" w14:textId="77777777" w:rsidR="005E2C4D" w:rsidRPr="005E2C4D" w:rsidRDefault="005E2C4D" w:rsidP="005E2C4D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 w:rsidRPr="005E2C4D">
        <w:rPr>
          <w:rFonts w:ascii="Open Sans" w:hAnsi="Open Sans" w:cs="Open Sans"/>
          <w:color w:val="333333"/>
          <w:sz w:val="23"/>
          <w:szCs w:val="23"/>
        </w:rPr>
        <w:t> </w:t>
      </w:r>
    </w:p>
    <w:p w14:paraId="49F142A8" w14:textId="77777777" w:rsidR="002A7C86" w:rsidRPr="002A7C86" w:rsidRDefault="002A7C86" w:rsidP="002A7C86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2A7C86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Fecha de Actualización:</w:t>
      </w:r>
      <w:r w:rsidRPr="002A7C86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18 de abril de 2022</w:t>
      </w:r>
      <w:r w:rsidRPr="002A7C86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2A7C86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Periodicidad:</w:t>
      </w:r>
      <w:r w:rsidRPr="002A7C86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Anual</w:t>
      </w:r>
      <w:r w:rsidRPr="002A7C86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2A7C86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Tipo de información:</w:t>
      </w:r>
      <w:r w:rsidRPr="002A7C86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Portal de Transparencia</w:t>
      </w:r>
    </w:p>
    <w:p w14:paraId="75513BDC" w14:textId="77777777" w:rsidR="002A7C86" w:rsidRDefault="002A7C86" w:rsidP="002A7C86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</w:p>
    <w:p w14:paraId="0850EDF2" w14:textId="44CC8683" w:rsidR="002A7C86" w:rsidRPr="002A7C86" w:rsidRDefault="002A7C86" w:rsidP="002A7C86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2A7C86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El </w:t>
      </w:r>
      <w:r w:rsidRPr="002A7C86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Instituto Tecnológico de Canarias, S.A.</w:t>
      </w:r>
      <w:r w:rsidRPr="002A7C86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, como Sociedad Mercantil Pública, a su vez, pone a disposición de la ciudadanía este Portal de Transparencia para que puedan acceder a la información pública de forma fácil y sencilla. Esta información estará estructurada en los siguientes ámbitos:</w:t>
      </w:r>
    </w:p>
    <w:p w14:paraId="670EF0EA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0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Institucional</w:t>
        </w:r>
      </w:hyperlink>
    </w:p>
    <w:p w14:paraId="433D36B8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1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Organizativa</w:t>
        </w:r>
      </w:hyperlink>
    </w:p>
    <w:p w14:paraId="1E691866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2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Personal de libre nombramiento</w:t>
        </w:r>
      </w:hyperlink>
    </w:p>
    <w:p w14:paraId="40D9B594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3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Empleo en el sector público</w:t>
        </w:r>
      </w:hyperlink>
    </w:p>
    <w:p w14:paraId="7B17D544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4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Retribuciones</w:t>
        </w:r>
      </w:hyperlink>
    </w:p>
    <w:p w14:paraId="5C5D7E1F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5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Servicios y procedimientos</w:t>
        </w:r>
      </w:hyperlink>
    </w:p>
    <w:p w14:paraId="09BC652C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6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Económico-financiera</w:t>
        </w:r>
      </w:hyperlink>
    </w:p>
    <w:p w14:paraId="1B8210C5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7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Contratos</w:t>
        </w:r>
      </w:hyperlink>
    </w:p>
    <w:p w14:paraId="67CA097D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8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Convenios, Encargos y Subvenciones</w:t>
        </w:r>
      </w:hyperlink>
    </w:p>
    <w:p w14:paraId="4CDAFBE4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39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Plan de Medidas Antifraude</w:t>
        </w:r>
      </w:hyperlink>
    </w:p>
    <w:p w14:paraId="07FE40DC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40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Concesión de servicios públicos</w:t>
        </w:r>
      </w:hyperlink>
    </w:p>
    <w:p w14:paraId="400AE208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41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Ayudas y subvenciones</w:t>
        </w:r>
      </w:hyperlink>
    </w:p>
    <w:p w14:paraId="7C8E29E4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42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Estadística</w:t>
        </w:r>
      </w:hyperlink>
    </w:p>
    <w:p w14:paraId="74E9F9A0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43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Derecho de Acceso</w:t>
        </w:r>
      </w:hyperlink>
    </w:p>
    <w:p w14:paraId="4F1A5B3F" w14:textId="77777777" w:rsidR="005E2C4D" w:rsidRDefault="005E2C4D" w:rsidP="005E2C4D">
      <w:pPr>
        <w:numPr>
          <w:ilvl w:val="0"/>
          <w:numId w:val="9"/>
        </w:numPr>
        <w:shd w:val="clear" w:color="auto" w:fill="F8F8F8"/>
        <w:spacing w:beforeAutospacing="1" w:after="0" w:afterAutospacing="1" w:line="240" w:lineRule="auto"/>
        <w:jc w:val="center"/>
        <w:rPr>
          <w:rFonts w:ascii="Montserrat" w:hAnsi="Montserrat"/>
          <w:color w:val="4D4D4D"/>
          <w:sz w:val="18"/>
          <w:szCs w:val="18"/>
        </w:rPr>
      </w:pPr>
      <w:hyperlink r:id="rId44" w:history="1">
        <w:r>
          <w:rPr>
            <w:rStyle w:val="Hipervnculo"/>
            <w:rFonts w:ascii="Montserrat" w:hAnsi="Montserrat"/>
            <w:color w:val="555555"/>
            <w:sz w:val="18"/>
            <w:szCs w:val="18"/>
            <w:u w:val="none"/>
            <w:shd w:val="clear" w:color="auto" w:fill="FFFFFF"/>
          </w:rPr>
          <w:t>Accesibilidad</w:t>
        </w:r>
      </w:hyperlink>
    </w:p>
    <w:p w14:paraId="6B571D98" w14:textId="77777777" w:rsidR="0074673F" w:rsidRDefault="0074673F" w:rsidP="0074673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Fonts w:ascii="Montserrat" w:hAnsi="Montserrat"/>
          <w:b w:val="0"/>
          <w:bCs w:val="0"/>
          <w:caps/>
          <w:color w:val="0095F8"/>
          <w:spacing w:val="-4"/>
        </w:rPr>
        <w:t> </w:t>
      </w:r>
    </w:p>
    <w:p w14:paraId="7277A629" w14:textId="6186EAF2" w:rsidR="00C8667E" w:rsidRPr="0074673F" w:rsidRDefault="00C8667E" w:rsidP="0074673F"/>
    <w:sectPr w:rsidR="00C8667E" w:rsidRPr="0074673F" w:rsidSect="0080777A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2268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E982" w14:textId="77777777" w:rsidR="00111D7A" w:rsidRDefault="00111D7A" w:rsidP="003453D9">
      <w:pPr>
        <w:spacing w:after="0" w:line="240" w:lineRule="auto"/>
      </w:pPr>
      <w:r>
        <w:separator/>
      </w:r>
    </w:p>
  </w:endnote>
  <w:endnote w:type="continuationSeparator" w:id="0">
    <w:p w14:paraId="5A89B78D" w14:textId="77777777" w:rsidR="00111D7A" w:rsidRDefault="00111D7A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3EF8" w14:textId="77777777" w:rsidR="003D7819" w:rsidRDefault="003D78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B120" w14:textId="77777777" w:rsidR="003D7819" w:rsidRDefault="003D78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9E3B" w14:textId="77777777" w:rsidR="003D7819" w:rsidRDefault="003D78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5647" w14:textId="77777777" w:rsidR="00111D7A" w:rsidRDefault="00111D7A" w:rsidP="003453D9">
      <w:pPr>
        <w:spacing w:after="0" w:line="240" w:lineRule="auto"/>
      </w:pPr>
      <w:r>
        <w:separator/>
      </w:r>
    </w:p>
  </w:footnote>
  <w:footnote w:type="continuationSeparator" w:id="0">
    <w:p w14:paraId="5349225E" w14:textId="77777777" w:rsidR="00111D7A" w:rsidRDefault="00111D7A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CD5" w14:textId="77777777" w:rsidR="003D7819" w:rsidRDefault="003D78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68FB" w14:textId="6221312B" w:rsidR="003453D9" w:rsidRDefault="003453D9">
    <w:pPr>
      <w:pStyle w:val="Encabezado"/>
    </w:pPr>
  </w:p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3453D9" w14:paraId="721DE9DF" w14:textId="77777777" w:rsidTr="0080777A">
      <w:trPr>
        <w:trHeight w:val="835"/>
      </w:trPr>
      <w:tc>
        <w:tcPr>
          <w:tcW w:w="3975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4D256D8" w14:textId="77777777" w:rsidR="003453D9" w:rsidRPr="00F45F47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14:paraId="049C0FFC" w14:textId="211DED8F" w:rsidR="00F45F47" w:rsidRPr="003453D9" w:rsidRDefault="002A7C86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D85A" w14:textId="77777777" w:rsidR="003D7819" w:rsidRDefault="003D7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F23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EB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D88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4ED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A68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50D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7E2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AB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7EA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CC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93D8E"/>
    <w:multiLevelType w:val="multilevel"/>
    <w:tmpl w:val="849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E5CC6"/>
    <w:multiLevelType w:val="multilevel"/>
    <w:tmpl w:val="D2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E4054"/>
    <w:multiLevelType w:val="multilevel"/>
    <w:tmpl w:val="1B5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097E3E"/>
    <w:multiLevelType w:val="multilevel"/>
    <w:tmpl w:val="A53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5958CA"/>
    <w:multiLevelType w:val="multilevel"/>
    <w:tmpl w:val="1C4C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663A8"/>
    <w:multiLevelType w:val="hybridMultilevel"/>
    <w:tmpl w:val="F8880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467F7"/>
    <w:multiLevelType w:val="multilevel"/>
    <w:tmpl w:val="9C3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00B38"/>
    <w:multiLevelType w:val="multilevel"/>
    <w:tmpl w:val="480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24D11"/>
    <w:multiLevelType w:val="multilevel"/>
    <w:tmpl w:val="770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72F4E"/>
    <w:multiLevelType w:val="hybridMultilevel"/>
    <w:tmpl w:val="23F61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6721C"/>
    <w:multiLevelType w:val="multilevel"/>
    <w:tmpl w:val="F95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D3940"/>
    <w:multiLevelType w:val="multilevel"/>
    <w:tmpl w:val="0CE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D56E3"/>
    <w:multiLevelType w:val="multilevel"/>
    <w:tmpl w:val="0E5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117042">
    <w:abstractNumId w:val="14"/>
  </w:num>
  <w:num w:numId="2" w16cid:durableId="56829896">
    <w:abstractNumId w:val="13"/>
  </w:num>
  <w:num w:numId="3" w16cid:durableId="1508398272">
    <w:abstractNumId w:val="12"/>
  </w:num>
  <w:num w:numId="4" w16cid:durableId="138235117">
    <w:abstractNumId w:val="16"/>
  </w:num>
  <w:num w:numId="5" w16cid:durableId="1836264902">
    <w:abstractNumId w:val="10"/>
  </w:num>
  <w:num w:numId="6" w16cid:durableId="896361489">
    <w:abstractNumId w:val="17"/>
  </w:num>
  <w:num w:numId="7" w16cid:durableId="1827503284">
    <w:abstractNumId w:val="20"/>
  </w:num>
  <w:num w:numId="8" w16cid:durableId="1331759663">
    <w:abstractNumId w:val="22"/>
  </w:num>
  <w:num w:numId="9" w16cid:durableId="1701465427">
    <w:abstractNumId w:val="11"/>
  </w:num>
  <w:num w:numId="10" w16cid:durableId="1571959168">
    <w:abstractNumId w:val="15"/>
  </w:num>
  <w:num w:numId="11" w16cid:durableId="686636275">
    <w:abstractNumId w:val="19"/>
  </w:num>
  <w:num w:numId="12" w16cid:durableId="237984959">
    <w:abstractNumId w:val="9"/>
  </w:num>
  <w:num w:numId="13" w16cid:durableId="1434588328">
    <w:abstractNumId w:val="8"/>
  </w:num>
  <w:num w:numId="14" w16cid:durableId="1923834625">
    <w:abstractNumId w:val="7"/>
  </w:num>
  <w:num w:numId="15" w16cid:durableId="907687267">
    <w:abstractNumId w:val="6"/>
  </w:num>
  <w:num w:numId="16" w16cid:durableId="1232153841">
    <w:abstractNumId w:val="5"/>
  </w:num>
  <w:num w:numId="17" w16cid:durableId="1793669953">
    <w:abstractNumId w:val="4"/>
  </w:num>
  <w:num w:numId="18" w16cid:durableId="328798393">
    <w:abstractNumId w:val="3"/>
  </w:num>
  <w:num w:numId="19" w16cid:durableId="71894925">
    <w:abstractNumId w:val="2"/>
  </w:num>
  <w:num w:numId="20" w16cid:durableId="1837722887">
    <w:abstractNumId w:val="1"/>
  </w:num>
  <w:num w:numId="21" w16cid:durableId="265844640">
    <w:abstractNumId w:val="0"/>
  </w:num>
  <w:num w:numId="22" w16cid:durableId="904951448">
    <w:abstractNumId w:val="18"/>
  </w:num>
  <w:num w:numId="23" w16cid:durableId="187388378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9"/>
    <w:rsid w:val="00111D7A"/>
    <w:rsid w:val="002A7C86"/>
    <w:rsid w:val="003453D9"/>
    <w:rsid w:val="003D7819"/>
    <w:rsid w:val="003E2CE3"/>
    <w:rsid w:val="00537F1E"/>
    <w:rsid w:val="00540D04"/>
    <w:rsid w:val="005921ED"/>
    <w:rsid w:val="005E2C4D"/>
    <w:rsid w:val="006242CE"/>
    <w:rsid w:val="00642FBF"/>
    <w:rsid w:val="0068227D"/>
    <w:rsid w:val="0074673F"/>
    <w:rsid w:val="007F44D5"/>
    <w:rsid w:val="0080777A"/>
    <w:rsid w:val="00964374"/>
    <w:rsid w:val="00A1265C"/>
    <w:rsid w:val="00AC0EC7"/>
    <w:rsid w:val="00C8667E"/>
    <w:rsid w:val="00DF5824"/>
    <w:rsid w:val="00E00B04"/>
    <w:rsid w:val="00EE735B"/>
    <w:rsid w:val="00F175CB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4D"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60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8508">
                          <w:marLeft w:val="0"/>
                          <w:marRight w:val="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4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3579">
                          <w:marLeft w:val="0"/>
                          <w:marRight w:val="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0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048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07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9264">
                          <w:marLeft w:val="0"/>
                          <w:marRight w:val="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0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119">
                          <w:marLeft w:val="0"/>
                          <w:marRight w:val="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ccanarias.org/web/images/itc/TR-POR-Resultado_de_la_evaluacin_del_grado_de_transparencia_2017.pdf" TargetMode="External"/><Relationship Id="rId18" Type="http://schemas.openxmlformats.org/officeDocument/2006/relationships/hyperlink" Target="https://www.itccanarias.org/web/images/itc/TR-POR-Resultado_de_la_evaluacin_del_grado_de_transparencia_2018.odt" TargetMode="External"/><Relationship Id="rId26" Type="http://schemas.openxmlformats.org/officeDocument/2006/relationships/hyperlink" Target="https://www.itccanarias.org/web/images/itc/TR-POR-Informe_de_Transparencia_2020.pdf" TargetMode="External"/><Relationship Id="rId39" Type="http://schemas.openxmlformats.org/officeDocument/2006/relationships/hyperlink" Target="https://www.itccanarias.org/web/es/portal-de-transparencia?view=article&amp;id=1546:plan-de-medidas-antifraude&amp;catid=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ccanarias.org/web/images/itc/TR-POR-Resultado_de_la_evaluacin_del_grado_de_transparencia_2019.odt" TargetMode="External"/><Relationship Id="rId34" Type="http://schemas.openxmlformats.org/officeDocument/2006/relationships/hyperlink" Target="https://www.itccanarias.org/web/es/portal-de-transparencia?view=article&amp;id=80:retribuciones&amp;catid=15" TargetMode="External"/><Relationship Id="rId42" Type="http://schemas.openxmlformats.org/officeDocument/2006/relationships/hyperlink" Target="https://www.itccanarias.org/web/es/portal-de-transparencia?view=article&amp;id=1221:estadisticas&amp;catid=15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s://www.gobiernodecanarias.org/libroazul/pdf/71248.pdf" TargetMode="External"/><Relationship Id="rId12" Type="http://schemas.openxmlformats.org/officeDocument/2006/relationships/hyperlink" Target="https://www.itccanarias.org/web/es/accesibilidad" TargetMode="External"/><Relationship Id="rId17" Type="http://schemas.openxmlformats.org/officeDocument/2006/relationships/hyperlink" Target="https://www.itccanarias.org/web/images/itc/TR-POR-Resultado_de_la_evaluacin_del_grado_de_transparencia_2018.docx" TargetMode="External"/><Relationship Id="rId25" Type="http://schemas.openxmlformats.org/officeDocument/2006/relationships/hyperlink" Target="https://www.itccanarias.org/web/images/itc/TR-POR-Informe_de_Transparencia_2019.pdf" TargetMode="External"/><Relationship Id="rId33" Type="http://schemas.openxmlformats.org/officeDocument/2006/relationships/hyperlink" Target="https://www.itccanarias.org/web/es/portal-de-transparencia?view=article&amp;id=120:empleo&amp;catid=15" TargetMode="External"/><Relationship Id="rId38" Type="http://schemas.openxmlformats.org/officeDocument/2006/relationships/hyperlink" Target="https://www.itccanarias.org/web/es/portal-de-transparencia?view=article&amp;id=82:convenios-y-encomiendas&amp;catid=15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itccanarias.org/web/images/itc/TR-POR-Resultado_de_la_evaluacin_del_grado_de_transparencia_2018.pdf" TargetMode="External"/><Relationship Id="rId20" Type="http://schemas.openxmlformats.org/officeDocument/2006/relationships/hyperlink" Target="https://www.itccanarias.org/web/images/itc/TR-POR-Resultado_de_la_evaluacin_del_grado_de_transparencia_2019.docx" TargetMode="External"/><Relationship Id="rId29" Type="http://schemas.openxmlformats.org/officeDocument/2006/relationships/hyperlink" Target="https://www.itccanarias.org/web/es/portal-de-transparencia?view=article&amp;id=83:informacion&amp;catid=15" TargetMode="External"/><Relationship Id="rId41" Type="http://schemas.openxmlformats.org/officeDocument/2006/relationships/hyperlink" Target="https://www.itccanarias.org/web/es/portal-de-transparencia?view=article&amp;id=1219:ayudas-y-subvenciones&amp;catid=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www.itccanarias.org/web/images/itc/TR-POR-Resultado_de_la_evaluacin_del_grado_de_transparencia_2020.odt" TargetMode="External"/><Relationship Id="rId32" Type="http://schemas.openxmlformats.org/officeDocument/2006/relationships/hyperlink" Target="https://www.itccanarias.org/web/es/portal-de-transparencia?view=article&amp;id=1216:personal-libre-nombramiento&amp;catid=15" TargetMode="External"/><Relationship Id="rId37" Type="http://schemas.openxmlformats.org/officeDocument/2006/relationships/hyperlink" Target="https://www.itccanarias.org/web/es/perfil-del-contratante" TargetMode="External"/><Relationship Id="rId40" Type="http://schemas.openxmlformats.org/officeDocument/2006/relationships/hyperlink" Target="https://www.itccanarias.org/web/es/portal-de-transparencia?view=article&amp;id=1218:concesion-de-servicios-publicos&amp;catid=15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tccanarias.org/web/images/itc/TR-POR-Resultado_de_la_evaluacin_del_grado_de_transparencia_2017.odt" TargetMode="External"/><Relationship Id="rId23" Type="http://schemas.openxmlformats.org/officeDocument/2006/relationships/hyperlink" Target="https://www.itccanarias.org/web/images/itc/TR-POR-Resultado_de_la_evaluacin_del_grado_de_transparencia_2020.docx" TargetMode="External"/><Relationship Id="rId28" Type="http://schemas.openxmlformats.org/officeDocument/2006/relationships/hyperlink" Target="mailto:transparencia@itccanarias.org" TargetMode="External"/><Relationship Id="rId36" Type="http://schemas.openxmlformats.org/officeDocument/2006/relationships/hyperlink" Target="https://www.itccanarias.org/web/es/portal-de-transparencia?view=article&amp;id=81:economico-financiera&amp;catid=15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transparenciacanarias.org/como-reclamar/" TargetMode="External"/><Relationship Id="rId19" Type="http://schemas.openxmlformats.org/officeDocument/2006/relationships/hyperlink" Target="https://www.itccanarias.org/web/images/itc/TR-POR-Resultado_de_la_evaluacin_del_grado_de_transparencia_2019.pdf" TargetMode="External"/><Relationship Id="rId31" Type="http://schemas.openxmlformats.org/officeDocument/2006/relationships/hyperlink" Target="https://www.itccanarias.org/web/es/portal-de-transparencia?view=article&amp;id=75:organizativa&amp;catid=15" TargetMode="External"/><Relationship Id="rId44" Type="http://schemas.openxmlformats.org/officeDocument/2006/relationships/hyperlink" Target="https://www.itccanarias.org/web/es/accesibilida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canarias.org/" TargetMode="External"/><Relationship Id="rId14" Type="http://schemas.openxmlformats.org/officeDocument/2006/relationships/hyperlink" Target="https://www.itccanarias.org/web/images/itc/TR-POR-Resultado_de_la_evaluacin_del_grado_de_transparencia_2017.docx" TargetMode="External"/><Relationship Id="rId22" Type="http://schemas.openxmlformats.org/officeDocument/2006/relationships/hyperlink" Target="https://www.itccanarias.org/web/images/itc/TR-POR-Resultado_de_la_evaluacin_del_grado_de_transparencia_2020.pdf" TargetMode="External"/><Relationship Id="rId27" Type="http://schemas.openxmlformats.org/officeDocument/2006/relationships/hyperlink" Target="https://www.itccanarias.org/web/images/itc/TR-POR-Informe_de_Transparencia_2021.pdf" TargetMode="External"/><Relationship Id="rId30" Type="http://schemas.openxmlformats.org/officeDocument/2006/relationships/hyperlink" Target="https://www.itccanarias.org/web/es/portal-de-transparencia?view=article&amp;id=72:historia&amp;catid=15" TargetMode="External"/><Relationship Id="rId35" Type="http://schemas.openxmlformats.org/officeDocument/2006/relationships/hyperlink" Target="https://www.itccanarias.org/web/es/portal-de-transparencia?view=article&amp;id=1217:servicios-y-procedimientos&amp;catid=15" TargetMode="External"/><Relationship Id="rId43" Type="http://schemas.openxmlformats.org/officeDocument/2006/relationships/hyperlink" Target="https://www.itccanarias.org/web/es/portal-de-transparencia?view=article&amp;id=83:informacion&amp;catid=15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boe.es/eli/es/l/2013/12/09/19/con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1244</Words>
  <Characters>7097</Characters>
  <Application>Microsoft Office Word</Application>
  <DocSecurity>0</DocSecurity>
  <Lines>177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Ramón García</cp:lastModifiedBy>
  <cp:revision>13</cp:revision>
  <dcterms:created xsi:type="dcterms:W3CDTF">2021-10-27T20:14:00Z</dcterms:created>
  <dcterms:modified xsi:type="dcterms:W3CDTF">2022-07-12T12:57:00Z</dcterms:modified>
</cp:coreProperties>
</file>