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533"/>
        <w:gridCol w:w="998"/>
        <w:gridCol w:w="998"/>
        <w:gridCol w:w="1058"/>
        <w:gridCol w:w="3474"/>
        <w:gridCol w:w="40"/>
        <w:gridCol w:w="399"/>
      </w:tblGrid>
      <w:tr w:rsidR="009059F4" w14:paraId="67B5EB2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7" w14:textId="77777777" w:rsidR="009059F4" w:rsidRDefault="009059F4"/>
        </w:tc>
        <w:tc>
          <w:tcPr>
            <w:tcW w:w="45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8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9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A" w14:textId="77777777" w:rsidR="009059F4" w:rsidRDefault="009059F4"/>
        </w:tc>
        <w:tc>
          <w:tcPr>
            <w:tcW w:w="10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B" w14:textId="77777777" w:rsidR="009059F4" w:rsidRDefault="009059F4"/>
        </w:tc>
        <w:tc>
          <w:tcPr>
            <w:tcW w:w="3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C" w14:textId="77777777" w:rsidR="009059F4" w:rsidRDefault="009059F4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D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2E" w14:textId="77777777" w:rsidR="009059F4" w:rsidRDefault="009059F4"/>
        </w:tc>
      </w:tr>
      <w:tr w:rsidR="009059F4" w14:paraId="67B5EB33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0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31" w14:textId="77777777" w:rsidR="009059F4" w:rsidRDefault="000760C7">
            <w:bookmarkStart w:id="0" w:name="JR_PAGE_ANCHOR_0_1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7B5EB27" wp14:editId="67B5EB28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349459" cy="888979"/>
                  <wp:effectExtent l="0" t="0" r="0" b="6371"/>
                  <wp:wrapSquare wrapText="bothSides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459" cy="88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2" w14:textId="77777777" w:rsidR="009059F4" w:rsidRDefault="009059F4"/>
        </w:tc>
      </w:tr>
      <w:tr w:rsidR="009059F4" w14:paraId="67B5EB3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4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35" w14:textId="77777777" w:rsidR="009059F4" w:rsidRDefault="000760C7">
            <w:pPr>
              <w:spacing w:after="200"/>
              <w:jc w:val="center"/>
              <w:textAlignment w:val="top"/>
            </w:pPr>
            <w:r>
              <w:rPr>
                <w:rFonts w:ascii="SansSerif" w:hAnsi="SansSerif"/>
                <w:b/>
                <w:sz w:val="25"/>
                <w:szCs w:val="25"/>
              </w:rPr>
              <w:t>Directora General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6" w14:textId="77777777" w:rsidR="009059F4" w:rsidRDefault="009059F4"/>
        </w:tc>
      </w:tr>
      <w:tr w:rsidR="009059F4" w14:paraId="67B5EB3F" w14:textId="7777777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8" w14:textId="77777777" w:rsidR="009059F4" w:rsidRDefault="009059F4"/>
        </w:tc>
        <w:tc>
          <w:tcPr>
            <w:tcW w:w="45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9" w14:textId="77777777" w:rsidR="009059F4" w:rsidRDefault="009059F4"/>
        </w:tc>
        <w:tc>
          <w:tcPr>
            <w:tcW w:w="19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3A" w14:textId="77777777" w:rsidR="009059F4" w:rsidRDefault="000760C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B5EB29" wp14:editId="67B5EB2A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269918" cy="1269918"/>
                  <wp:effectExtent l="0" t="0" r="6432" b="6432"/>
                  <wp:wrapSquare wrapText="bothSides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18" cy="126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B" w14:textId="77777777" w:rsidR="009059F4" w:rsidRDefault="009059F4"/>
        </w:tc>
        <w:tc>
          <w:tcPr>
            <w:tcW w:w="3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C" w14:textId="77777777" w:rsidR="009059F4" w:rsidRDefault="009059F4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D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3E" w14:textId="77777777" w:rsidR="009059F4" w:rsidRDefault="009059F4"/>
        </w:tc>
      </w:tr>
      <w:tr w:rsidR="009059F4" w14:paraId="67B5EB43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0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</w:tcPr>
          <w:p w14:paraId="67B5EB41" w14:textId="77777777" w:rsidR="009059F4" w:rsidRDefault="000760C7">
            <w:pPr>
              <w:spacing w:before="100"/>
              <w:jc w:val="center"/>
              <w:textAlignment w:val="top"/>
            </w:pPr>
            <w:r>
              <w:rPr>
                <w:rFonts w:ascii="SansSerif" w:hAnsi="SansSerif"/>
                <w:color w:val="5A5956"/>
                <w:sz w:val="23"/>
                <w:szCs w:val="23"/>
              </w:rPr>
              <w:t xml:space="preserve">Ilma. Sra. Dña. Yolanda </w:t>
            </w:r>
            <w:proofErr w:type="spellStart"/>
            <w:r>
              <w:rPr>
                <w:rFonts w:ascii="SansSerif" w:hAnsi="SansSerif"/>
                <w:color w:val="5A5956"/>
                <w:sz w:val="23"/>
                <w:szCs w:val="23"/>
              </w:rPr>
              <w:t>Luaces</w:t>
            </w:r>
            <w:proofErr w:type="spellEnd"/>
            <w:r>
              <w:rPr>
                <w:rFonts w:ascii="SansSerif" w:hAnsi="SansSerif"/>
                <w:color w:val="5A5956"/>
                <w:sz w:val="23"/>
                <w:szCs w:val="23"/>
              </w:rPr>
              <w:t xml:space="preserve"> Hernández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2" w14:textId="77777777" w:rsidR="009059F4" w:rsidRDefault="009059F4"/>
        </w:tc>
      </w:tr>
      <w:tr w:rsidR="009059F4" w14:paraId="67B5EB4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4" w14:textId="77777777" w:rsidR="009059F4" w:rsidRDefault="009059F4"/>
        </w:tc>
        <w:tc>
          <w:tcPr>
            <w:tcW w:w="45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5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6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7" w14:textId="77777777" w:rsidR="009059F4" w:rsidRDefault="009059F4"/>
        </w:tc>
        <w:tc>
          <w:tcPr>
            <w:tcW w:w="10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8" w14:textId="77777777" w:rsidR="009059F4" w:rsidRDefault="009059F4"/>
        </w:tc>
        <w:tc>
          <w:tcPr>
            <w:tcW w:w="3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9" w14:textId="77777777" w:rsidR="009059F4" w:rsidRDefault="009059F4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A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B" w14:textId="77777777" w:rsidR="009059F4" w:rsidRDefault="009059F4"/>
        </w:tc>
      </w:tr>
      <w:tr w:rsidR="009059F4" w14:paraId="67B5EB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D" w14:textId="77777777" w:rsidR="009059F4" w:rsidRDefault="009059F4"/>
        </w:tc>
        <w:tc>
          <w:tcPr>
            <w:tcW w:w="11101" w:type="dxa"/>
            <w:gridSpan w:val="6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4E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Datos de contacto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4F" w14:textId="77777777" w:rsidR="009059F4" w:rsidRDefault="009059F4"/>
        </w:tc>
      </w:tr>
      <w:tr w:rsidR="009059F4" w14:paraId="67B5EB59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1" w14:textId="77777777" w:rsidR="009059F4" w:rsidRDefault="009059F4"/>
        </w:tc>
        <w:tc>
          <w:tcPr>
            <w:tcW w:w="45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2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3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4" w14:textId="77777777" w:rsidR="009059F4" w:rsidRDefault="009059F4"/>
        </w:tc>
        <w:tc>
          <w:tcPr>
            <w:tcW w:w="10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5" w14:textId="77777777" w:rsidR="009059F4" w:rsidRDefault="009059F4"/>
        </w:tc>
        <w:tc>
          <w:tcPr>
            <w:tcW w:w="3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6" w14:textId="77777777" w:rsidR="009059F4" w:rsidRDefault="009059F4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7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8" w14:textId="77777777" w:rsidR="009059F4" w:rsidRDefault="009059F4"/>
        </w:tc>
      </w:tr>
      <w:tr w:rsidR="009059F4" w14:paraId="67B5EB6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A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9100"/>
            </w:tblGrid>
            <w:tr w:rsidR="009059F4" w14:paraId="67B5EB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5EB5B" w14:textId="77777777" w:rsidR="009059F4" w:rsidRDefault="000760C7">
                  <w:pPr>
                    <w:textAlignment w:val="top"/>
                  </w:pPr>
                  <w:r>
                    <w:rPr>
                      <w:rFonts w:ascii="SansSerif" w:hAnsi="SansSerif"/>
                      <w:sz w:val="19"/>
                      <w:szCs w:val="19"/>
                    </w:rPr>
                    <w:t>Ficha:</w:t>
                  </w:r>
                </w:p>
              </w:tc>
              <w:tc>
                <w:tcPr>
                  <w:tcW w:w="91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5EB5C" w14:textId="77777777" w:rsidR="009059F4" w:rsidRDefault="000760C7">
                  <w:pPr>
                    <w:textAlignment w:val="top"/>
                  </w:pPr>
                  <w:hyperlink r:id="rId8" w:history="1">
                    <w:r>
                      <w:rPr>
                        <w:rFonts w:ascii="SansSerif" w:hAnsi="SansSerif"/>
                        <w:sz w:val="19"/>
                        <w:szCs w:val="19"/>
                      </w:rPr>
                      <w:t>https://www.gobiernodecanarias.org/organigrama/ficha-altos-cargos?ou=37452</w:t>
                    </w:r>
                  </w:hyperlink>
                </w:p>
              </w:tc>
            </w:tr>
          </w:tbl>
          <w:p w14:paraId="67B5EB5E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5F" w14:textId="77777777" w:rsidR="009059F4" w:rsidRDefault="009059F4"/>
        </w:tc>
      </w:tr>
      <w:tr w:rsidR="009059F4" w14:paraId="67B5EB6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61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9100"/>
            </w:tblGrid>
            <w:tr w:rsidR="009059F4" w14:paraId="67B5EB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5EB62" w14:textId="77777777" w:rsidR="009059F4" w:rsidRDefault="000760C7">
                  <w:pPr>
                    <w:textAlignment w:val="top"/>
                  </w:pPr>
                  <w:r>
                    <w:rPr>
                      <w:rFonts w:ascii="SansSerif" w:hAnsi="SansSerif"/>
                      <w:sz w:val="19"/>
                      <w:szCs w:val="19"/>
                    </w:rPr>
                    <w:t>Web:</w:t>
                  </w:r>
                </w:p>
              </w:tc>
              <w:tc>
                <w:tcPr>
                  <w:tcW w:w="91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5EB63" w14:textId="77777777" w:rsidR="009059F4" w:rsidRDefault="000760C7">
                  <w:pPr>
                    <w:textAlignment w:val="top"/>
                  </w:pPr>
                  <w:r>
                    <w:rPr>
                      <w:rFonts w:ascii="SansSerif" w:hAnsi="SansSerif"/>
                      <w:sz w:val="19"/>
                      <w:szCs w:val="19"/>
                    </w:rPr>
                    <w:t>https://www.gobiernodecanarias.org/turic/</w:t>
                  </w:r>
                </w:p>
              </w:tc>
            </w:tr>
          </w:tbl>
          <w:p w14:paraId="67B5EB65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66" w14:textId="77777777" w:rsidR="009059F4" w:rsidRDefault="009059F4"/>
        </w:tc>
      </w:tr>
      <w:tr w:rsidR="009059F4" w14:paraId="67B5EB6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68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9100"/>
            </w:tblGrid>
            <w:tr w:rsidR="009059F4" w14:paraId="67B5EB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2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5EB69" w14:textId="77777777" w:rsidR="009059F4" w:rsidRDefault="000760C7">
                  <w:pPr>
                    <w:textAlignment w:val="top"/>
                  </w:pPr>
                  <w:r>
                    <w:rPr>
                      <w:rFonts w:ascii="SansSerif" w:hAnsi="SansSerif"/>
                      <w:sz w:val="19"/>
                      <w:szCs w:val="19"/>
                    </w:rPr>
                    <w:t>Correo:</w:t>
                  </w:r>
                </w:p>
              </w:tc>
              <w:tc>
                <w:tcPr>
                  <w:tcW w:w="91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5EB6A" w14:textId="77777777" w:rsidR="009059F4" w:rsidRDefault="000760C7">
                  <w:pPr>
                    <w:textAlignment w:val="top"/>
                  </w:pPr>
                  <w:r>
                    <w:rPr>
                      <w:rFonts w:ascii="SansSerif" w:hAnsi="SansSerif"/>
                      <w:sz w:val="19"/>
                      <w:szCs w:val="19"/>
                    </w:rPr>
                    <w:t>buzon.industria@gobiernodecanarias.org</w:t>
                  </w:r>
                </w:p>
              </w:tc>
            </w:tr>
          </w:tbl>
          <w:p w14:paraId="67B5EB6C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6D" w14:textId="77777777" w:rsidR="009059F4" w:rsidRDefault="009059F4"/>
        </w:tc>
      </w:tr>
      <w:tr w:rsidR="009059F4" w14:paraId="67B5EB7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6F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70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>Direcciones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1" w14:textId="77777777" w:rsidR="009059F4" w:rsidRDefault="009059F4"/>
        </w:tc>
      </w:tr>
      <w:tr w:rsidR="009059F4" w14:paraId="67B5EB78" w14:textId="77777777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3" w14:textId="77777777" w:rsidR="009059F4" w:rsidRDefault="009059F4"/>
        </w:tc>
        <w:tc>
          <w:tcPr>
            <w:tcW w:w="5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EB74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C/ León y Castillo, n.200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proofErr w:type="spellStart"/>
            <w:r>
              <w:rPr>
                <w:rFonts w:ascii="SansSerif" w:hAnsi="SansSerif"/>
                <w:sz w:val="20"/>
                <w:szCs w:val="20"/>
              </w:rPr>
              <w:t>Edf</w:t>
            </w:r>
            <w:proofErr w:type="spellEnd"/>
            <w:r>
              <w:rPr>
                <w:rFonts w:ascii="SansSerif" w:hAnsi="SansSerif"/>
                <w:sz w:val="20"/>
                <w:szCs w:val="20"/>
              </w:rPr>
              <w:t>. Servicios Múltiples III Planta 2ª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35071 Las Palmas de Gran Canaria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Las Palmas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España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 xml:space="preserve">Teléfono: 928 79 61 </w:t>
            </w:r>
            <w:r>
              <w:rPr>
                <w:rFonts w:ascii="SansSerif" w:hAnsi="SansSerif"/>
                <w:sz w:val="20"/>
                <w:szCs w:val="20"/>
              </w:rPr>
              <w:t>00/01 Fax: 928 79 61 53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EB75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Avda. Francisco La Roche, n.35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proofErr w:type="spellStart"/>
            <w:r>
              <w:rPr>
                <w:rFonts w:ascii="SansSerif" w:hAnsi="SansSerif"/>
                <w:sz w:val="20"/>
                <w:szCs w:val="20"/>
              </w:rPr>
              <w:t>Edf</w:t>
            </w:r>
            <w:proofErr w:type="spellEnd"/>
            <w:r>
              <w:rPr>
                <w:rFonts w:ascii="SansSerif" w:hAnsi="SansSerif"/>
                <w:sz w:val="20"/>
                <w:szCs w:val="20"/>
              </w:rPr>
              <w:t>. Servicios Múltiples I Planta 7ª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38071 Santa Cruz de Tenerife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Santa Cruz de Tenerife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España</w:t>
            </w:r>
            <w:r>
              <w:rPr>
                <w:rFonts w:ascii="SansSerif" w:hAnsi="SansSerif"/>
                <w:sz w:val="20"/>
                <w:szCs w:val="20"/>
              </w:rPr>
              <w:br/>
            </w:r>
            <w:r>
              <w:rPr>
                <w:rFonts w:ascii="SansSerif" w:hAnsi="SansSerif"/>
                <w:sz w:val="20"/>
                <w:szCs w:val="20"/>
              </w:rPr>
              <w:t>Teléfono: 922 47 54 00 Fax: 922 92 23 76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6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7" w14:textId="77777777" w:rsidR="009059F4" w:rsidRDefault="009059F4"/>
        </w:tc>
      </w:tr>
      <w:tr w:rsidR="009059F4" w14:paraId="67B5EB8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9" w14:textId="77777777" w:rsidR="009059F4" w:rsidRDefault="009059F4"/>
        </w:tc>
        <w:tc>
          <w:tcPr>
            <w:tcW w:w="45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A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B" w14:textId="77777777" w:rsidR="009059F4" w:rsidRDefault="009059F4"/>
        </w:tc>
        <w:tc>
          <w:tcPr>
            <w:tcW w:w="9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C" w14:textId="77777777" w:rsidR="009059F4" w:rsidRDefault="009059F4"/>
        </w:tc>
        <w:tc>
          <w:tcPr>
            <w:tcW w:w="10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D" w14:textId="77777777" w:rsidR="009059F4" w:rsidRDefault="009059F4"/>
        </w:tc>
        <w:tc>
          <w:tcPr>
            <w:tcW w:w="3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E" w14:textId="77777777" w:rsidR="009059F4" w:rsidRDefault="009059F4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7F" w14:textId="77777777" w:rsidR="009059F4" w:rsidRDefault="009059F4"/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0" w14:textId="77777777" w:rsidR="009059F4" w:rsidRDefault="009059F4"/>
        </w:tc>
      </w:tr>
      <w:tr w:rsidR="009059F4" w14:paraId="67B5EB8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2" w14:textId="77777777" w:rsidR="009059F4" w:rsidRDefault="009059F4"/>
        </w:tc>
        <w:tc>
          <w:tcPr>
            <w:tcW w:w="11101" w:type="dxa"/>
            <w:gridSpan w:val="6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83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Nombramiento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4" w14:textId="77777777" w:rsidR="009059F4" w:rsidRDefault="009059F4"/>
        </w:tc>
      </w:tr>
      <w:tr w:rsidR="009059F4" w14:paraId="67B5EB8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6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0" w:type="dxa"/>
              <w:left w:w="0" w:type="dxa"/>
              <w:bottom w:w="100" w:type="dxa"/>
              <w:right w:w="0" w:type="dxa"/>
            </w:tcMar>
            <w:vAlign w:val="center"/>
          </w:tcPr>
          <w:p w14:paraId="67B5EB87" w14:textId="77777777" w:rsidR="009059F4" w:rsidRDefault="000760C7">
            <w:pPr>
              <w:textAlignment w:val="center"/>
            </w:pPr>
            <w:hyperlink r:id="rId9" w:history="1">
              <w:r>
                <w:rPr>
                  <w:rFonts w:ascii="SansSerif" w:hAnsi="SansSerif"/>
                  <w:sz w:val="20"/>
                  <w:szCs w:val="20"/>
                </w:rPr>
                <w:t>Decreto 278/2019, de 8 de agosto (BOC Nº 153 de 09.08.2019),</w:t>
              </w:r>
            </w:hyperlink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8" w14:textId="77777777" w:rsidR="009059F4" w:rsidRDefault="009059F4"/>
        </w:tc>
      </w:tr>
      <w:tr w:rsidR="009059F4" w14:paraId="67B5EB8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A" w14:textId="77777777" w:rsidR="009059F4" w:rsidRDefault="009059F4"/>
        </w:tc>
        <w:tc>
          <w:tcPr>
            <w:tcW w:w="11101" w:type="dxa"/>
            <w:gridSpan w:val="6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8B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Méritos académicos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C" w14:textId="77777777" w:rsidR="009059F4" w:rsidRDefault="009059F4"/>
        </w:tc>
      </w:tr>
      <w:tr w:rsidR="009059F4" w14:paraId="67B5EB91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8E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8F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 xml:space="preserve">- Ingeniería Industrial Superior, especialidad en </w:t>
            </w:r>
            <w:r>
              <w:rPr>
                <w:rFonts w:ascii="SansSerif" w:hAnsi="SansSerif"/>
                <w:sz w:val="19"/>
                <w:szCs w:val="19"/>
              </w:rPr>
              <w:t xml:space="preserve">Organización Industrial, por la Universidad de Las Palmas de Gran Canaria. 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- Certificación PET, Cambridge English, Language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Assessment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>. (B1)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0" w14:textId="77777777" w:rsidR="009059F4" w:rsidRDefault="009059F4"/>
        </w:tc>
      </w:tr>
      <w:tr w:rsidR="009059F4" w14:paraId="67B5EB9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2" w14:textId="77777777" w:rsidR="009059F4" w:rsidRDefault="009059F4"/>
        </w:tc>
        <w:tc>
          <w:tcPr>
            <w:tcW w:w="11101" w:type="dxa"/>
            <w:gridSpan w:val="6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93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Trayectoria profesional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4" w14:textId="77777777" w:rsidR="009059F4" w:rsidRDefault="009059F4"/>
        </w:tc>
      </w:tr>
      <w:tr w:rsidR="009059F4" w14:paraId="67B5EB99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6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97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 xml:space="preserve">- Técnico de Procesos y Sistemas de Gestión en Coca Cola European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Partners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 xml:space="preserve">. </w:t>
            </w:r>
            <w:r>
              <w:rPr>
                <w:rFonts w:ascii="SansSerif" w:hAnsi="SansSerif"/>
                <w:sz w:val="19"/>
                <w:szCs w:val="19"/>
              </w:rPr>
              <w:t>(2016-2019).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- Ingeniera Industrial. Departamento Industrial en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Dielectro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 xml:space="preserve"> Canarias. (2015-2016).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- Beca formativa de Inserción Laboral de Titulados/as. Convenio de cooperación educativa entre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Dielectro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 xml:space="preserve"> Canarias S.A. y la Fundación General de la Universidad</w:t>
            </w:r>
            <w:r>
              <w:rPr>
                <w:rFonts w:ascii="SansSerif" w:hAnsi="SansSerif"/>
                <w:sz w:val="19"/>
                <w:szCs w:val="19"/>
              </w:rPr>
              <w:t xml:space="preserve"> de La Laguna. (2014-2015).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8" w14:textId="77777777" w:rsidR="009059F4" w:rsidRDefault="009059F4"/>
        </w:tc>
      </w:tr>
      <w:tr w:rsidR="009059F4" w14:paraId="67B5EB9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A" w14:textId="77777777" w:rsidR="009059F4" w:rsidRDefault="009059F4"/>
        </w:tc>
        <w:tc>
          <w:tcPr>
            <w:tcW w:w="11101" w:type="dxa"/>
            <w:gridSpan w:val="6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9B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Compatibilidad actividades públicas-privadas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C" w14:textId="77777777" w:rsidR="009059F4" w:rsidRDefault="009059F4"/>
        </w:tc>
      </w:tr>
      <w:tr w:rsidR="009059F4" w14:paraId="67B5EBA1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9E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9F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>- Ninguna.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0" w14:textId="77777777" w:rsidR="009059F4" w:rsidRDefault="009059F4"/>
        </w:tc>
      </w:tr>
      <w:tr w:rsidR="009059F4" w14:paraId="67B5EBA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2" w14:textId="77777777" w:rsidR="009059F4" w:rsidRDefault="009059F4"/>
        </w:tc>
        <w:tc>
          <w:tcPr>
            <w:tcW w:w="11101" w:type="dxa"/>
            <w:gridSpan w:val="6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A3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Competencias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4" w14:textId="77777777" w:rsidR="009059F4" w:rsidRDefault="009059F4"/>
        </w:tc>
      </w:tr>
      <w:tr w:rsidR="009059F4" w14:paraId="67B5EBA9" w14:textId="77777777">
        <w:tblPrEx>
          <w:tblCellMar>
            <w:top w:w="0" w:type="dxa"/>
            <w:bottom w:w="0" w:type="dxa"/>
          </w:tblCellMar>
        </w:tblPrEx>
        <w:trPr>
          <w:trHeight w:hRule="exact" w:val="296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6" w14:textId="77777777" w:rsidR="009059F4" w:rsidRDefault="009059F4"/>
        </w:tc>
        <w:tc>
          <w:tcPr>
            <w:tcW w:w="11101" w:type="dxa"/>
            <w:gridSpan w:val="6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A7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 xml:space="preserve">La Dirección General de Industria ejercerá, en su ámbito funcional, las competencias previstas en el artículo 19 del Decreto 212/1991, de 11 de </w:t>
            </w:r>
            <w:r>
              <w:rPr>
                <w:rFonts w:ascii="SansSerif" w:hAnsi="SansSerif"/>
                <w:sz w:val="19"/>
                <w:szCs w:val="19"/>
              </w:rPr>
              <w:t>septiembre, elevándose a trescientos un mil (301.000) euros el límite para el ejercicio de las facultades inherentes como órgano de contratación.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Asimismo, le corresponde la gestión de la documentación administrativa disponible al público que obre en su p</w:t>
            </w:r>
            <w:r>
              <w:rPr>
                <w:rFonts w:ascii="SansSerif" w:hAnsi="SansSerif"/>
                <w:sz w:val="19"/>
                <w:szCs w:val="19"/>
              </w:rPr>
              <w:t>oder, de acuerdo con lo que disponga la legislación de transparencia y acceso a la información pública, actuando como órgano competente para la resolución de las solicitudes de acceso a dicha información.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Igualmente, le corresponden las competencias de di</w:t>
            </w:r>
            <w:r>
              <w:rPr>
                <w:rFonts w:ascii="SansSerif" w:hAnsi="SansSerif"/>
                <w:sz w:val="19"/>
                <w:szCs w:val="19"/>
              </w:rPr>
              <w:t>rección, coordinación, estudio y resolución en materia de industria, minas, fomento industrial y artesanía no atribuidas específicamente a otro órgano y, en concreto, las siguientes: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br/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8" w14:textId="77777777" w:rsidR="009059F4" w:rsidRDefault="009059F4"/>
        </w:tc>
      </w:tr>
      <w:tr w:rsidR="009059F4" w14:paraId="67B5EBA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A" w14:textId="77777777" w:rsidR="009059F4" w:rsidRDefault="009059F4"/>
        </w:tc>
        <w:tc>
          <w:tcPr>
            <w:tcW w:w="758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BAB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Fuente: Portal del Organigrama del Gobierno de Canarias</w:t>
            </w:r>
          </w:p>
        </w:tc>
        <w:tc>
          <w:tcPr>
            <w:tcW w:w="35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BAC" w14:textId="77777777" w:rsidR="009059F4" w:rsidRDefault="000760C7">
            <w:pPr>
              <w:jc w:val="right"/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 xml:space="preserve">Fecha: </w:t>
            </w:r>
            <w:r>
              <w:rPr>
                <w:rFonts w:ascii="SansSerif" w:hAnsi="SansSerif"/>
                <w:sz w:val="20"/>
                <w:szCs w:val="20"/>
              </w:rPr>
              <w:t>22-03-2023</w:t>
            </w:r>
          </w:p>
        </w:tc>
        <w:tc>
          <w:tcPr>
            <w:tcW w:w="3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AD" w14:textId="77777777" w:rsidR="009059F4" w:rsidRDefault="009059F4"/>
        </w:tc>
      </w:tr>
    </w:tbl>
    <w:p w14:paraId="67B5EBAF" w14:textId="77777777" w:rsidR="00000000" w:rsidRDefault="000760C7">
      <w:pPr>
        <w:rPr>
          <w:vanish/>
        </w:rPr>
        <w:sectPr w:rsidR="00000000">
          <w:pgSz w:w="11900" w:h="16840"/>
          <w:pgMar w:top="0" w:right="0" w:bottom="0" w:left="0" w:header="720" w:footer="720" w:gutter="0"/>
          <w:cols w:space="720"/>
        </w:sectPr>
      </w:pPr>
    </w:p>
    <w:tbl>
      <w:tblPr>
        <w:tblW w:w="11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600"/>
        <w:gridCol w:w="3500"/>
        <w:gridCol w:w="400"/>
      </w:tblGrid>
      <w:tr w:rsidR="009059F4" w14:paraId="67B5EBB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0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1" w14:textId="77777777" w:rsidR="009059F4" w:rsidRDefault="009059F4"/>
        </w:tc>
        <w:tc>
          <w:tcPr>
            <w:tcW w:w="3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2" w14:textId="77777777" w:rsidR="009059F4" w:rsidRDefault="009059F4"/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3" w14:textId="77777777" w:rsidR="009059F4" w:rsidRDefault="009059F4"/>
        </w:tc>
      </w:tr>
      <w:tr w:rsidR="009059F4" w14:paraId="67B5EBB8" w14:textId="77777777">
        <w:tblPrEx>
          <w:tblCellMar>
            <w:top w:w="0" w:type="dxa"/>
            <w:bottom w:w="0" w:type="dxa"/>
          </w:tblCellMar>
        </w:tblPrEx>
        <w:trPr>
          <w:trHeight w:hRule="exact" w:val="156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5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B6" w14:textId="77777777" w:rsidR="009059F4" w:rsidRDefault="000760C7">
            <w:pPr>
              <w:textAlignment w:val="top"/>
            </w:pPr>
            <w:bookmarkStart w:id="1" w:name="JR_PAGE_ANCHOR_0_2"/>
            <w:bookmarkEnd w:id="1"/>
            <w:r>
              <w:rPr>
                <w:rFonts w:ascii="SansSerif" w:hAnsi="SansSerif"/>
                <w:sz w:val="19"/>
                <w:szCs w:val="19"/>
              </w:rPr>
              <w:t>En materia de industria, le corresponde: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identificación de las actuaciones prioritarias de desarrollo industrial dentro del territorio de la Comunidad Autónoma.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El desarrollo y ejecución de los planes de actuación, así como de </w:t>
            </w:r>
            <w:r>
              <w:rPr>
                <w:rFonts w:ascii="SansSerif" w:hAnsi="SansSerif"/>
                <w:sz w:val="19"/>
                <w:szCs w:val="19"/>
              </w:rPr>
              <w:t>reordenación, reconversión y reestructuración que, dentro del territorio de la Comunidad Autónoma, se realicen por parte de la Administración General del Estado.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elaboración de las disposiciones generales relativas a las materias que tiene encomendada</w:t>
            </w:r>
            <w:r>
              <w:rPr>
                <w:rFonts w:ascii="SansSerif" w:hAnsi="SansSerif"/>
                <w:sz w:val="19"/>
                <w:szCs w:val="19"/>
              </w:rPr>
              <w:t>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Las autorizaciones, cuando resulte exigibles, para la instalación, ampliación, cese, traslado y cambio de titularidad de las industrias, así como las derivadas, en su caso, de la exigencia de comunicación o declaración responsable del interesado respe</w:t>
            </w:r>
            <w:r>
              <w:rPr>
                <w:rFonts w:ascii="SansSerif" w:hAnsi="SansSerif"/>
                <w:sz w:val="19"/>
                <w:szCs w:val="19"/>
              </w:rPr>
              <w:t>cto de sus instalaciones en materia de industria.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promoción y vigilancia del cumplimiento de la normativa sobre seguridad industrial.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vigilancia del mercado y la conformidad de los productos industriales, en el ejercicio de las funciones establec</w:t>
            </w:r>
            <w:r>
              <w:rPr>
                <w:rFonts w:ascii="SansSerif" w:hAnsi="SansSerif"/>
                <w:sz w:val="19"/>
                <w:szCs w:val="19"/>
              </w:rPr>
              <w:t xml:space="preserve">idas en el Reglamento (UE) 2019/1020 del Parlamento Europeo y del Consejo, de 20 de junio de 2019, relativo a la vigilancia del mercado y la conformidad de los productos y por el que se modifican la Directiva 2004/42/CE y los Reglamentos (CE)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nº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 xml:space="preserve"> 765/2008 y</w:t>
            </w:r>
            <w:r>
              <w:rPr>
                <w:rFonts w:ascii="SansSerif" w:hAnsi="SansSerif"/>
                <w:sz w:val="19"/>
                <w:szCs w:val="19"/>
              </w:rPr>
              <w:t xml:space="preserve"> (UE)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nº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 xml:space="preserve"> 305/2011, y otras normas de aplicación, sin perjuicio de las competencias asignadas al órgano competente en materia de consumo.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promoción, impulso y gestión de todos los aspectos relacionados con la seguridad, control y verificación de los ve</w:t>
            </w:r>
            <w:r>
              <w:rPr>
                <w:rFonts w:ascii="SansSerif" w:hAnsi="SansSerif"/>
                <w:sz w:val="19"/>
                <w:szCs w:val="19"/>
              </w:rPr>
              <w:t>hículos a motor y sus dispositivos y elementos y, en concreto, las siguientes: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Las autorizaciones, suspensiones y revocaciones establecidas en la normativa vigente en relación con la inspección técnica de vehículos.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El establecimiento y actualización</w:t>
            </w:r>
            <w:r>
              <w:rPr>
                <w:rFonts w:ascii="SansSerif" w:hAnsi="SansSerif"/>
                <w:sz w:val="19"/>
                <w:szCs w:val="19"/>
              </w:rPr>
              <w:t xml:space="preserve"> de los precios máximos de las inspecciones técnicas de vehículos.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supervisión y control de la actividad de las estaciones de Inspección Técnica de Vehículos.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resolución en segunda instancia de las reclamaciones presentadas por los usuarios de </w:t>
            </w:r>
            <w:r>
              <w:rPr>
                <w:rFonts w:ascii="SansSerif" w:hAnsi="SansSerif"/>
                <w:sz w:val="19"/>
                <w:szCs w:val="19"/>
              </w:rPr>
              <w:t>las estaciones de inspección técnica de vehículos.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y archivo de la documentación técnica de los vehículos matriculados en Canarias.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catalogación de vehículos históricos.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autorización a laboratorios oficiales para emitir informes e</w:t>
            </w:r>
            <w:r>
              <w:rPr>
                <w:rFonts w:ascii="SansSerif" w:hAnsi="SansSerif"/>
                <w:sz w:val="19"/>
                <w:szCs w:val="19"/>
              </w:rPr>
              <w:t>n materia de vehículos históricos.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supervisión de la actividad de los organismos de control en relación con el transporte de mercancías perecederas y de mercancías peligrosas por carretera.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certificación del cumplimiento de las condiciones técn</w:t>
            </w:r>
            <w:r>
              <w:rPr>
                <w:rFonts w:ascii="SansSerif" w:hAnsi="SansSerif"/>
                <w:sz w:val="19"/>
                <w:szCs w:val="19"/>
              </w:rPr>
              <w:t>icas reglamentarias por parte de los vehículos de importación que se van a destinar al transporte de mercancías perecederas o de mercancías peligrosas por carretera.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exención de lavado de determinadas cisternas de mercancías peligrosas en pruebas int</w:t>
            </w:r>
            <w:r>
              <w:rPr>
                <w:rFonts w:ascii="SansSerif" w:hAnsi="SansSerif"/>
                <w:sz w:val="19"/>
                <w:szCs w:val="19"/>
              </w:rPr>
              <w:t>ermedias, en los términos establecidos en la normativa vigente.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autorización, suspensión, revocación y supervisión de centros técnicos de tacógrafos, para realizar las intervenciones técnicas en tacógrafos digitales y/o analógicos.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autorización</w:t>
            </w:r>
            <w:r>
              <w:rPr>
                <w:rFonts w:ascii="SansSerif" w:hAnsi="SansSerif"/>
                <w:sz w:val="19"/>
                <w:szCs w:val="19"/>
              </w:rPr>
              <w:t>, suspensión, revocación y supervisión de talleres para la intervención en limitadores de velocidad.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promoción, impulso y planificación en relación con los aspectos relativos a la metrología y </w:t>
            </w:r>
            <w:proofErr w:type="spellStart"/>
            <w:r>
              <w:rPr>
                <w:rFonts w:ascii="SansSerif" w:hAnsi="SansSerif"/>
                <w:sz w:val="19"/>
                <w:szCs w:val="19"/>
              </w:rPr>
              <w:t>metrotécnia</w:t>
            </w:r>
            <w:proofErr w:type="spellEnd"/>
            <w:r>
              <w:rPr>
                <w:rFonts w:ascii="SansSerif" w:hAnsi="SansSerif"/>
                <w:sz w:val="19"/>
                <w:szCs w:val="19"/>
              </w:rPr>
              <w:t>, así como la dirección de la gestión de las co</w:t>
            </w:r>
            <w:r>
              <w:rPr>
                <w:rFonts w:ascii="SansSerif" w:hAnsi="SansSerif"/>
                <w:sz w:val="19"/>
                <w:szCs w:val="19"/>
              </w:rPr>
              <w:t>mpetencias ejecutivas en materia de pesas y medidas (metrología) y contrastes de metales.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expedición, en su caso, de carnés profesionales y/o certificados de cualificación profesional, en los términos en que la normativa sectorial así lo establezca.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inscripción y vigilancia de la actividad de los organismos de control en materias industriales.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de las siguientes competencias en materia de medio ambiente industrial, sin perjuicio de las competencias de otras Consejerías: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El control d</w:t>
            </w:r>
            <w:r>
              <w:rPr>
                <w:rFonts w:ascii="SansSerif" w:hAnsi="SansSerif"/>
                <w:sz w:val="19"/>
                <w:szCs w:val="19"/>
              </w:rPr>
              <w:t>e los niveles de contaminación de los humos de escape de los vehículos de motor.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Participar, en coordinación con la Consejería competente en materia de medio ambiente, en la elaboración de los Planes autonómicos de residuos.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promoción y fomento de </w:t>
            </w:r>
            <w:r>
              <w:rPr>
                <w:rFonts w:ascii="SansSerif" w:hAnsi="SansSerif"/>
                <w:sz w:val="19"/>
                <w:szCs w:val="19"/>
              </w:rPr>
              <w:t>la calidad en empresas industriales.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El control y vigilancia en las instalaciones técnicas, en concreto, de las relativas a: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Equipos a presión.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Almacenamiento de productos químicos.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Aparatos elevadores.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Plantas e instalaciones frigoríficas.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</w:t>
            </w:r>
            <w:r>
              <w:rPr>
                <w:rFonts w:ascii="SansSerif" w:hAnsi="SansSerif"/>
                <w:sz w:val="19"/>
                <w:szCs w:val="19"/>
              </w:rPr>
              <w:t>•</w:t>
            </w:r>
            <w:r>
              <w:rPr>
                <w:rFonts w:ascii="SansSerif" w:hAnsi="SansSerif"/>
                <w:sz w:val="19"/>
                <w:szCs w:val="19"/>
              </w:rPr>
              <w:tab/>
              <w:t>Instalaciones de protección contra incendios.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Instalaciones interiores para suministro de agua.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El control y vigilancia de la seguridad contra incendios en establecimientos industriales.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Las autorizaciones, cuando resulte exigible, así como las de</w:t>
            </w:r>
            <w:r>
              <w:rPr>
                <w:rFonts w:ascii="SansSerif" w:hAnsi="SansSerif"/>
                <w:sz w:val="19"/>
                <w:szCs w:val="19"/>
              </w:rPr>
              <w:t xml:space="preserve">rivadas, en su caso, de la exigencia de comunicación o declaración responsable del interesado respecto de la instalación, ampliación, cese, traslado y cambio de titularidad de plantas desaladoras y depuradoras de agua, sin perjuicio de las competencias de </w:t>
            </w:r>
            <w:r>
              <w:rPr>
                <w:rFonts w:ascii="SansSerif" w:hAnsi="SansSerif"/>
                <w:sz w:val="19"/>
                <w:szCs w:val="19"/>
              </w:rPr>
              <w:t>los Consejos Insulares de Aguas.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del Registro Integrado Industrial respecto a la comunicación o declaración responsable de industrias, talleres de reparación de automóviles, y de empresas de servicios, entidades y agentes, en el campo de la se</w:t>
            </w:r>
            <w:r>
              <w:rPr>
                <w:rFonts w:ascii="SansSerif" w:hAnsi="SansSerif"/>
                <w:sz w:val="19"/>
                <w:szCs w:val="19"/>
              </w:rPr>
              <w:t>guridad industrial.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convocatoria de procedimientos para la habilitación de determinados profesionales en el ámbito de la seguridad industrial, en los términos en que la normativa sectorial así lo establezca.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acreditación de entidades y empresas p</w:t>
            </w:r>
            <w:r>
              <w:rPr>
                <w:rFonts w:ascii="SansSerif" w:hAnsi="SansSerif"/>
                <w:sz w:val="19"/>
                <w:szCs w:val="19"/>
              </w:rPr>
              <w:t>ara impartir cursos de formación con la finalidad de habilitar a profesionales que desarrollen su trabajo en el ámbito de la seguridad industrial, en los casos en que la legislación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7" w14:textId="77777777" w:rsidR="009059F4" w:rsidRDefault="009059F4"/>
        </w:tc>
      </w:tr>
      <w:tr w:rsidR="009059F4" w14:paraId="67B5EBB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9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BBA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Fuente: Portal del Organigrama del Gobierno de Canarias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BBB" w14:textId="77777777" w:rsidR="009059F4" w:rsidRDefault="000760C7">
            <w:pPr>
              <w:jc w:val="right"/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 xml:space="preserve">Fecha: </w:t>
            </w:r>
            <w:r>
              <w:rPr>
                <w:rFonts w:ascii="SansSerif" w:hAnsi="SansSerif"/>
                <w:sz w:val="20"/>
                <w:szCs w:val="20"/>
              </w:rPr>
              <w:t>22-03-2023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C" w14:textId="77777777" w:rsidR="009059F4" w:rsidRDefault="009059F4"/>
        </w:tc>
      </w:tr>
    </w:tbl>
    <w:p w14:paraId="67B5EBBE" w14:textId="77777777" w:rsidR="00000000" w:rsidRDefault="000760C7">
      <w:pPr>
        <w:rPr>
          <w:vanish/>
        </w:rPr>
        <w:sectPr w:rsidR="00000000">
          <w:pgSz w:w="11900" w:h="16840"/>
          <w:pgMar w:top="0" w:right="0" w:bottom="0" w:left="0" w:header="720" w:footer="720" w:gutter="0"/>
          <w:cols w:space="720"/>
        </w:sectPr>
      </w:pPr>
    </w:p>
    <w:tbl>
      <w:tblPr>
        <w:tblW w:w="11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600"/>
        <w:gridCol w:w="3500"/>
        <w:gridCol w:w="400"/>
      </w:tblGrid>
      <w:tr w:rsidR="009059F4" w14:paraId="67B5EBC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BF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0" w14:textId="77777777" w:rsidR="009059F4" w:rsidRDefault="009059F4"/>
        </w:tc>
        <w:tc>
          <w:tcPr>
            <w:tcW w:w="3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1" w14:textId="77777777" w:rsidR="009059F4" w:rsidRDefault="009059F4"/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2" w14:textId="77777777" w:rsidR="009059F4" w:rsidRDefault="009059F4"/>
        </w:tc>
      </w:tr>
      <w:tr w:rsidR="009059F4" w14:paraId="67B5EBC7" w14:textId="77777777">
        <w:tblPrEx>
          <w:tblCellMar>
            <w:top w:w="0" w:type="dxa"/>
            <w:bottom w:w="0" w:type="dxa"/>
          </w:tblCellMar>
        </w:tblPrEx>
        <w:trPr>
          <w:trHeight w:hRule="exact" w:val="156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4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C5" w14:textId="77777777" w:rsidR="009059F4" w:rsidRDefault="000760C7">
            <w:pPr>
              <w:textAlignment w:val="top"/>
            </w:pPr>
            <w:bookmarkStart w:id="2" w:name="JR_PAGE_ANCHOR_0_3"/>
            <w:bookmarkEnd w:id="2"/>
            <w:r>
              <w:rPr>
                <w:rFonts w:ascii="SansSerif" w:hAnsi="SansSerif"/>
                <w:sz w:val="19"/>
                <w:szCs w:val="19"/>
              </w:rPr>
              <w:t>sectorial así lo prevea.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inspección y control, en sus aspectos técnicos, de las industrias sometidas a la normativa sobre prevención de accidentes graves en que intervengan sustancias peligrosas.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gestión de las </w:t>
            </w:r>
            <w:r>
              <w:rPr>
                <w:rFonts w:ascii="SansSerif" w:hAnsi="SansSerif"/>
                <w:sz w:val="19"/>
                <w:szCs w:val="19"/>
              </w:rPr>
              <w:t>competencias ejecutivas en materia de propiedad industrial.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de las competencias transferidas y encomendadas en materia de instalaciones radiactivas de segunda y tercera categorías y, en concreto, las siguientes: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tramitación de los expedi</w:t>
            </w:r>
            <w:r>
              <w:rPr>
                <w:rFonts w:ascii="SansSerif" w:hAnsi="SansSerif"/>
                <w:sz w:val="19"/>
                <w:szCs w:val="19"/>
              </w:rPr>
              <w:t>entes de las autorizaciones necesarias para las instalaciones radiactivas de segunda y tercera categorías.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declaración y registro de los equipos e instalaciones de rayos X con fines de diagnóstico médico.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Las autorizaciones a empresas de venta y a</w:t>
            </w:r>
            <w:r>
              <w:rPr>
                <w:rFonts w:ascii="SansSerif" w:hAnsi="SansSerif"/>
                <w:sz w:val="19"/>
                <w:szCs w:val="19"/>
              </w:rPr>
              <w:t>sistencia médica de equipos e instalaciones de rayos X con fines de diagnóstico médico.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inspección de instalaciones radiactivas de segunda y tercera categorías (incluidas las de rayos X con fines de diagnóstico médico) durante las fases de construcci</w:t>
            </w:r>
            <w:r>
              <w:rPr>
                <w:rFonts w:ascii="SansSerif" w:hAnsi="SansSerif"/>
                <w:sz w:val="19"/>
                <w:szCs w:val="19"/>
              </w:rPr>
              <w:t>ón, puesta en marcha, funcionamiento, modificación (incluida la ampliación) y clausura.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inspección de transportes de combustible nuclear y de otros materiales radiactivos (incluidos los residuos radiactivos) que, dentro del territorio español, tengan</w:t>
            </w:r>
            <w:r>
              <w:rPr>
                <w:rFonts w:ascii="SansSerif" w:hAnsi="SansSerif"/>
                <w:sz w:val="19"/>
                <w:szCs w:val="19"/>
              </w:rPr>
              <w:t xml:space="preserve"> origen en la Comunidad Autónoma de Canarias.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colaboración con el Consejo de Seguridad Nuclear en materia de formación del personal de instalaciones radiactivas de segunda y tercera categorías, incluidas las de rayos X con fines de diagnóstico médico</w:t>
            </w:r>
            <w:r>
              <w:rPr>
                <w:rFonts w:ascii="SansSerif" w:hAnsi="SansSerif"/>
                <w:sz w:val="19"/>
                <w:szCs w:val="19"/>
              </w:rPr>
              <w:t>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El ejercicio de cualesquiera otras funciones que se encomienden a la Comunidad Autónoma de Canarias en virtud de los Convenios suscritos o que se suscriban con el Consejo de Seguridad Nuclear.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de las competencias atribuidas a este Departa</w:t>
            </w:r>
            <w:r>
              <w:rPr>
                <w:rFonts w:ascii="SansSerif" w:hAnsi="SansSerif"/>
                <w:sz w:val="19"/>
                <w:szCs w:val="19"/>
              </w:rPr>
              <w:t>mento relativas a la comercialización y manipulación de gases fluorados y equipos basados en los mismos, así como la certificación de los profesionales que los utilizan, reguladas por el Real Decreto 115/2017, de 17 de febrero, que se concretan en las sigu</w:t>
            </w:r>
            <w:r>
              <w:rPr>
                <w:rFonts w:ascii="SansSerif" w:hAnsi="SansSerif"/>
                <w:sz w:val="19"/>
                <w:szCs w:val="19"/>
              </w:rPr>
              <w:t>ientes: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expedición, suspensión y retirada de las certificaciones personales relacionadas en el Anexo I del citado Real Decreto; así como la llevanza del registro de los certificados expedidos.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</w:t>
            </w:r>
            <w:r>
              <w:rPr>
                <w:rFonts w:ascii="SansSerif" w:hAnsi="SansSerif"/>
                <w:sz w:val="19"/>
                <w:szCs w:val="19"/>
              </w:rPr>
              <w:tab/>
              <w:t>La autorización de Centros formativos y evaluadores, p</w:t>
            </w:r>
            <w:r>
              <w:rPr>
                <w:rFonts w:ascii="SansSerif" w:hAnsi="SansSerif"/>
                <w:sz w:val="19"/>
                <w:szCs w:val="19"/>
              </w:rPr>
              <w:t>ara impartir los programas formativos relacionados el Anexo II del citado Real Decreto.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 xml:space="preserve"> • </w:t>
            </w:r>
            <w:r>
              <w:rPr>
                <w:rFonts w:ascii="SansSerif" w:hAnsi="SansSerif"/>
                <w:sz w:val="19"/>
                <w:szCs w:val="19"/>
              </w:rPr>
              <w:tab/>
              <w:t>La expedición de los certificados de las empresas en lo relativo a los sistemas fijos de protección contra incendios y los extintores, y a los equipos fijos de refr</w:t>
            </w:r>
            <w:r>
              <w:rPr>
                <w:rFonts w:ascii="SansSerif" w:hAnsi="SansSerif"/>
                <w:sz w:val="19"/>
                <w:szCs w:val="19"/>
              </w:rPr>
              <w:t>igeración, aire acondicionado y bombas de calor, respectivamente, que contengan determinados gases fluorados de efecto invernadero.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incoación y resolución de los procedimientos sancionadores por infracciones calificadas como leves en materia de indust</w:t>
            </w:r>
            <w:r>
              <w:rPr>
                <w:rFonts w:ascii="SansSerif" w:hAnsi="SansSerif"/>
                <w:sz w:val="19"/>
                <w:szCs w:val="19"/>
              </w:rPr>
              <w:t>ria e instalaciones radiactivas de segunda y tercera categorías.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incoación y propuesta de resolución a la persona titular de la Viceconsejería de Industria, Comercio y Consumo de los procedimientos sancionadores por infracciones calificadas como grave</w:t>
            </w:r>
            <w:r>
              <w:rPr>
                <w:rFonts w:ascii="SansSerif" w:hAnsi="SansSerif"/>
                <w:sz w:val="19"/>
                <w:szCs w:val="19"/>
              </w:rPr>
              <w:t>s en materia de industria e instalaciones radiactivas de segunda y tercera categorías.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En materia de minas, le corresponde: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ejecución de la política minera aprobada por el Gobierno.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coordinación e impulso de los expedientes que se tramitan en ma</w:t>
            </w:r>
            <w:r>
              <w:rPr>
                <w:rFonts w:ascii="SansSerif" w:hAnsi="SansSerif"/>
                <w:sz w:val="19"/>
                <w:szCs w:val="19"/>
              </w:rPr>
              <w:t>teria minera.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autorización de instalaciones y obras sometidas al régimen minero, incluidas las instalaciones energéticas afectas al régimen de seguridad minera.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autorización para los aprovechamientos de las Secciones A) y B) de la Ley de Minas.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Declaración como recurso de la sección B) de la Ley de Minas de depósitos de residuos mineros y estructuras subterráneas.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El otorgamiento de los permisos de exploración e investigación y concesiones de explotación para el aprovechamiento de recursos </w:t>
            </w:r>
            <w:r>
              <w:rPr>
                <w:rFonts w:ascii="SansSerif" w:hAnsi="SansSerif"/>
                <w:sz w:val="19"/>
                <w:szCs w:val="19"/>
              </w:rPr>
              <w:t>de las Secciones C) y D) de la Ley de Minas.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Las autorizaciones de los Planes de Labores.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cancelación de inscripciones y propuestas de caducidad de yacimientos en explotación.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Las resoluciones sobre la ocupación temporal y expropiación forzosa de </w:t>
            </w:r>
            <w:r>
              <w:rPr>
                <w:rFonts w:ascii="SansSerif" w:hAnsi="SansSerif"/>
                <w:sz w:val="19"/>
                <w:szCs w:val="19"/>
              </w:rPr>
              <w:t>terrenos, amparados en la Ley de Minas.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Propuesta de constitución de Cotos Mineros a la persona titular de la Consejería de Turismo, Industria y Comercio.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Las autorizaciones para los establecimientos de beneficio.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inspección y vigilancia de todos </w:t>
            </w:r>
            <w:r>
              <w:rPr>
                <w:rFonts w:ascii="SansSerif" w:hAnsi="SansSerif"/>
                <w:sz w:val="19"/>
                <w:szCs w:val="19"/>
              </w:rPr>
              <w:t>los trabajos de exploración, investigación, explotación y aprovechamiento de recursos geológicos y de los establecimientos de beneficio.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Tramitación de los procedimientos asignados por el Decreto 232/2008, de 25 de noviembre, por el que se regula la segu</w:t>
            </w:r>
            <w:r>
              <w:rPr>
                <w:rFonts w:ascii="SansSerif" w:hAnsi="SansSerif"/>
                <w:sz w:val="19"/>
                <w:szCs w:val="19"/>
              </w:rPr>
              <w:t>ridad de las personas en las obras e instalaciones hidráulicas subterráneas de Canarias.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Promover las auditorías medioambientales en materias mineras.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El asesoramiento y propuesta de la acción normativa acerca de los programas, políticas y asuntos de l</w:t>
            </w:r>
            <w:r>
              <w:rPr>
                <w:rFonts w:ascii="SansSerif" w:hAnsi="SansSerif"/>
                <w:sz w:val="19"/>
                <w:szCs w:val="19"/>
              </w:rPr>
              <w:t>a Unión Europea de interés para Canarias en sus aspectos mineros.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Ejercer en el ámbito minero las funciones previstas en el artículo 7 de la Ley 31/1995, de 8 de noviembre, de Prevención de Riesgos Laborales, y en el Reglamento general de normas básicas </w:t>
            </w:r>
            <w:r>
              <w:rPr>
                <w:rFonts w:ascii="SansSerif" w:hAnsi="SansSerif"/>
                <w:sz w:val="19"/>
                <w:szCs w:val="19"/>
              </w:rPr>
              <w:t>de seguridad minera, aprobado por el Real Decreto 863/1985, de 2 de abril.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incoación y resolución de los procedimientos sancionadores por infracciones calificadas como leves en materia de minas.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incoación y propuesta de resolución a la persona ti</w:t>
            </w:r>
            <w:r>
              <w:rPr>
                <w:rFonts w:ascii="SansSerif" w:hAnsi="SansSerif"/>
                <w:sz w:val="19"/>
                <w:szCs w:val="19"/>
              </w:rPr>
              <w:t>tular de la Viceconsejería de Industria, Comercio y Consumo de los procedimientos sancionadores por infracciones calificadas como graves en materia de minas.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convocatoria de procedimientos para la habilitación de determinados profesionales en el ámbit</w:t>
            </w:r>
            <w:r>
              <w:rPr>
                <w:rFonts w:ascii="SansSerif" w:hAnsi="SansSerif"/>
                <w:sz w:val="19"/>
                <w:szCs w:val="19"/>
              </w:rPr>
              <w:t>o de la seguridad minera, en los términos en que la normativa sectorial así lo establezca.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6" w14:textId="77777777" w:rsidR="009059F4" w:rsidRDefault="009059F4"/>
        </w:tc>
      </w:tr>
      <w:tr w:rsidR="009059F4" w14:paraId="67B5EBC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8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BC9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Fuente: Portal del Organigrama del Gobierno de Canarias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BCA" w14:textId="77777777" w:rsidR="009059F4" w:rsidRDefault="000760C7">
            <w:pPr>
              <w:jc w:val="right"/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Fecha: 22-03-2023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B" w14:textId="77777777" w:rsidR="009059F4" w:rsidRDefault="009059F4"/>
        </w:tc>
      </w:tr>
    </w:tbl>
    <w:p w14:paraId="67B5EBCD" w14:textId="77777777" w:rsidR="00000000" w:rsidRDefault="000760C7">
      <w:pPr>
        <w:rPr>
          <w:vanish/>
        </w:rPr>
        <w:sectPr w:rsidR="00000000">
          <w:pgSz w:w="11900" w:h="16840"/>
          <w:pgMar w:top="0" w:right="0" w:bottom="0" w:left="0" w:header="720" w:footer="720" w:gutter="0"/>
          <w:cols w:space="720"/>
        </w:sectPr>
      </w:pPr>
    </w:p>
    <w:tbl>
      <w:tblPr>
        <w:tblW w:w="11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600"/>
        <w:gridCol w:w="3500"/>
        <w:gridCol w:w="400"/>
      </w:tblGrid>
      <w:tr w:rsidR="009059F4" w14:paraId="67B5EBD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E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CF" w14:textId="77777777" w:rsidR="009059F4" w:rsidRDefault="009059F4"/>
        </w:tc>
        <w:tc>
          <w:tcPr>
            <w:tcW w:w="3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0" w14:textId="77777777" w:rsidR="009059F4" w:rsidRDefault="009059F4"/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1" w14:textId="77777777" w:rsidR="009059F4" w:rsidRDefault="009059F4"/>
        </w:tc>
      </w:tr>
      <w:tr w:rsidR="009059F4" w14:paraId="67B5EBD6" w14:textId="77777777">
        <w:tblPrEx>
          <w:tblCellMar>
            <w:top w:w="0" w:type="dxa"/>
            <w:bottom w:w="0" w:type="dxa"/>
          </w:tblCellMar>
        </w:tblPrEx>
        <w:trPr>
          <w:trHeight w:hRule="exact" w:val="692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3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D4" w14:textId="77777777" w:rsidR="009059F4" w:rsidRDefault="000760C7">
            <w:pPr>
              <w:textAlignment w:val="top"/>
            </w:pPr>
            <w:bookmarkStart w:id="3" w:name="JR_PAGE_ANCHOR_0_4"/>
            <w:bookmarkEnd w:id="3"/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acreditación de entidades y empresas para impartir cursos de </w:t>
            </w:r>
            <w:r>
              <w:rPr>
                <w:rFonts w:ascii="SansSerif" w:hAnsi="SansSerif"/>
                <w:sz w:val="19"/>
                <w:szCs w:val="19"/>
              </w:rPr>
              <w:t>formación con la finalidad de habilitar a profesionales que desarrollen su trabajo en el ámbito de la seguridad minera, en los casos en que la legislación sectorial así lo prevea.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En materia de fomento industrial, le corresponde: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difusión y gestión d</w:t>
            </w:r>
            <w:r>
              <w:rPr>
                <w:rFonts w:ascii="SansSerif" w:hAnsi="SansSerif"/>
                <w:sz w:val="19"/>
                <w:szCs w:val="19"/>
              </w:rPr>
              <w:t>el sistema de incentivos regionales industriales, sin perjuicio de las competencias atribuidas a la Dirección General de Promoción Económica.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de la política de formación y apoyo a las empresas industriales y su promoción regional.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partici</w:t>
            </w:r>
            <w:r>
              <w:rPr>
                <w:rFonts w:ascii="SansSerif" w:hAnsi="SansSerif"/>
                <w:sz w:val="19"/>
                <w:szCs w:val="19"/>
              </w:rPr>
              <w:t>pación en actividades dirigidas al fomento de la inversión, así como a la creación, promoción y establecimiento de empresas industriales en Canarias. A tal efecto, desarrollará la política de promoción industrial en ferias y mercados.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información y as</w:t>
            </w:r>
            <w:r>
              <w:rPr>
                <w:rFonts w:ascii="SansSerif" w:hAnsi="SansSerif"/>
                <w:sz w:val="19"/>
                <w:szCs w:val="19"/>
              </w:rPr>
              <w:t>istencia a las empresas industriales sobre ayudas y programas de interés de la Comunidad Autónoma, de la Administración General del Estado y de la Unión Europea, en coordinación con la Dirección General de Asuntos Europeos.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 xml:space="preserve">La promoción y realización de </w:t>
            </w:r>
            <w:r>
              <w:rPr>
                <w:rFonts w:ascii="SansSerif" w:hAnsi="SansSerif"/>
                <w:sz w:val="19"/>
                <w:szCs w:val="19"/>
              </w:rPr>
              <w:t>los trámites y actuaciones administrativas dirigidas a la implantación en las zonas especiales de empresas industriales, en coordinación con la Dirección General de Promoción Económica.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propuesta, impulso y, en su caso, elaboración de las medidas nece</w:t>
            </w:r>
            <w:r>
              <w:rPr>
                <w:rFonts w:ascii="SansSerif" w:hAnsi="SansSerif"/>
                <w:sz w:val="19"/>
                <w:szCs w:val="19"/>
              </w:rPr>
              <w:t>sarias para la adaptación de la normativa autonómica a la normativa comunitaria en las materias industrial y minera, específicamente respecto de la normalización y homologación, investigación y desarrollo.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En materia de artesanía, le corresponde: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</w:t>
            </w:r>
            <w:r>
              <w:rPr>
                <w:rFonts w:ascii="SansSerif" w:hAnsi="SansSerif"/>
                <w:sz w:val="19"/>
                <w:szCs w:val="19"/>
              </w:rPr>
              <w:t>tión de las ferias regionales, nacionales e internacionales de artesanía.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gestión del Registro de Artesanía de Canarias.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coordinación de los talleres de artesanía a nivel regional, así como la organización de cursos de apoyo al artesano de interé</w:t>
            </w:r>
            <w:r>
              <w:rPr>
                <w:rFonts w:ascii="SansSerif" w:hAnsi="SansSerif"/>
                <w:sz w:val="19"/>
                <w:szCs w:val="19"/>
              </w:rPr>
              <w:t>s regional.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incoación y resolución de los procedimientos sancionadores por infracciones, de ámbito no insular, calificadas como leves por la legislación en materia de artesanía.</w:t>
            </w:r>
            <w:r>
              <w:rPr>
                <w:rFonts w:ascii="SansSerif" w:hAnsi="SansSerif"/>
                <w:sz w:val="19"/>
                <w:szCs w:val="19"/>
              </w:rPr>
              <w:br/>
            </w:r>
            <w:r>
              <w:rPr>
                <w:rFonts w:ascii="SansSerif" w:hAnsi="SansSerif"/>
                <w:sz w:val="19"/>
                <w:szCs w:val="19"/>
              </w:rPr>
              <w:t>-</w:t>
            </w:r>
            <w:r>
              <w:rPr>
                <w:rFonts w:ascii="SansSerif" w:hAnsi="SansSerif"/>
                <w:sz w:val="19"/>
                <w:szCs w:val="19"/>
              </w:rPr>
              <w:tab/>
              <w:t>La incoación y propuesta de resolución a la persona titular de la Vicec</w:t>
            </w:r>
            <w:r>
              <w:rPr>
                <w:rFonts w:ascii="SansSerif" w:hAnsi="SansSerif"/>
                <w:sz w:val="19"/>
                <w:szCs w:val="19"/>
              </w:rPr>
              <w:t>onsejería de Industria, Comercio y Consumo de los procedimientos sancionadores por infracciones, de ámbito no insular, calificadas como graves previstas por la legislación en materia de artesanía.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5" w14:textId="77777777" w:rsidR="009059F4" w:rsidRDefault="009059F4"/>
        </w:tc>
      </w:tr>
      <w:tr w:rsidR="009059F4" w14:paraId="67B5EBD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7" w14:textId="77777777" w:rsidR="009059F4" w:rsidRDefault="009059F4"/>
        </w:tc>
        <w:tc>
          <w:tcPr>
            <w:tcW w:w="11100" w:type="dxa"/>
            <w:gridSpan w:val="2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D8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Marco legal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9" w14:textId="77777777" w:rsidR="009059F4" w:rsidRDefault="009059F4"/>
        </w:tc>
      </w:tr>
      <w:tr w:rsidR="009059F4" w14:paraId="67B5EBDE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B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  <w:vAlign w:val="center"/>
          </w:tcPr>
          <w:p w14:paraId="67B5EBDC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 xml:space="preserve">• Decreto 45/2020, de 21 de mayo (BOC </w:t>
            </w:r>
            <w:proofErr w:type="spellStart"/>
            <w:r>
              <w:rPr>
                <w:rFonts w:ascii="SansSerif" w:hAnsi="SansSerif"/>
                <w:sz w:val="20"/>
                <w:szCs w:val="20"/>
              </w:rPr>
              <w:t>nº</w:t>
            </w:r>
            <w:proofErr w:type="spellEnd"/>
            <w:r>
              <w:rPr>
                <w:rFonts w:ascii="SansSerif" w:hAnsi="SansSerif"/>
                <w:sz w:val="20"/>
                <w:szCs w:val="20"/>
              </w:rPr>
              <w:t xml:space="preserve"> 105, de 29.05.2020), por el que se aprueba el Reglamento Orgánico de la Consejería de Turismo, Industria y Comercio. http://www.gobiernodecanarias.org/boc/2020/105/003.html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D" w14:textId="77777777" w:rsidR="009059F4" w:rsidRDefault="009059F4"/>
        </w:tc>
      </w:tr>
      <w:tr w:rsidR="009059F4" w14:paraId="67B5EBE2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DF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  <w:vAlign w:val="center"/>
          </w:tcPr>
          <w:p w14:paraId="67B5EBE0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 xml:space="preserve">• Decreto 203/2019, de 1 de agosto (BOC </w:t>
            </w:r>
            <w:proofErr w:type="spellStart"/>
            <w:r>
              <w:rPr>
                <w:rFonts w:ascii="SansSerif" w:hAnsi="SansSerif"/>
                <w:sz w:val="20"/>
                <w:szCs w:val="20"/>
              </w:rPr>
              <w:t>nº</w:t>
            </w:r>
            <w:proofErr w:type="spellEnd"/>
            <w:r>
              <w:rPr>
                <w:rFonts w:ascii="SansSerif" w:hAnsi="SansSerif"/>
                <w:sz w:val="20"/>
                <w:szCs w:val="20"/>
              </w:rPr>
              <w:t xml:space="preserve"> 149 de 05.08.2019), por el que </w:t>
            </w:r>
            <w:r>
              <w:rPr>
                <w:rFonts w:ascii="SansSerif" w:hAnsi="SansSerif"/>
                <w:sz w:val="20"/>
                <w:szCs w:val="20"/>
              </w:rPr>
              <w:t>se determina la estructura central y periférica, así como las sedes de las Consejerías del Gobierno de Canarias. http://www.gobiernodecanarias.org/boc/2019/149/001.html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1" w14:textId="77777777" w:rsidR="009059F4" w:rsidRDefault="009059F4"/>
        </w:tc>
      </w:tr>
      <w:tr w:rsidR="009059F4" w14:paraId="67B5EBE6" w14:textId="77777777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3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  <w:vAlign w:val="center"/>
          </w:tcPr>
          <w:p w14:paraId="67B5EBE4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 xml:space="preserve">• Decreto 119/2019, de 16 de julio, del </w:t>
            </w:r>
            <w:proofErr w:type="gramStart"/>
            <w:r>
              <w:rPr>
                <w:rFonts w:ascii="SansSerif" w:hAnsi="SansSerif"/>
                <w:sz w:val="20"/>
                <w:szCs w:val="20"/>
              </w:rPr>
              <w:t>Presidente</w:t>
            </w:r>
            <w:proofErr w:type="gramEnd"/>
            <w:r>
              <w:rPr>
                <w:rFonts w:ascii="SansSerif" w:hAnsi="SansSerif"/>
                <w:sz w:val="20"/>
                <w:szCs w:val="20"/>
              </w:rPr>
              <w:t xml:space="preserve"> (BOC </w:t>
            </w:r>
            <w:proofErr w:type="spellStart"/>
            <w:r>
              <w:rPr>
                <w:rFonts w:ascii="SansSerif" w:hAnsi="SansSerif"/>
                <w:sz w:val="20"/>
                <w:szCs w:val="20"/>
              </w:rPr>
              <w:t>nº</w:t>
            </w:r>
            <w:proofErr w:type="spellEnd"/>
            <w:r>
              <w:rPr>
                <w:rFonts w:ascii="SansSerif" w:hAnsi="SansSerif"/>
                <w:sz w:val="20"/>
                <w:szCs w:val="20"/>
              </w:rPr>
              <w:t xml:space="preserve"> 136, de 17.07.2019), por </w:t>
            </w:r>
            <w:r>
              <w:rPr>
                <w:rFonts w:ascii="SansSerif" w:hAnsi="SansSerif"/>
                <w:sz w:val="20"/>
                <w:szCs w:val="20"/>
              </w:rPr>
              <w:t>el que se determinan el número, denominación y competencias de las Consejerías. http://www.gobiernodecanarias.org/juriscan/ficha.jsp?id=78064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5" w14:textId="77777777" w:rsidR="009059F4" w:rsidRDefault="009059F4"/>
        </w:tc>
      </w:tr>
      <w:tr w:rsidR="009059F4" w14:paraId="67B5EB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7" w14:textId="77777777" w:rsidR="009059F4" w:rsidRDefault="009059F4"/>
        </w:tc>
        <w:tc>
          <w:tcPr>
            <w:tcW w:w="11100" w:type="dxa"/>
            <w:gridSpan w:val="2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E8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Retribución íntegra anual (Sin Seguridad Social ni Antigüedad)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9" w14:textId="77777777" w:rsidR="009059F4" w:rsidRDefault="009059F4"/>
        </w:tc>
      </w:tr>
      <w:tr w:rsidR="009059F4" w14:paraId="67B5EBEE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B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EC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>65.053,77 €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D" w14:textId="77777777" w:rsidR="009059F4" w:rsidRDefault="009059F4"/>
        </w:tc>
      </w:tr>
      <w:tr w:rsidR="009059F4" w14:paraId="67B5EBF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EF" w14:textId="77777777" w:rsidR="009059F4" w:rsidRDefault="009059F4"/>
        </w:tc>
        <w:tc>
          <w:tcPr>
            <w:tcW w:w="11100" w:type="dxa"/>
            <w:gridSpan w:val="2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F0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 xml:space="preserve">Indemnizaciones por razón </w:t>
            </w: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del servicio (viajes, dietas, etc.)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1" w14:textId="77777777" w:rsidR="009059F4" w:rsidRDefault="009059F4"/>
        </w:tc>
      </w:tr>
      <w:tr w:rsidR="009059F4" w14:paraId="67B5EBF6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3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F4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>https://www.gobiernodecanarias.org/transparencia/temas/institucional-organizativa/retribuciones/indemnizaciones/devengo/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5" w14:textId="77777777" w:rsidR="009059F4" w:rsidRDefault="009059F4"/>
        </w:tc>
      </w:tr>
      <w:tr w:rsidR="009059F4" w14:paraId="67B5EBF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7" w14:textId="77777777" w:rsidR="009059F4" w:rsidRDefault="009059F4"/>
        </w:tc>
        <w:tc>
          <w:tcPr>
            <w:tcW w:w="11100" w:type="dxa"/>
            <w:gridSpan w:val="2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BF8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Declaración sobre bienes, derechos y obligaciones patrimoniales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9" w14:textId="77777777" w:rsidR="009059F4" w:rsidRDefault="009059F4"/>
        </w:tc>
      </w:tr>
      <w:tr w:rsidR="009059F4" w14:paraId="67B5EBFE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B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BFC" w14:textId="77777777" w:rsidR="009059F4" w:rsidRDefault="000760C7">
            <w:pPr>
              <w:textAlignment w:val="top"/>
            </w:pPr>
            <w:hyperlink r:id="rId10" w:history="1">
              <w:r>
                <w:rPr>
                  <w:rFonts w:ascii="SansSerif" w:hAnsi="SansSerif"/>
                  <w:sz w:val="19"/>
                  <w:szCs w:val="19"/>
                </w:rPr>
                <w:t>https://www.gobiernodecanarias.org/organigrama/descargar-ficha?ou=37452&amp;tipo=declaracion</w:t>
              </w:r>
            </w:hyperlink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D" w14:textId="77777777" w:rsidR="009059F4" w:rsidRDefault="009059F4"/>
        </w:tc>
      </w:tr>
      <w:tr w:rsidR="009059F4" w14:paraId="67B5EC0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BFF" w14:textId="77777777" w:rsidR="009059F4" w:rsidRDefault="009059F4"/>
        </w:tc>
        <w:tc>
          <w:tcPr>
            <w:tcW w:w="11100" w:type="dxa"/>
            <w:gridSpan w:val="2"/>
            <w:shd w:val="clear" w:color="auto" w:fill="DBDCD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C00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 xml:space="preserve">Agenda de </w:t>
            </w:r>
            <w:r>
              <w:rPr>
                <w:rFonts w:ascii="SansSerif" w:hAnsi="SansSerif"/>
                <w:b/>
                <w:sz w:val="19"/>
                <w:szCs w:val="19"/>
                <w:shd w:val="clear" w:color="auto" w:fill="DBDCDE"/>
              </w:rPr>
              <w:t>actividad institucional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1" w14:textId="77777777" w:rsidR="009059F4" w:rsidRDefault="009059F4"/>
        </w:tc>
      </w:tr>
      <w:tr w:rsidR="009059F4" w14:paraId="67B5EC06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3" w14:textId="77777777" w:rsidR="009059F4" w:rsidRDefault="009059F4"/>
        </w:tc>
        <w:tc>
          <w:tcPr>
            <w:tcW w:w="11100" w:type="dxa"/>
            <w:gridSpan w:val="2"/>
            <w:shd w:val="clear" w:color="auto" w:fill="auto"/>
            <w:tcMar>
              <w:top w:w="100" w:type="dxa"/>
              <w:left w:w="0" w:type="dxa"/>
              <w:bottom w:w="200" w:type="dxa"/>
              <w:right w:w="0" w:type="dxa"/>
            </w:tcMar>
          </w:tcPr>
          <w:p w14:paraId="67B5EC04" w14:textId="77777777" w:rsidR="009059F4" w:rsidRDefault="000760C7">
            <w:pPr>
              <w:textAlignment w:val="top"/>
            </w:pPr>
            <w:r>
              <w:rPr>
                <w:rFonts w:ascii="SansSerif" w:hAnsi="SansSerif"/>
                <w:sz w:val="19"/>
                <w:szCs w:val="19"/>
              </w:rPr>
              <w:t>https://www.gobiernodecanarias.org/organigrama/agenda/?ou=37452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5" w14:textId="77777777" w:rsidR="009059F4" w:rsidRDefault="009059F4"/>
        </w:tc>
      </w:tr>
      <w:tr w:rsidR="009059F4" w14:paraId="67B5EC0B" w14:textId="7777777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7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8" w14:textId="77777777" w:rsidR="009059F4" w:rsidRDefault="009059F4"/>
        </w:tc>
        <w:tc>
          <w:tcPr>
            <w:tcW w:w="3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9" w14:textId="77777777" w:rsidR="009059F4" w:rsidRDefault="009059F4"/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A" w14:textId="77777777" w:rsidR="009059F4" w:rsidRDefault="009059F4"/>
        </w:tc>
      </w:tr>
      <w:tr w:rsidR="009059F4" w14:paraId="67B5EC1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C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C0D" w14:textId="77777777" w:rsidR="009059F4" w:rsidRDefault="000760C7">
            <w:pPr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Fuente: Portal del Organigrama del Gobierno de Canarias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C0E" w14:textId="77777777" w:rsidR="009059F4" w:rsidRDefault="000760C7">
            <w:pPr>
              <w:jc w:val="right"/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>Fecha: 22-03-2023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0F" w14:textId="77777777" w:rsidR="009059F4" w:rsidRDefault="009059F4"/>
        </w:tc>
      </w:tr>
    </w:tbl>
    <w:p w14:paraId="67B5EC11" w14:textId="77777777" w:rsidR="00000000" w:rsidRDefault="000760C7">
      <w:pPr>
        <w:rPr>
          <w:vanish/>
        </w:rPr>
        <w:sectPr w:rsidR="00000000">
          <w:pgSz w:w="11900" w:h="16840"/>
          <w:pgMar w:top="0" w:right="0" w:bottom="0" w:left="0" w:header="720" w:footer="720" w:gutter="0"/>
          <w:cols w:space="720"/>
        </w:sectPr>
      </w:pPr>
    </w:p>
    <w:tbl>
      <w:tblPr>
        <w:tblW w:w="11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600"/>
        <w:gridCol w:w="3500"/>
        <w:gridCol w:w="400"/>
      </w:tblGrid>
      <w:tr w:rsidR="009059F4" w14:paraId="67B5EC16" w14:textId="77777777">
        <w:tblPrEx>
          <w:tblCellMar>
            <w:top w:w="0" w:type="dxa"/>
            <w:bottom w:w="0" w:type="dxa"/>
          </w:tblCellMar>
        </w:tblPrEx>
        <w:trPr>
          <w:trHeight w:hRule="exact" w:val="1604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12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13" w14:textId="77777777" w:rsidR="009059F4" w:rsidRDefault="009059F4"/>
        </w:tc>
        <w:tc>
          <w:tcPr>
            <w:tcW w:w="3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14" w14:textId="77777777" w:rsidR="009059F4" w:rsidRDefault="009059F4"/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15" w14:textId="77777777" w:rsidR="009059F4" w:rsidRDefault="009059F4"/>
        </w:tc>
      </w:tr>
      <w:tr w:rsidR="009059F4" w14:paraId="67B5EC1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17" w14:textId="77777777" w:rsidR="009059F4" w:rsidRDefault="009059F4"/>
        </w:tc>
        <w:tc>
          <w:tcPr>
            <w:tcW w:w="7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C18" w14:textId="77777777" w:rsidR="009059F4" w:rsidRDefault="000760C7">
            <w:pPr>
              <w:textAlignment w:val="center"/>
            </w:pPr>
            <w:bookmarkStart w:id="4" w:name="JR_PAGE_ANCHOR_0_5"/>
            <w:bookmarkEnd w:id="4"/>
            <w:r>
              <w:rPr>
                <w:rFonts w:ascii="SansSerif" w:hAnsi="SansSerif"/>
                <w:sz w:val="20"/>
                <w:szCs w:val="20"/>
              </w:rPr>
              <w:t>Fuente: Portal del Organigrama del Gobierno de Canarias</w:t>
            </w:r>
          </w:p>
        </w:tc>
        <w:tc>
          <w:tcPr>
            <w:tcW w:w="3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C19" w14:textId="77777777" w:rsidR="009059F4" w:rsidRDefault="000760C7">
            <w:pPr>
              <w:jc w:val="right"/>
              <w:textAlignment w:val="center"/>
            </w:pPr>
            <w:r>
              <w:rPr>
                <w:rFonts w:ascii="SansSerif" w:hAnsi="SansSerif"/>
                <w:sz w:val="20"/>
                <w:szCs w:val="20"/>
              </w:rPr>
              <w:t xml:space="preserve">Fecha: </w:t>
            </w:r>
            <w:r>
              <w:rPr>
                <w:rFonts w:ascii="SansSerif" w:hAnsi="SansSerif"/>
                <w:sz w:val="20"/>
                <w:szCs w:val="20"/>
              </w:rPr>
              <w:t>22-03-2023</w:t>
            </w:r>
          </w:p>
        </w:tc>
        <w:tc>
          <w:tcPr>
            <w:tcW w:w="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5EC1A" w14:textId="77777777" w:rsidR="009059F4" w:rsidRDefault="009059F4"/>
        </w:tc>
      </w:tr>
    </w:tbl>
    <w:p w14:paraId="67B5EC1C" w14:textId="77777777" w:rsidR="009059F4" w:rsidRDefault="009059F4"/>
    <w:sectPr w:rsidR="009059F4"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EB2F" w14:textId="77777777" w:rsidR="00000000" w:rsidRDefault="000760C7">
      <w:r>
        <w:separator/>
      </w:r>
    </w:p>
  </w:endnote>
  <w:endnote w:type="continuationSeparator" w:id="0">
    <w:p w14:paraId="67B5EB31" w14:textId="77777777" w:rsidR="00000000" w:rsidRDefault="000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B2B" w14:textId="77777777" w:rsidR="00000000" w:rsidRDefault="000760C7">
      <w:r>
        <w:rPr>
          <w:color w:val="000000"/>
        </w:rPr>
        <w:separator/>
      </w:r>
    </w:p>
  </w:footnote>
  <w:footnote w:type="continuationSeparator" w:id="0">
    <w:p w14:paraId="67B5EB2D" w14:textId="77777777" w:rsidR="00000000" w:rsidRDefault="0007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8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59F4"/>
    <w:rsid w:val="000760C7"/>
    <w:rsid w:val="0090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EB27"/>
  <w15:docId w15:val="{1BDD7247-3F99-4680-935F-465EF03E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ficha-altos-cargos?ou=3745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biernodecanarias.org/organigrama/descargar-ficha?ou=37452&amp;tipo=declar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biernodecanarias.org/boc/2019/153/0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2731</Words>
  <Characters>15026</Characters>
  <Application>Microsoft Office Word</Application>
  <DocSecurity>0</DocSecurity>
  <Lines>125</Lines>
  <Paragraphs>35</Paragraphs>
  <ScaleCrop>false</ScaleCrop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Cebrián</dc:creator>
  <cp:lastModifiedBy>Ramón García</cp:lastModifiedBy>
  <cp:revision>2</cp:revision>
  <dcterms:created xsi:type="dcterms:W3CDTF">2023-03-22T14:28:00Z</dcterms:created>
  <dcterms:modified xsi:type="dcterms:W3CDTF">2023-03-22T14:28:00Z</dcterms:modified>
</cp:coreProperties>
</file>