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AEB3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En este apartado se recoge</w:t>
      </w: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 información general institucional, histórica y de actividad del Instituto Tecnológico de Canarias, (S.A.)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, para facilitar a la ciudadanía el conocimiento de las funciones y actividades que desarrolla.</w:t>
      </w:r>
    </w:p>
    <w:p w14:paraId="4A76CC16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</w:p>
    <w:p w14:paraId="4A8057A3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Institucional </w:t>
      </w:r>
    </w:p>
    <w:p w14:paraId="38AED46B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</w:p>
    <w:p w14:paraId="2617DC4C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</w:t>
      </w: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 Instituto Tecnológico de Canarias, S.A. (ITC)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es una sociedad mercantil pública, con más de 30 años de experiencia, cuyo accionista único es la Comunidad Autónoma de Canarias y que se constituyó mediante </w:t>
      </w: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Decreto 139/1992 del Gobierno de Canarias del día 30 de julio de 1992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(</w:t>
      </w:r>
      <w:hyperlink r:id="rId10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pdf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11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.docx</w:t>
        </w:r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12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odt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), no publicado en el Boletín Oficial de Canarias. La </w:t>
      </w: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escritura pública de constitución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se otorga el día 28 de agosto de 1992 (Protocolo 2782) (</w:t>
      </w:r>
      <w:hyperlink r:id="rId13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pdf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14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.docx</w:t>
        </w:r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15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odt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), estando en la actualidad la sociedad adscrita funcionalmente a la Consejería de Universidades, Ciencia e Innovación y Cultura del Gobierno de Canarias.</w:t>
      </w:r>
    </w:p>
    <w:p w14:paraId="7C6B17C3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La actividad del ITC se enmarca en los campos de la Investigación, Desarrollo e Innovación, dentro del ámbito regional del Archipiélago canario. Entre sus fines esenciales está inspirar el avance tecnológico para la mejora de las condiciones y calidad de vida del entorno social, y apoyar el desarrollo integral de Canarias a través de la ejecución de prácticas y proyectos relacionados con la I+D+i.</w:t>
      </w:r>
    </w:p>
    <w:p w14:paraId="337B90F9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De la escasa decena de personas con que contaba en 1992, se ha pasado a disponer de una plantilla media de 236 </w:t>
      </w:r>
      <w:proofErr w:type="gramStart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trabajadores y trabajadoras</w:t>
      </w:r>
      <w:proofErr w:type="gram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 en el ejercicio 2024, repartidos en las distintas unidades funcionales que configuran su estructura organizativa. Esta estructura organizativa, desde el ejercicio 2018, ha quedado configurada por la Alta Dirección y el Área de Investigación, Desarrollo e Innovación Tecnológica, con los recursos adscritos a ambos que se estructuran en varios departamentos funcionales.</w:t>
      </w:r>
    </w:p>
    <w:p w14:paraId="2675611F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Gobierno considera que el ITC es un instrumento clave en su contribución al proceso de la diversificación económica de Canarias, tanto en lo relacionado con su política de I+D+i como en su política industrial, y como tal debe seguir prestando apoyo al Gobierno de Canarias en determinadas áreas orientadas al impulso de la I+D+i, y al desarrollo de nuevas áreas en los campos de la industria y la energía, además de en la transferencia tecnológica y la internacionalización de la empresa canaria.</w:t>
      </w:r>
    </w:p>
    <w:p w14:paraId="001BB2BD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La ubicación concreta de las distintas instalaciones del ITC y los departamentos que se encuentran ubicados en las mismas son las siguientes: </w:t>
      </w:r>
    </w:p>
    <w:p w14:paraId="41A4B348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lastRenderedPageBreak/>
        <w:t>Sede Social del ITC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 Desarrollo de la administración y gestión de la sociedad.   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Dirección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 c/ Cebrián, 3 - 5ª y 6ª Planta - 35003 - Las Palmas de Gran Canaria - Gran Canaria.   </w:t>
      </w:r>
      <w:proofErr w:type="spellStart"/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Tfno</w:t>
      </w:r>
      <w:proofErr w:type="spell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 (+34) 928 379 900</w:t>
      </w:r>
    </w:p>
    <w:p w14:paraId="667EBAF4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En la misma se encuentran ubicados:</w:t>
      </w:r>
    </w:p>
    <w:p w14:paraId="26D71D26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La Alta Dirección</w:t>
      </w:r>
    </w:p>
    <w:p w14:paraId="258613F9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La Unidad de Coordinación de I+D+i y Comunicación</w:t>
      </w:r>
    </w:p>
    <w:p w14:paraId="23B8F0C7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Económico-Administrativo</w:t>
      </w:r>
    </w:p>
    <w:p w14:paraId="08F9DA6A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Gestión de Activos Energéticos y Empresas Participadas</w:t>
      </w:r>
    </w:p>
    <w:p w14:paraId="743CB8FF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Jurídico</w:t>
      </w:r>
    </w:p>
    <w:p w14:paraId="5891FA15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Personal</w:t>
      </w:r>
    </w:p>
    <w:p w14:paraId="7333E3BF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Informática y Comunicaciones</w:t>
      </w:r>
    </w:p>
    <w:p w14:paraId="28B51AB6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Gestión de Infraestructuras</w:t>
      </w:r>
    </w:p>
    <w:p w14:paraId="46CE8990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Computación Científica y Tecnológica</w:t>
      </w:r>
    </w:p>
    <w:p w14:paraId="7C804428" w14:textId="77777777" w:rsidR="00952308" w:rsidRPr="00952308" w:rsidRDefault="00952308" w:rsidP="00952308">
      <w:pPr>
        <w:numPr>
          <w:ilvl w:val="0"/>
          <w:numId w:val="11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Personal adscrito a otros departamentos como el Departamento de Innovación, el Departamento de Centro de Orientación, Emprendimiento, Acompañamiento e Innovación para el empleo, el Departamento de Sociedad de la Información y el Departamento de Servicios Institucionales y Metrología</w:t>
      </w:r>
    </w:p>
    <w:p w14:paraId="5FC3B37B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Sede de Pozo Izquierdo: 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Centro de desarrollo experimental donde se desarrolla buena parte de la actividad de Investigación y Desarrollo de la entidad.  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Dirección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 Playa de Pozo Izquierdo, s/n - 35119 Santa Lucía - Gran Canaria.   </w:t>
      </w:r>
      <w:proofErr w:type="spellStart"/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Tlfno</w:t>
      </w:r>
      <w:proofErr w:type="spell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 (+34) 928 727 500</w:t>
      </w:r>
    </w:p>
    <w:p w14:paraId="71C966BF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Ubicado en la Playa de Pozo Izquierdo, en la costa sureste de Gran Canaria, dispone de espacios abiertos destinados a la implantación de proyectos, contando además con zonas para albergar los laboratorios, oficinas técnicas y espacios experimentales. En esta sede se encuentran ubicados:</w:t>
      </w:r>
    </w:p>
    <w:p w14:paraId="5677B142" w14:textId="77777777" w:rsidR="00952308" w:rsidRPr="00952308" w:rsidRDefault="00952308" w:rsidP="00952308">
      <w:pPr>
        <w:numPr>
          <w:ilvl w:val="0"/>
          <w:numId w:val="12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Agua</w:t>
      </w:r>
    </w:p>
    <w:p w14:paraId="48D82531" w14:textId="77777777" w:rsidR="00952308" w:rsidRPr="00952308" w:rsidRDefault="00952308" w:rsidP="00952308">
      <w:pPr>
        <w:numPr>
          <w:ilvl w:val="0"/>
          <w:numId w:val="12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Biotecnología</w:t>
      </w:r>
    </w:p>
    <w:p w14:paraId="27179814" w14:textId="77777777" w:rsidR="00952308" w:rsidRPr="00952308" w:rsidRDefault="00952308" w:rsidP="00952308">
      <w:pPr>
        <w:numPr>
          <w:ilvl w:val="0"/>
          <w:numId w:val="12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 Energías Renovables</w:t>
      </w:r>
    </w:p>
    <w:p w14:paraId="4F31F17C" w14:textId="77777777" w:rsidR="00952308" w:rsidRPr="00952308" w:rsidRDefault="00952308" w:rsidP="00952308">
      <w:pPr>
        <w:numPr>
          <w:ilvl w:val="0"/>
          <w:numId w:val="12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Ingeniería Biomédica</w:t>
      </w:r>
    </w:p>
    <w:p w14:paraId="4A0A010E" w14:textId="77777777" w:rsidR="00952308" w:rsidRPr="00952308" w:rsidRDefault="00952308" w:rsidP="00952308">
      <w:pPr>
        <w:numPr>
          <w:ilvl w:val="0"/>
          <w:numId w:val="12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lastRenderedPageBreak/>
        <w:t>El Departamento de Servicios Institucionales y Metrología</w:t>
      </w:r>
    </w:p>
    <w:p w14:paraId="7CD75C36" w14:textId="77777777" w:rsidR="00952308" w:rsidRPr="00952308" w:rsidRDefault="00952308" w:rsidP="00952308">
      <w:pPr>
        <w:numPr>
          <w:ilvl w:val="0"/>
          <w:numId w:val="12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Personal adscrito a otros departamentos como el Departamento de Computación Científica y Tecnológica, el Departamento de Innovación, el Departamento de Servicios Institucionales y Metrología, el Departamento de Gestión de Activos Energéticos y Empresas Participadas, el Departamento de Gestión de Infraestructuras, y de la Unidad de Coordinación de I+D+i y Comunicación</w:t>
      </w:r>
    </w:p>
    <w:p w14:paraId="6CF9738F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 xml:space="preserve">Laboratorio de Residuos Fitosanitarios de Canarias acreditado por </w:t>
      </w:r>
      <w:proofErr w:type="spellStart"/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ENAC</w:t>
      </w:r>
      <w:proofErr w:type="spellEnd"/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: 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Centro responsable de la realización de análisis y de la monitorización de residuos de plaguicidas en productos vegetales y suelos agrícolas, además de la caracterización de la trazabilidad del origen de los productos locales.  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Dirección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: C/ Los Cactus </w:t>
      </w:r>
      <w:proofErr w:type="spellStart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nº</w:t>
      </w:r>
      <w:proofErr w:type="spell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 68 - Polígono Industrial de Arinaga - Agüimes - Gran Canaria.   </w:t>
      </w:r>
      <w:proofErr w:type="spellStart"/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Tlfno</w:t>
      </w:r>
      <w:proofErr w:type="spellEnd"/>
      <w:proofErr w:type="gramStart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  (</w:t>
      </w:r>
      <w:proofErr w:type="gram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+34) 928 727 632</w:t>
      </w:r>
    </w:p>
    <w:p w14:paraId="38D31D2D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En esta sede se encuentra ubicado el Departamento de Análisis Ambiental, encargado de la gestión y funcionamiento del Laboratorio. </w:t>
      </w:r>
    </w:p>
    <w:p w14:paraId="1613144D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Sede de Santa Cruz de Tenerife: 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Centro administrativo-técnico de Santa Cruz de Tenerife.  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Dirección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: Plaza de Sixto Machado </w:t>
      </w:r>
      <w:proofErr w:type="spellStart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nº</w:t>
      </w:r>
      <w:proofErr w:type="spell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 3 - 38009 Santa Cruz de Tenerife </w:t>
      </w:r>
      <w:proofErr w:type="gramStart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-  Tenerife</w:t>
      </w:r>
      <w:proofErr w:type="gram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.   </w:t>
      </w:r>
      <w:proofErr w:type="spellStart"/>
      <w:r w:rsidRPr="00952308">
        <w:rPr>
          <w:rFonts w:ascii="Open Sans" w:eastAsia="Times New Roman" w:hAnsi="Open Sans" w:cs="Open Sans"/>
          <w:color w:val="333333"/>
          <w:sz w:val="23"/>
          <w:szCs w:val="23"/>
          <w:u w:val="single"/>
          <w:lang w:eastAsia="es-ES"/>
        </w:rPr>
        <w:t>Tlfno</w:t>
      </w:r>
      <w:proofErr w:type="spell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: (+34) 922 568 900</w:t>
      </w:r>
    </w:p>
    <w:p w14:paraId="74FE965A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En la misma se encuentran ubicados:</w:t>
      </w:r>
    </w:p>
    <w:p w14:paraId="65DAE65E" w14:textId="77777777" w:rsidR="00952308" w:rsidRPr="00952308" w:rsidRDefault="00952308" w:rsidP="00952308">
      <w:pPr>
        <w:numPr>
          <w:ilvl w:val="0"/>
          <w:numId w:val="13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Innovación</w:t>
      </w:r>
    </w:p>
    <w:p w14:paraId="19C47EBD" w14:textId="77777777" w:rsidR="00952308" w:rsidRPr="00952308" w:rsidRDefault="00952308" w:rsidP="00952308">
      <w:pPr>
        <w:numPr>
          <w:ilvl w:val="0"/>
          <w:numId w:val="13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Sociedad de la Información</w:t>
      </w:r>
    </w:p>
    <w:p w14:paraId="223EE34A" w14:textId="77777777" w:rsidR="00952308" w:rsidRPr="00952308" w:rsidRDefault="00952308" w:rsidP="00952308">
      <w:pPr>
        <w:numPr>
          <w:ilvl w:val="0"/>
          <w:numId w:val="13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Departamento de Centro de Orientación, Emprendimiento, Acompañamiento e Innovación para el empleo</w:t>
      </w:r>
    </w:p>
    <w:p w14:paraId="61A2646C" w14:textId="77777777" w:rsidR="00952308" w:rsidRPr="00952308" w:rsidRDefault="00952308" w:rsidP="00952308">
      <w:pPr>
        <w:numPr>
          <w:ilvl w:val="0"/>
          <w:numId w:val="13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Personal adscrito a los Departamentos Económico-Administrativo, Gestión de Infraestructuras, Personal e Informática y Comunicaciones, así como del Departamento de Ingeniería Biomédica y de la Unidad de Coordinación de I+D+i y Comunicación</w:t>
      </w:r>
    </w:p>
    <w:p w14:paraId="2DF37B92" w14:textId="77777777" w:rsidR="00952308" w:rsidRPr="00952308" w:rsidRDefault="00952308" w:rsidP="00952308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 </w:t>
      </w:r>
    </w:p>
    <w:p w14:paraId="70D85EF0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Histórica y de Actividad</w:t>
      </w:r>
    </w:p>
    <w:p w14:paraId="37BF014B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</w:p>
    <w:p w14:paraId="35A16780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 </w:t>
      </w: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Instituto Tecnológico de Canarias, S.A.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 es una empresa pública con más de 30 años de experiencia que apuesta por la ciencia y la tecnología como piezas 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lastRenderedPageBreak/>
        <w:t>esenciales en el proceso de transformación socioeconómica y de desarrollo sostenible de las Islas Canarias. El ITC contribuye a la competitividad del tejido empresarial abriendo camino hacia nuevos ámbitos del sector tecnológico e industrial. </w:t>
      </w:r>
    </w:p>
    <w:p w14:paraId="0C0C5765" w14:textId="77777777" w:rsidR="00952308" w:rsidRPr="00952308" w:rsidRDefault="00952308" w:rsidP="00952308">
      <w:pPr>
        <w:numPr>
          <w:ilvl w:val="0"/>
          <w:numId w:val="14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Actividad Tecnológica del Instituto Tecnológico de Canarias, S.A. (</w:t>
      </w:r>
      <w:hyperlink r:id="rId16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pdf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 (</w:t>
      </w:r>
      <w:hyperlink r:id="rId17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.docx</w:t>
        </w:r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18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odt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</w:t>
      </w:r>
    </w:p>
    <w:p w14:paraId="50817284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Respecto a los servicios que presta, o puede prestar el ITC, a </w:t>
      </w:r>
      <w:proofErr w:type="gramStart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continuación</w:t>
      </w:r>
      <w:proofErr w:type="gram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 se recoge un desglose y breve descripción de </w:t>
      </w:r>
      <w:proofErr w:type="gramStart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los mismos</w:t>
      </w:r>
      <w:proofErr w:type="gramEnd"/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, clasificados por áreas. </w:t>
      </w:r>
    </w:p>
    <w:p w14:paraId="11130DF8" w14:textId="77777777" w:rsidR="00952308" w:rsidRPr="00952308" w:rsidRDefault="00952308" w:rsidP="00952308">
      <w:pPr>
        <w:numPr>
          <w:ilvl w:val="0"/>
          <w:numId w:val="15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Catálogo de Servicios del Instituto Tecnológico de Canarias, S.A. (</w:t>
      </w:r>
      <w:hyperlink r:id="rId19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pdf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20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.docx</w:t>
        </w:r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21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odt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</w:t>
      </w:r>
    </w:p>
    <w:p w14:paraId="230B98AB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Como ente instrumental del Gobierno de Canarias, la actividad del ITC se enmarca en la implementación de las políticas regionales de promoción de la investigación y la innovación aplicables al sector productivo, así como en la ejecución de proyectos colaborativos y de cooperación a nivel internacional.</w:t>
      </w:r>
    </w:p>
    <w:p w14:paraId="0EECAD18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Asimismo, la actividad de I+D+i está alineada con las áreas de especialización identificadas en la Estrategia del Gobierno de Especialización Inteligente (RIS3) de Canarias para el periodo 2021-2027, hoja de ruta de la transformación socioeconómica del Archipiélago y que define las prioridades de inversión pública regional en investigación, desarrollo e innovación. Desde esta senda de crecimiento económico, inteligente y sostenible, y para poner en valor el litoral y la ubicación geoestratégica en el Atlántico, el ITC trabaja para posicionar a Canarias como laboratorio natural de referencia internacional en el desarrollo de tecnologías para la sostenibilidad medioambiental y la eficiencia energética, así como para inspirar el avance tecnológico del tejido productivo regional. </w:t>
      </w:r>
    </w:p>
    <w:p w14:paraId="28B92472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El ITC contribuye a crear una economía basada en el conocimiento, centrada en la sostenibilidad y enfocada a la valorización de los recursos de Canarias. Así, nuestras líneas de trabajo están englobadas en los grandes ámbitos de la economía verde, la economía azul y la economía circular, contribuyendo con nuestra actividad a la consecución de los Objetivos de Desarrollo Sostenible y al cumplimiento de la Agenda 2030, como parte acción prioritaria establecida estratégicamente por el Gobierno de Canarias</w:t>
      </w:r>
    </w:p>
    <w:p w14:paraId="61B80221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 xml:space="preserve">Como medio propio del Gobierno de Canarias, nuestra actividad se enmarca en la implementación de las políticas regionales de promoción de la investigación y la innovación aplicables al sector productivo, dando soporte y apoyo funcional a la administración pública canaria en el desarrollo de planes estratégicos e 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lastRenderedPageBreak/>
        <w:t>implementación de soluciones tecnológicas que den respuesta a múltiples retos, así como participando en la ejecución de proyectos colaborativos y de cooperación a nivel internacional. En materia de Innovación Empresarial y Emprendimiento colaboramos en su promoción mediante acciones de apoyo y capacitación, en el marco de redes colaborativas de ámbito regional, nacional y europeo. Prestamos soporte y asesoramiento técnico a empresas e industrias canarias para el desarrollo y ensayo de tecnologías innovadoras y soluciones adaptadas. Y transferimos conocimiento e innovaciones tecnológicas al tejido empresarial para su aprovechamiento productivo, mediante licencias y derechos de explotación, así como a través de creación de iniciativas empresariales o spin-off.</w:t>
      </w:r>
    </w:p>
    <w:p w14:paraId="6B368839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</w:t>
      </w:r>
    </w:p>
    <w:p w14:paraId="2614E38D" w14:textId="77777777" w:rsidR="00952308" w:rsidRPr="00952308" w:rsidRDefault="00952308" w:rsidP="00952308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Actividad y Trayectoria del ITC</w:t>
      </w:r>
    </w:p>
    <w:p w14:paraId="0A6A60FB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Se adjuntan a continuación diferentes documentos y enlaces a secciones de la web del ITC en las que se puede ampliar la información sobre la actividad y trayectoria de la entidad</w:t>
      </w:r>
    </w:p>
    <w:p w14:paraId="2E173EF9" w14:textId="77777777" w:rsidR="00952308" w:rsidRPr="00952308" w:rsidRDefault="00952308" w:rsidP="00952308">
      <w:pPr>
        <w:numPr>
          <w:ilvl w:val="0"/>
          <w:numId w:val="16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Dossier corporativo (</w:t>
      </w:r>
      <w:hyperlink r:id="rId22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pdf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 (</w:t>
      </w:r>
      <w:hyperlink r:id="rId23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.docx</w:t>
        </w:r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24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odt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</w:t>
      </w:r>
    </w:p>
    <w:p w14:paraId="4CD79C5D" w14:textId="77777777" w:rsidR="00952308" w:rsidRPr="00952308" w:rsidRDefault="00952308" w:rsidP="00952308">
      <w:pPr>
        <w:numPr>
          <w:ilvl w:val="0"/>
          <w:numId w:val="16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Hitos históricos (</w:t>
      </w:r>
      <w:hyperlink r:id="rId25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pdf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 (</w:t>
      </w:r>
      <w:hyperlink r:id="rId26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.docx</w:t>
        </w:r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 (</w:t>
      </w:r>
      <w:hyperlink r:id="rId27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odt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</w:t>
      </w:r>
    </w:p>
    <w:p w14:paraId="069687B0" w14:textId="77777777" w:rsidR="00952308" w:rsidRPr="00952308" w:rsidRDefault="00952308" w:rsidP="00952308">
      <w:pPr>
        <w:numPr>
          <w:ilvl w:val="0"/>
          <w:numId w:val="16"/>
        </w:num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Sección Conócenos (</w:t>
      </w:r>
      <w:hyperlink r:id="rId28" w:tgtFrame="_blank" w:history="1"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.</w:t>
        </w:r>
        <w:proofErr w:type="spellStart"/>
        <w:r w:rsidRPr="00952308">
          <w:rPr>
            <w:rStyle w:val="Hipervnculo"/>
            <w:rFonts w:ascii="Open Sans" w:eastAsia="Times New Roman" w:hAnsi="Open Sans" w:cs="Open Sans"/>
            <w:sz w:val="23"/>
            <w:szCs w:val="23"/>
            <w:lang w:eastAsia="es-ES"/>
          </w:rPr>
          <w:t>html</w:t>
        </w:r>
        <w:proofErr w:type="spellEnd"/>
      </w:hyperlink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)</w:t>
      </w:r>
    </w:p>
    <w:p w14:paraId="57E00DA1" w14:textId="77777777" w:rsidR="00952308" w:rsidRPr="00952308" w:rsidRDefault="00952308" w:rsidP="00952308">
      <w:pP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  </w:t>
      </w:r>
    </w:p>
    <w:p w14:paraId="4977B726" w14:textId="77777777" w:rsidR="00952308" w:rsidRPr="00952308" w:rsidRDefault="00952308" w:rsidP="00952308">
      <w:pPr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</w:pP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Fecha de Actualización: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13 de marzo de 2025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Periodicidad: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Anual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br/>
      </w:r>
      <w:r w:rsidRPr="00952308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es-ES"/>
        </w:rPr>
        <w:t>Tipo de información:</w:t>
      </w:r>
      <w:r w:rsidRPr="00952308">
        <w:rPr>
          <w:rFonts w:ascii="Open Sans" w:eastAsia="Times New Roman" w:hAnsi="Open Sans" w:cs="Open Sans"/>
          <w:color w:val="333333"/>
          <w:sz w:val="23"/>
          <w:szCs w:val="23"/>
          <w:lang w:eastAsia="es-ES"/>
        </w:rPr>
        <w:t> Institucional  </w:t>
      </w:r>
    </w:p>
    <w:p w14:paraId="7277A629" w14:textId="6186EAF2" w:rsidR="00C8667E" w:rsidRPr="00B732BF" w:rsidRDefault="00C8667E" w:rsidP="00B732BF"/>
    <w:sectPr w:rsidR="00C8667E" w:rsidRPr="00B732BF" w:rsidSect="0080777A">
      <w:headerReference w:type="default" r:id="rId29"/>
      <w:footerReference w:type="default" r:id="rId30"/>
      <w:pgSz w:w="11906" w:h="16838"/>
      <w:pgMar w:top="2268" w:right="170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26EF5" w14:textId="77777777" w:rsidR="002E20EE" w:rsidRDefault="002E20EE" w:rsidP="003453D9">
      <w:pPr>
        <w:spacing w:after="0" w:line="240" w:lineRule="auto"/>
      </w:pPr>
      <w:r>
        <w:separator/>
      </w:r>
    </w:p>
  </w:endnote>
  <w:endnote w:type="continuationSeparator" w:id="0">
    <w:p w14:paraId="2A3F98A7" w14:textId="77777777" w:rsidR="002E20EE" w:rsidRDefault="002E20EE" w:rsidP="003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A49E" w14:textId="77777777" w:rsidR="00966FAD" w:rsidRDefault="00966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ABB0" w14:textId="77777777" w:rsidR="002E20EE" w:rsidRDefault="002E20EE" w:rsidP="003453D9">
      <w:pPr>
        <w:spacing w:after="0" w:line="240" w:lineRule="auto"/>
      </w:pPr>
      <w:r>
        <w:separator/>
      </w:r>
    </w:p>
  </w:footnote>
  <w:footnote w:type="continuationSeparator" w:id="0">
    <w:p w14:paraId="6B57B4F6" w14:textId="77777777" w:rsidR="002E20EE" w:rsidRDefault="002E20EE" w:rsidP="0034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868FB" w14:textId="6221312B" w:rsidR="003453D9" w:rsidRDefault="003453D9">
    <w:pPr>
      <w:pStyle w:val="Encabezado"/>
    </w:pPr>
  </w:p>
  <w:tbl>
    <w:tblPr>
      <w:tblStyle w:val="Tablaconcuadrcula"/>
      <w:tblW w:w="10070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6095"/>
    </w:tblGrid>
    <w:tr w:rsidR="003453D9" w14:paraId="721DE9DF" w14:textId="77777777" w:rsidTr="0080777A">
      <w:trPr>
        <w:trHeight w:val="835"/>
      </w:trPr>
      <w:tc>
        <w:tcPr>
          <w:tcW w:w="3975" w:type="dxa"/>
          <w:vAlign w:val="center"/>
        </w:tcPr>
        <w:p w14:paraId="78CDA767" w14:textId="0D78716A" w:rsidR="003453D9" w:rsidRDefault="003453D9" w:rsidP="003453D9">
          <w:pPr>
            <w:pStyle w:val="Encabezado"/>
          </w:pPr>
          <w:r w:rsidRPr="003453D9">
            <w:rPr>
              <w:rFonts w:ascii="Montserrat" w:eastAsia="Times New Roman" w:hAnsi="Montserrat" w:cs="Open Sans"/>
              <w:noProof/>
              <w:color w:val="009FE3"/>
              <w:kern w:val="36"/>
              <w:sz w:val="36"/>
              <w:szCs w:val="36"/>
              <w:lang w:eastAsia="es-ES"/>
            </w:rPr>
            <w:drawing>
              <wp:inline distT="0" distB="0" distL="0" distR="0" wp14:anchorId="60A3963E" wp14:editId="572DA44C">
                <wp:extent cx="2264636" cy="356098"/>
                <wp:effectExtent l="0" t="0" r="2540" b="6350"/>
                <wp:docPr id="37" name="Imagen 37" descr="Instituto Tecnológico de Canaria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stituto Tecnológico de Canaria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639" cy="359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54D256D8" w14:textId="77777777" w:rsidR="003453D9" w:rsidRPr="00F45F47" w:rsidRDefault="003453D9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</w:pPr>
          <w:r w:rsidRPr="00F45F47">
            <w:rPr>
              <w:rFonts w:ascii="Montserrat" w:eastAsia="Times New Roman" w:hAnsi="Montserrat" w:cs="Open Sans"/>
              <w:b/>
              <w:bCs/>
              <w:caps/>
              <w:color w:val="A6A6A6" w:themeColor="background1" w:themeShade="A6"/>
              <w:spacing w:val="-4"/>
              <w:sz w:val="27"/>
              <w:szCs w:val="27"/>
              <w:lang w:eastAsia="es-ES"/>
            </w:rPr>
            <w:t>PORTAL DE TRANSPARENCIA</w:t>
          </w:r>
        </w:p>
        <w:p w14:paraId="049C0FFC" w14:textId="66888FBD" w:rsidR="00F45F47" w:rsidRPr="003453D9" w:rsidRDefault="00873F2C" w:rsidP="003453D9">
          <w:pPr>
            <w:spacing w:line="276" w:lineRule="auto"/>
            <w:ind w:left="357"/>
            <w:jc w:val="right"/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</w:pPr>
          <w:r>
            <w:rPr>
              <w:rFonts w:ascii="Montserrat" w:eastAsia="Times New Roman" w:hAnsi="Montserrat" w:cs="Open Sans"/>
              <w:b/>
              <w:bCs/>
              <w:caps/>
              <w:color w:val="0095F8"/>
              <w:spacing w:val="-4"/>
              <w:sz w:val="27"/>
              <w:szCs w:val="27"/>
              <w:lang w:eastAsia="es-ES"/>
            </w:rPr>
            <w:t>INSTITUCIONAL</w:t>
          </w:r>
        </w:p>
      </w:tc>
    </w:tr>
  </w:tbl>
  <w:p w14:paraId="79FF7433" w14:textId="09AE5FA8" w:rsidR="003453D9" w:rsidRDefault="00345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5232F"/>
    <w:multiLevelType w:val="multilevel"/>
    <w:tmpl w:val="E49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658A"/>
    <w:multiLevelType w:val="multilevel"/>
    <w:tmpl w:val="37B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E3F2C"/>
    <w:multiLevelType w:val="multilevel"/>
    <w:tmpl w:val="87D8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E4A8C"/>
    <w:multiLevelType w:val="multilevel"/>
    <w:tmpl w:val="505A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D5E9D"/>
    <w:multiLevelType w:val="multilevel"/>
    <w:tmpl w:val="F19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605E6"/>
    <w:multiLevelType w:val="multilevel"/>
    <w:tmpl w:val="D2C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B52F8"/>
    <w:multiLevelType w:val="multilevel"/>
    <w:tmpl w:val="96E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92F0D"/>
    <w:multiLevelType w:val="multilevel"/>
    <w:tmpl w:val="628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8609B"/>
    <w:multiLevelType w:val="multilevel"/>
    <w:tmpl w:val="BEE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A6965"/>
    <w:multiLevelType w:val="multilevel"/>
    <w:tmpl w:val="05CA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A05CCC"/>
    <w:multiLevelType w:val="multilevel"/>
    <w:tmpl w:val="85E2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964BA"/>
    <w:multiLevelType w:val="multilevel"/>
    <w:tmpl w:val="EE4E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3D77B4"/>
    <w:multiLevelType w:val="multilevel"/>
    <w:tmpl w:val="FD7A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80F9D"/>
    <w:multiLevelType w:val="multilevel"/>
    <w:tmpl w:val="497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83FE3"/>
    <w:multiLevelType w:val="multilevel"/>
    <w:tmpl w:val="70446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62D46"/>
    <w:multiLevelType w:val="multilevel"/>
    <w:tmpl w:val="166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649183">
    <w:abstractNumId w:val="8"/>
  </w:num>
  <w:num w:numId="2" w16cid:durableId="1524199731">
    <w:abstractNumId w:val="1"/>
  </w:num>
  <w:num w:numId="3" w16cid:durableId="876895253">
    <w:abstractNumId w:val="6"/>
  </w:num>
  <w:num w:numId="4" w16cid:durableId="1192574325">
    <w:abstractNumId w:val="4"/>
  </w:num>
  <w:num w:numId="5" w16cid:durableId="1502502380">
    <w:abstractNumId w:val="14"/>
  </w:num>
  <w:num w:numId="6" w16cid:durableId="1674331289">
    <w:abstractNumId w:val="7"/>
  </w:num>
  <w:num w:numId="7" w16cid:durableId="2010476815">
    <w:abstractNumId w:val="12"/>
  </w:num>
  <w:num w:numId="8" w16cid:durableId="1796170468">
    <w:abstractNumId w:val="3"/>
  </w:num>
  <w:num w:numId="9" w16cid:durableId="1134257744">
    <w:abstractNumId w:val="5"/>
  </w:num>
  <w:num w:numId="10" w16cid:durableId="884097313">
    <w:abstractNumId w:val="15"/>
  </w:num>
  <w:num w:numId="11" w16cid:durableId="414978408">
    <w:abstractNumId w:val="10"/>
  </w:num>
  <w:num w:numId="12" w16cid:durableId="1390612467">
    <w:abstractNumId w:val="11"/>
  </w:num>
  <w:num w:numId="13" w16cid:durableId="1653295607">
    <w:abstractNumId w:val="0"/>
  </w:num>
  <w:num w:numId="14" w16cid:durableId="8215116">
    <w:abstractNumId w:val="9"/>
  </w:num>
  <w:num w:numId="15" w16cid:durableId="1417169211">
    <w:abstractNumId w:val="13"/>
  </w:num>
  <w:num w:numId="16" w16cid:durableId="13970489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D9"/>
    <w:rsid w:val="00111D7A"/>
    <w:rsid w:val="001B4872"/>
    <w:rsid w:val="001C6FC4"/>
    <w:rsid w:val="002D59B0"/>
    <w:rsid w:val="002E20EE"/>
    <w:rsid w:val="003453D9"/>
    <w:rsid w:val="003676FE"/>
    <w:rsid w:val="003E2CE3"/>
    <w:rsid w:val="005074CC"/>
    <w:rsid w:val="00537F1E"/>
    <w:rsid w:val="00540D04"/>
    <w:rsid w:val="005921ED"/>
    <w:rsid w:val="00602742"/>
    <w:rsid w:val="006242CE"/>
    <w:rsid w:val="00642FBF"/>
    <w:rsid w:val="0068227D"/>
    <w:rsid w:val="00746DEA"/>
    <w:rsid w:val="007F44D5"/>
    <w:rsid w:val="0080777A"/>
    <w:rsid w:val="00873F2C"/>
    <w:rsid w:val="00952308"/>
    <w:rsid w:val="00964374"/>
    <w:rsid w:val="00966FAD"/>
    <w:rsid w:val="00977C40"/>
    <w:rsid w:val="009D48C6"/>
    <w:rsid w:val="00A1265C"/>
    <w:rsid w:val="00AC0EC7"/>
    <w:rsid w:val="00B732BF"/>
    <w:rsid w:val="00C8667E"/>
    <w:rsid w:val="00D8268B"/>
    <w:rsid w:val="00D82CD5"/>
    <w:rsid w:val="00DF5824"/>
    <w:rsid w:val="00E00B04"/>
    <w:rsid w:val="00EE735B"/>
    <w:rsid w:val="00F175CB"/>
    <w:rsid w:val="00F23945"/>
    <w:rsid w:val="00F33F68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580E7"/>
  <w15:chartTrackingRefBased/>
  <w15:docId w15:val="{2C9718A5-4CD5-496C-89C6-23F48BE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45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45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3453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53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453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453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item-106">
    <w:name w:val="item-10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453D9"/>
    <w:rPr>
      <w:color w:val="0000FF"/>
      <w:u w:val="single"/>
    </w:rPr>
  </w:style>
  <w:style w:type="paragraph" w:customStyle="1" w:styleId="item-103">
    <w:name w:val="item-10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7">
    <w:name w:val="item-10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3453D9"/>
  </w:style>
  <w:style w:type="paragraph" w:customStyle="1" w:styleId="item-323">
    <w:name w:val="item-3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453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453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453D9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sp-menu-item">
    <w:name w:val="sp-menu-item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e">
    <w:name w:val="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1">
    <w:name w:val="p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3453D9"/>
  </w:style>
  <w:style w:type="character" w:styleId="Textoennegrita">
    <w:name w:val="Strong"/>
    <w:basedOn w:val="Fuentedeprrafopredeter"/>
    <w:uiPriority w:val="22"/>
    <w:qFormat/>
    <w:rsid w:val="003453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3453D9"/>
  </w:style>
  <w:style w:type="paragraph" w:customStyle="1" w:styleId="p4">
    <w:name w:val="p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4">
    <w:name w:val="item-10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05">
    <w:name w:val="item-10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209">
    <w:name w:val="item-209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45">
    <w:name w:val="item-145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6">
    <w:name w:val="item-356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4">
    <w:name w:val="item-35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358">
    <w:name w:val="item-358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-copyright">
    <w:name w:val="sp-copyright"/>
    <w:basedOn w:val="Fuentedeprrafopredeter"/>
    <w:rsid w:val="003453D9"/>
  </w:style>
  <w:style w:type="paragraph" w:customStyle="1" w:styleId="item-101">
    <w:name w:val="item-101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12">
    <w:name w:val="item-112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23">
    <w:name w:val="item-123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74">
    <w:name w:val="item-174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-167">
    <w:name w:val="item-167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ng-active">
    <w:name w:val="lang-active"/>
    <w:basedOn w:val="Normal"/>
    <w:rsid w:val="0034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45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3D9"/>
  </w:style>
  <w:style w:type="paragraph" w:styleId="Piedepgina">
    <w:name w:val="footer"/>
    <w:basedOn w:val="Normal"/>
    <w:link w:val="PiedepginaCar"/>
    <w:uiPriority w:val="99"/>
    <w:unhideWhenUsed/>
    <w:rsid w:val="00345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3D9"/>
  </w:style>
  <w:style w:type="table" w:styleId="Tablaconcuadrcula">
    <w:name w:val="Table Grid"/>
    <w:basedOn w:val="Tablanormal"/>
    <w:uiPriority w:val="39"/>
    <w:rsid w:val="0034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866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C8667E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95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3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82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563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461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0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7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23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1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4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2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9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7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0147">
                                  <w:marLeft w:val="0"/>
                                  <w:marRight w:val="0"/>
                                  <w:marTop w:val="45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4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5034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2697">
          <w:marLeft w:val="0"/>
          <w:marRight w:val="0"/>
          <w:marTop w:val="0"/>
          <w:marBottom w:val="0"/>
          <w:divBdr>
            <w:top w:val="single" w:sz="6" w:space="0" w:color="BFBFBF"/>
            <w:left w:val="single" w:sz="6" w:space="0" w:color="BFBFBF"/>
            <w:bottom w:val="none" w:sz="0" w:space="0" w:color="auto"/>
            <w:right w:val="none" w:sz="0" w:space="0" w:color="auto"/>
          </w:divBdr>
          <w:divsChild>
            <w:div w:id="59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ccanarias.org/web/images/itc/TR-INS-Escritura_Constitucin_ITC_1998-08-28_Protocolo_2782.pdf" TargetMode="External"/><Relationship Id="rId18" Type="http://schemas.openxmlformats.org/officeDocument/2006/relationships/hyperlink" Target="https://www.itccanarias.org/web/images/itc/TR-INS-ITC_Resumen_Actividad_Tecnolgica.odt" TargetMode="External"/><Relationship Id="rId26" Type="http://schemas.openxmlformats.org/officeDocument/2006/relationships/hyperlink" Target="https://www.itccanarias.org/web/images/itc/TR-INS-HITO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ccanarias.org/web/images/itc/TR-INS-Servicios_ITC_2022.od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ccanarias.org/web/images/itc/TR-INS-Decreto_de_creacin_ITC.odt" TargetMode="External"/><Relationship Id="rId17" Type="http://schemas.openxmlformats.org/officeDocument/2006/relationships/hyperlink" Target="https://www.itccanarias.org/web/images/itc/TR-INS-ITC_Resumen_Actividad_Tecnolgica.docx" TargetMode="External"/><Relationship Id="rId25" Type="http://schemas.openxmlformats.org/officeDocument/2006/relationships/hyperlink" Target="https://www.itccanarias.org/web/images/itc/TR-INS-HITO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ccanarias.org/web/images/itc/TR-INS-ITC_Resumen_Actividad_Tecnolgica.pdf" TargetMode="External"/><Relationship Id="rId20" Type="http://schemas.openxmlformats.org/officeDocument/2006/relationships/hyperlink" Target="https://www.itccanarias.org/web/images/itc/TR-INS-Servicios_ITC_2022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ccanarias.org/web/images/itc/TR-INS-Decreto_de_creacin_ITC.docx" TargetMode="External"/><Relationship Id="rId24" Type="http://schemas.openxmlformats.org/officeDocument/2006/relationships/hyperlink" Target="https://www.itccanarias.org/web/images/itc/TR-INS-Instituto_Tecnolgico_de_Canarias_ITC_-_Dossier_Corporativo_2020.odt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ccanarias.org/web/images/itc/TR-INS-Escritura_Constitucin_ITC_1998-08-28_Protocolo_2782.odt" TargetMode="External"/><Relationship Id="rId23" Type="http://schemas.openxmlformats.org/officeDocument/2006/relationships/hyperlink" Target="https://www.itccanarias.org/web/images/itc/TR-INS-Instituto_Tecnolgico_de_Canarias_ITC_-_Dossier_Corporativo_2020.docx" TargetMode="External"/><Relationship Id="rId28" Type="http://schemas.openxmlformats.org/officeDocument/2006/relationships/hyperlink" Target="https://www.itccanarias.org/web/es/home/conocenos" TargetMode="External"/><Relationship Id="rId10" Type="http://schemas.openxmlformats.org/officeDocument/2006/relationships/hyperlink" Target="https://www.itccanarias.org/web/images/itc/TR-INS-Decreto_de_creacin_ITC.pdf" TargetMode="External"/><Relationship Id="rId19" Type="http://schemas.openxmlformats.org/officeDocument/2006/relationships/hyperlink" Target="https://www.itccanarias.org/web/images/itc/TR-INS-Servicios_ITC_2022.pdf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ccanarias.org/web/images/itc/TR-INS-Escritura_Constitucin_ITC_1998-08-28_Protocolo_2782.docx" TargetMode="External"/><Relationship Id="rId22" Type="http://schemas.openxmlformats.org/officeDocument/2006/relationships/hyperlink" Target="https://www.itccanarias.org/web/images/itc/TR-INS-Instituto_Tecnolgico_de_Canarias_ITC_-_Dossier_Corporativo_2020.pdf" TargetMode="External"/><Relationship Id="rId27" Type="http://schemas.openxmlformats.org/officeDocument/2006/relationships/hyperlink" Target="https://www.itccanarias.org/web/images/itc/TR-INS-HITOS.odt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ccanarias.org/web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2024</Ejercicio>
    <Secci_x00f3_n xmlns="048b7169-8466-4a4e-b90e-b1878ed5b7d9">01. Institucional</Secci_x00f3_n>
    <Contenido_x0020_Activo xmlns="048b7169-8466-4a4e-b90e-b1878ed5b7d9">
      <Value>Sí</Value>
    </Contenido_x0020_Activo>
    <Categor_x00ed_a xmlns="048b7169-8466-4a4e-b90e-b1878ed5b7d9">Transparencia</Categor_x00ed_a>
    <Revisi_x00f3_n xmlns="048b7169-8466-4a4e-b90e-b1878ed5b7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94C65-F728-4007-8F84-B5D8C471A5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6cd6409b-00de-4330-8a8c-4a7321b1351d"/>
    <ds:schemaRef ds:uri="http://purl.org/dc/dcmitype/"/>
    <ds:schemaRef ds:uri="http://schemas.microsoft.com/office/infopath/2007/PartnerControls"/>
    <ds:schemaRef ds:uri="048b7169-8466-4a4e-b90e-b1878ed5b7d9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DE6D16-980C-4616-92B2-7E4078764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b7169-8466-4a4e-b90e-b1878ed5b7d9"/>
    <ds:schemaRef ds:uri="6cd6409b-00de-4330-8a8c-4a7321b13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CF55B-C313-4587-9541-7B5F31621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 García</dc:creator>
  <cp:keywords/>
  <dc:description/>
  <cp:lastModifiedBy>Ramón García Déniz</cp:lastModifiedBy>
  <cp:revision>3</cp:revision>
  <dcterms:created xsi:type="dcterms:W3CDTF">2024-02-29T10:30:00Z</dcterms:created>
  <dcterms:modified xsi:type="dcterms:W3CDTF">2025-04-09T13:15:00Z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0x01010037E8BAB1CC329B47847BB7DB76CAB62C</vt:lpwstr>
  </property>
</Properties>
</file>