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44"/>
        <w:ind w:left="154" w:right="148" w:hanging="2"/>
        <w:jc w:val="center"/>
        <w:rPr>
          <w:b/>
          <w:sz w:val="52"/>
        </w:rPr>
      </w:pPr>
      <w:r>
        <w:rPr>
          <w:b/>
          <w:color w:val="FFFFFF"/>
          <w:sz w:val="52"/>
        </w:rPr>
        <w:t>POLÍTICA DEL PROGRAMA PARA LA PREVENCIÓN DE LA COMISIÓN DE DELITOS DEL INSTITUTO TECNOLÓGICO DE CANARIAS</w:t>
      </w:r>
    </w:p>
    <w:p>
      <w:pPr>
        <w:spacing w:after="0"/>
        <w:jc w:val="center"/>
        <w:rPr>
          <w:sz w:val="52"/>
        </w:rPr>
        <w:sectPr>
          <w:headerReference w:type="default" r:id="rId5"/>
          <w:type w:val="continuous"/>
          <w:pgSz w:w="11910" w:h="16840"/>
          <w:pgMar w:header="709" w:top="1900" w:bottom="280" w:left="1560" w:right="1560"/>
        </w:sectPr>
      </w:pPr>
    </w:p>
    <w:p>
      <w:pPr>
        <w:pStyle w:val="BodyText"/>
        <w:rPr>
          <w:b/>
          <w:sz w:val="20"/>
        </w:rPr>
      </w:pPr>
    </w:p>
    <w:p>
      <w:pPr>
        <w:pStyle w:val="BodyText"/>
        <w:spacing w:before="9"/>
        <w:rPr>
          <w:b/>
          <w:sz w:val="20"/>
        </w:rPr>
      </w:pPr>
    </w:p>
    <w:p>
      <w:pPr>
        <w:spacing w:before="99"/>
        <w:ind w:left="141" w:right="0" w:firstLine="0"/>
        <w:jc w:val="left"/>
        <w:rPr>
          <w:b/>
          <w:sz w:val="24"/>
        </w:rPr>
      </w:pPr>
      <w:r>
        <w:rPr>
          <w:b/>
          <w:color w:val="00B0F0"/>
          <w:sz w:val="24"/>
        </w:rPr>
        <w:t>ÍNDICE</w:t>
      </w:r>
    </w:p>
    <w:sdt>
      <w:sdtPr>
        <w:docPartObj>
          <w:docPartGallery w:val="Table of Contents"/>
          <w:docPartUnique/>
        </w:docPartObj>
      </w:sdtPr>
      <w:sdtEndPr/>
      <w:sdtContent>
        <w:p>
          <w:pPr>
            <w:pStyle w:val="TOC1"/>
            <w:numPr>
              <w:ilvl w:val="0"/>
              <w:numId w:val="1"/>
            </w:numPr>
            <w:tabs>
              <w:tab w:pos="581" w:val="left" w:leader="none"/>
              <w:tab w:pos="582" w:val="left" w:leader="none"/>
              <w:tab w:pos="8637" w:val="right" w:leader="dot"/>
            </w:tabs>
            <w:spacing w:line="240" w:lineRule="auto" w:before="516" w:after="0"/>
            <w:ind w:left="582" w:right="0" w:hanging="441"/>
            <w:jc w:val="left"/>
            <w:rPr>
              <w:rFonts w:ascii="Segoe UI Historic" w:hAnsi="Segoe UI Historic"/>
            </w:rPr>
          </w:pPr>
          <w:r>
            <w:fldChar w:fldCharType="begin"/>
          </w:r>
          <w:r>
            <w:instrText>TOC \o "1-1" \h \z \u </w:instrText>
          </w:r>
          <w:r>
            <w:fldChar w:fldCharType="separate"/>
          </w:r>
          <w:hyperlink w:history="true" w:anchor="_TOC_250006">
            <w:r>
              <w:rPr>
                <w:color w:val="00B0F0"/>
              </w:rPr>
              <w:t>Objeto de</w:t>
            </w:r>
            <w:r>
              <w:rPr>
                <w:color w:val="00B0F0"/>
                <w:spacing w:val="-1"/>
              </w:rPr>
              <w:t> </w:t>
            </w:r>
            <w:r>
              <w:rPr>
                <w:color w:val="00B0F0"/>
              </w:rPr>
              <w:t>la Política</w:t>
              <w:tab/>
            </w:r>
            <w:r>
              <w:rPr>
                <w:rFonts w:ascii="Segoe UI Historic" w:hAnsi="Segoe UI Historic"/>
                <w:color w:val="00B0F0"/>
              </w:rPr>
              <w:t>3</w:t>
            </w:r>
          </w:hyperlink>
        </w:p>
        <w:p>
          <w:pPr>
            <w:pStyle w:val="TOC1"/>
            <w:numPr>
              <w:ilvl w:val="0"/>
              <w:numId w:val="1"/>
            </w:numPr>
            <w:tabs>
              <w:tab w:pos="581" w:val="left" w:leader="none"/>
              <w:tab w:pos="583" w:val="left" w:leader="none"/>
              <w:tab w:pos="8639" w:val="right" w:leader="dot"/>
            </w:tabs>
            <w:spacing w:line="240" w:lineRule="auto" w:before="240" w:after="0"/>
            <w:ind w:left="582" w:right="0" w:hanging="442"/>
            <w:jc w:val="left"/>
            <w:rPr>
              <w:rFonts w:ascii="Segoe UI Historic" w:hAnsi="Segoe UI Historic"/>
            </w:rPr>
          </w:pPr>
          <w:hyperlink w:history="true" w:anchor="_TOC_250005">
            <w:r>
              <w:rPr>
                <w:color w:val="00B0F0"/>
              </w:rPr>
              <w:t>Ámbito subjetivo de aplicación de</w:t>
            </w:r>
            <w:r>
              <w:rPr>
                <w:color w:val="00B0F0"/>
                <w:spacing w:val="-1"/>
              </w:rPr>
              <w:t> </w:t>
            </w:r>
            <w:r>
              <w:rPr>
                <w:color w:val="00B0F0"/>
              </w:rPr>
              <w:t>la Política</w:t>
              <w:tab/>
            </w:r>
            <w:r>
              <w:rPr>
                <w:rFonts w:ascii="Segoe UI Historic" w:hAnsi="Segoe UI Historic"/>
                <w:color w:val="00B0F0"/>
              </w:rPr>
              <w:t>3</w:t>
            </w:r>
          </w:hyperlink>
        </w:p>
        <w:p>
          <w:pPr>
            <w:pStyle w:val="TOC1"/>
            <w:numPr>
              <w:ilvl w:val="0"/>
              <w:numId w:val="1"/>
            </w:numPr>
            <w:tabs>
              <w:tab w:pos="581" w:val="left" w:leader="none"/>
              <w:tab w:pos="583" w:val="left" w:leader="none"/>
              <w:tab w:pos="8639" w:val="right" w:leader="dot"/>
            </w:tabs>
            <w:spacing w:line="240" w:lineRule="auto" w:before="239" w:after="0"/>
            <w:ind w:left="582" w:right="0" w:hanging="442"/>
            <w:jc w:val="left"/>
            <w:rPr>
              <w:rFonts w:ascii="Segoe UI Historic" w:hAnsi="Segoe UI Historic"/>
            </w:rPr>
          </w:pPr>
          <w:hyperlink w:history="true" w:anchor="_TOC_250004">
            <w:r>
              <w:rPr>
                <w:color w:val="00B0F0"/>
              </w:rPr>
              <w:t>Ámbito objetivo de aplicación de</w:t>
            </w:r>
            <w:r>
              <w:rPr>
                <w:color w:val="00B0F0"/>
                <w:spacing w:val="-1"/>
              </w:rPr>
              <w:t> </w:t>
            </w:r>
            <w:r>
              <w:rPr>
                <w:color w:val="00B0F0"/>
              </w:rPr>
              <w:t>la Política</w:t>
              <w:tab/>
            </w:r>
            <w:r>
              <w:rPr>
                <w:rFonts w:ascii="Segoe UI Historic" w:hAnsi="Segoe UI Historic"/>
                <w:color w:val="00B0F0"/>
              </w:rPr>
              <w:t>3</w:t>
            </w:r>
          </w:hyperlink>
        </w:p>
        <w:p>
          <w:pPr>
            <w:pStyle w:val="TOC1"/>
            <w:numPr>
              <w:ilvl w:val="0"/>
              <w:numId w:val="1"/>
            </w:numPr>
            <w:tabs>
              <w:tab w:pos="582" w:val="left" w:leader="none"/>
              <w:tab w:pos="583" w:val="left" w:leader="none"/>
              <w:tab w:pos="8641" w:val="right" w:leader="dot"/>
            </w:tabs>
            <w:spacing w:line="240" w:lineRule="auto" w:before="240" w:after="0"/>
            <w:ind w:left="582" w:right="0" w:hanging="442"/>
            <w:jc w:val="left"/>
            <w:rPr>
              <w:rFonts w:ascii="Segoe UI Historic" w:hAnsi="Segoe UI Historic"/>
            </w:rPr>
          </w:pPr>
          <w:hyperlink w:history="true" w:anchor="_TOC_250003">
            <w:r>
              <w:rPr>
                <w:color w:val="00B0F0"/>
              </w:rPr>
              <w:t>Objetivos del Programa para la Prevención de la Comisión</w:t>
            </w:r>
            <w:r>
              <w:rPr>
                <w:color w:val="00B0F0"/>
                <w:spacing w:val="-1"/>
              </w:rPr>
              <w:t> </w:t>
            </w:r>
            <w:r>
              <w:rPr>
                <w:color w:val="00B0F0"/>
              </w:rPr>
              <w:t>de Delitos</w:t>
              <w:tab/>
            </w:r>
            <w:r>
              <w:rPr>
                <w:rFonts w:ascii="Segoe UI Historic" w:hAnsi="Segoe UI Historic"/>
                <w:color w:val="00B0F0"/>
              </w:rPr>
              <w:t>4</w:t>
            </w:r>
          </w:hyperlink>
        </w:p>
        <w:p>
          <w:pPr>
            <w:pStyle w:val="TOC1"/>
            <w:numPr>
              <w:ilvl w:val="0"/>
              <w:numId w:val="1"/>
            </w:numPr>
            <w:tabs>
              <w:tab w:pos="582" w:val="left" w:leader="none"/>
              <w:tab w:pos="583" w:val="left" w:leader="none"/>
              <w:tab w:pos="8640" w:val="right" w:leader="dot"/>
            </w:tabs>
            <w:spacing w:line="240" w:lineRule="auto" w:before="240" w:after="0"/>
            <w:ind w:left="582" w:right="0" w:hanging="442"/>
            <w:jc w:val="left"/>
            <w:rPr>
              <w:rFonts w:ascii="Segoe UI Historic" w:hAnsi="Segoe UI Historic"/>
            </w:rPr>
          </w:pPr>
          <w:hyperlink w:history="true" w:anchor="_TOC_250002">
            <w:r>
              <w:rPr>
                <w:color w:val="00B0F0"/>
              </w:rPr>
              <w:t>Estructura del Programa para la Prevención de la Comisión</w:t>
            </w:r>
            <w:r>
              <w:rPr>
                <w:color w:val="00B0F0"/>
                <w:spacing w:val="-4"/>
              </w:rPr>
              <w:t> </w:t>
            </w:r>
            <w:r>
              <w:rPr>
                <w:color w:val="00B0F0"/>
              </w:rPr>
              <w:t>de Delitos</w:t>
              <w:tab/>
            </w:r>
            <w:r>
              <w:rPr>
                <w:rFonts w:ascii="Segoe UI Historic" w:hAnsi="Segoe UI Historic"/>
                <w:color w:val="00B0F0"/>
              </w:rPr>
              <w:t>4</w:t>
            </w:r>
          </w:hyperlink>
        </w:p>
        <w:p>
          <w:pPr>
            <w:pStyle w:val="TOC1"/>
            <w:numPr>
              <w:ilvl w:val="0"/>
              <w:numId w:val="1"/>
            </w:numPr>
            <w:tabs>
              <w:tab w:pos="582" w:val="left" w:leader="none"/>
              <w:tab w:pos="583" w:val="left" w:leader="none"/>
              <w:tab w:pos="8641" w:val="right" w:leader="dot"/>
            </w:tabs>
            <w:spacing w:line="240" w:lineRule="auto" w:before="241" w:after="0"/>
            <w:ind w:left="582" w:right="0" w:hanging="442"/>
            <w:jc w:val="left"/>
            <w:rPr>
              <w:rFonts w:ascii="Segoe UI Historic" w:hAnsi="Segoe UI Historic"/>
            </w:rPr>
          </w:pPr>
          <w:hyperlink w:history="true" w:anchor="_TOC_250001">
            <w:r>
              <w:rPr>
                <w:color w:val="00B0F0"/>
              </w:rPr>
              <w:t>Modificaciones</w:t>
            </w:r>
            <w:r>
              <w:rPr>
                <w:color w:val="00B0F0"/>
                <w:spacing w:val="-1"/>
              </w:rPr>
              <w:t> </w:t>
            </w:r>
            <w:r>
              <w:rPr>
                <w:color w:val="00B0F0"/>
              </w:rPr>
              <w:t>e interpretación</w:t>
              <w:tab/>
            </w:r>
            <w:r>
              <w:rPr>
                <w:rFonts w:ascii="Segoe UI Historic" w:hAnsi="Segoe UI Historic"/>
                <w:color w:val="00B0F0"/>
              </w:rPr>
              <w:t>6</w:t>
            </w:r>
          </w:hyperlink>
        </w:p>
        <w:p>
          <w:pPr>
            <w:pStyle w:val="TOC1"/>
            <w:numPr>
              <w:ilvl w:val="0"/>
              <w:numId w:val="1"/>
            </w:numPr>
            <w:tabs>
              <w:tab w:pos="582" w:val="left" w:leader="none"/>
              <w:tab w:pos="583" w:val="left" w:leader="none"/>
              <w:tab w:pos="8637" w:val="right" w:leader="dot"/>
            </w:tabs>
            <w:spacing w:line="240" w:lineRule="auto" w:before="240" w:after="0"/>
            <w:ind w:left="582" w:right="0" w:hanging="442"/>
            <w:jc w:val="left"/>
            <w:rPr>
              <w:rFonts w:ascii="Segoe UI Historic" w:hAnsi="Segoe UI Historic"/>
            </w:rPr>
          </w:pPr>
          <w:hyperlink w:history="true" w:anchor="_TOC_250000">
            <w:r>
              <w:rPr>
                <w:color w:val="00B0F0"/>
              </w:rPr>
              <w:t>Aprobación</w:t>
            </w:r>
            <w:r>
              <w:rPr>
                <w:color w:val="00B0F0"/>
                <w:spacing w:val="-1"/>
              </w:rPr>
              <w:t> </w:t>
            </w:r>
            <w:r>
              <w:rPr>
                <w:color w:val="00B0F0"/>
              </w:rPr>
              <w:t>y vigencia</w:t>
              <w:tab/>
            </w:r>
            <w:r>
              <w:rPr>
                <w:rFonts w:ascii="Segoe UI Historic" w:hAnsi="Segoe UI Historic"/>
                <w:color w:val="00B0F0"/>
              </w:rPr>
              <w:t>6</w:t>
            </w:r>
          </w:hyperlink>
        </w:p>
        <w:p>
          <w:pPr/>
          <w:r>
            <w:fldChar w:fldCharType="end"/>
          </w:r>
        </w:p>
      </w:sdtContent>
    </w:sdt>
    <w:p>
      <w:pPr>
        <w:spacing w:after="0"/>
        <w:sectPr>
          <w:pgSz w:w="11910" w:h="16840"/>
          <w:pgMar w:header="709" w:footer="0" w:top="1900" w:bottom="280" w:left="1560" w:right="1560"/>
        </w:sectPr>
      </w:pPr>
    </w:p>
    <w:p>
      <w:pPr>
        <w:pStyle w:val="Heading1"/>
        <w:tabs>
          <w:tab w:pos="573" w:val="left" w:leader="none"/>
          <w:tab w:pos="8675" w:val="left" w:leader="none"/>
        </w:tabs>
        <w:spacing w:before="292"/>
        <w:rPr>
          <w:u w:val="none"/>
        </w:rPr>
      </w:pPr>
      <w:bookmarkStart w:name="_TOC_250006" w:id="1"/>
      <w:r>
        <w:rPr>
          <w:color w:val="00B0F0"/>
          <w:spacing w:val="-25"/>
          <w:w w:val="99"/>
          <w:u w:val="single" w:color="6CB5D1"/>
        </w:rPr>
        <w:t> </w:t>
      </w:r>
      <w:r>
        <w:rPr>
          <w:color w:val="00B0F0"/>
          <w:u w:val="single" w:color="6CB5D1"/>
        </w:rPr>
        <w:t>1</w:t>
        <w:tab/>
        <w:t>Objeto de la</w:t>
      </w:r>
      <w:r>
        <w:rPr>
          <w:color w:val="00B0F0"/>
          <w:spacing w:val="-3"/>
          <w:u w:val="single" w:color="6CB5D1"/>
        </w:rPr>
        <w:t> </w:t>
      </w:r>
      <w:bookmarkEnd w:id="1"/>
      <w:r>
        <w:rPr>
          <w:color w:val="00B0F0"/>
          <w:u w:val="single" w:color="6CB5D1"/>
        </w:rPr>
        <w:t>Política</w:t>
        <w:tab/>
      </w:r>
    </w:p>
    <w:p>
      <w:pPr>
        <w:pStyle w:val="BodyText"/>
        <w:spacing w:before="9"/>
        <w:rPr>
          <w:b/>
        </w:rPr>
      </w:pPr>
    </w:p>
    <w:p>
      <w:pPr>
        <w:pStyle w:val="BodyText"/>
        <w:spacing w:before="1"/>
        <w:ind w:left="141" w:right="136"/>
        <w:jc w:val="both"/>
      </w:pPr>
      <w:r>
        <w:rPr/>
        <w:t>El presente documento, definido como Política del Programa para la Prevención de la Comisión de Delitos (en adelante también la Política o Política del Compliance Penal) del INSTITUTO TECNOLÓGICO DE CANARIAS, S.A. (en adelante ITC) tiene por objeto:</w:t>
      </w:r>
    </w:p>
    <w:p>
      <w:pPr>
        <w:pStyle w:val="BodyText"/>
        <w:spacing w:before="11"/>
        <w:rPr>
          <w:sz w:val="23"/>
        </w:rPr>
      </w:pPr>
    </w:p>
    <w:p>
      <w:pPr>
        <w:pStyle w:val="BodyText"/>
        <w:ind w:left="141" w:right="137"/>
        <w:jc w:val="both"/>
      </w:pPr>
      <w:r>
        <w:rPr/>
        <w:t>De</w:t>
      </w:r>
      <w:r>
        <w:rPr>
          <w:spacing w:val="-12"/>
        </w:rPr>
        <w:t> </w:t>
      </w:r>
      <w:r>
        <w:rPr/>
        <w:t>un</w:t>
      </w:r>
      <w:r>
        <w:rPr>
          <w:spacing w:val="-11"/>
        </w:rPr>
        <w:t> </w:t>
      </w:r>
      <w:r>
        <w:rPr/>
        <w:t>lado,</w:t>
      </w:r>
      <w:r>
        <w:rPr>
          <w:spacing w:val="-12"/>
        </w:rPr>
        <w:t> </w:t>
      </w:r>
      <w:r>
        <w:rPr/>
        <w:t>poner</w:t>
      </w:r>
      <w:r>
        <w:rPr>
          <w:spacing w:val="-11"/>
        </w:rPr>
        <w:t> </w:t>
      </w:r>
      <w:r>
        <w:rPr/>
        <w:t>de</w:t>
      </w:r>
      <w:r>
        <w:rPr>
          <w:spacing w:val="-11"/>
        </w:rPr>
        <w:t> </w:t>
      </w:r>
      <w:r>
        <w:rPr/>
        <w:t>manifiesto</w:t>
      </w:r>
      <w:r>
        <w:rPr>
          <w:spacing w:val="-12"/>
        </w:rPr>
        <w:t> </w:t>
      </w:r>
      <w:r>
        <w:rPr/>
        <w:t>públicamente</w:t>
      </w:r>
      <w:r>
        <w:rPr>
          <w:spacing w:val="-11"/>
        </w:rPr>
        <w:t> </w:t>
      </w:r>
      <w:r>
        <w:rPr/>
        <w:t>la</w:t>
      </w:r>
      <w:r>
        <w:rPr>
          <w:spacing w:val="-17"/>
        </w:rPr>
        <w:t> </w:t>
      </w:r>
      <w:r>
        <w:rPr/>
        <w:t>voluntad</w:t>
      </w:r>
      <w:r>
        <w:rPr>
          <w:spacing w:val="-12"/>
        </w:rPr>
        <w:t> </w:t>
      </w:r>
      <w:r>
        <w:rPr/>
        <w:t>de</w:t>
      </w:r>
      <w:r>
        <w:rPr>
          <w:spacing w:val="-11"/>
        </w:rPr>
        <w:t> </w:t>
      </w:r>
      <w:r>
        <w:rPr/>
        <w:t>la</w:t>
      </w:r>
      <w:r>
        <w:rPr>
          <w:spacing w:val="-11"/>
        </w:rPr>
        <w:t> </w:t>
      </w:r>
      <w:r>
        <w:rPr/>
        <w:t>alta</w:t>
      </w:r>
      <w:r>
        <w:rPr>
          <w:spacing w:val="-10"/>
        </w:rPr>
        <w:t> </w:t>
      </w:r>
      <w:r>
        <w:rPr/>
        <w:t>dirección</w:t>
      </w:r>
      <w:r>
        <w:rPr>
          <w:spacing w:val="-11"/>
        </w:rPr>
        <w:t> </w:t>
      </w:r>
      <w:r>
        <w:rPr/>
        <w:t>y</w:t>
      </w:r>
      <w:r>
        <w:rPr>
          <w:spacing w:val="-12"/>
        </w:rPr>
        <w:t> </w:t>
      </w:r>
      <w:r>
        <w:rPr/>
        <w:t>órgano</w:t>
      </w:r>
      <w:r>
        <w:rPr>
          <w:spacing w:val="-11"/>
        </w:rPr>
        <w:t> </w:t>
      </w:r>
      <w:r>
        <w:rPr/>
        <w:t>de</w:t>
      </w:r>
      <w:r>
        <w:rPr>
          <w:spacing w:val="-11"/>
        </w:rPr>
        <w:t> </w:t>
      </w:r>
      <w:r>
        <w:rPr/>
        <w:t>gobierno del ITC de mantener una conducta respetuosa y acorde con los más altos estándares, valores y principios éticos que deben guiar el comportamiento de todas las personas de la organización en el</w:t>
      </w:r>
      <w:r>
        <w:rPr>
          <w:spacing w:val="-17"/>
        </w:rPr>
        <w:t> </w:t>
      </w:r>
      <w:r>
        <w:rPr/>
        <w:t>desarrollo</w:t>
      </w:r>
      <w:r>
        <w:rPr>
          <w:spacing w:val="-16"/>
        </w:rPr>
        <w:t> </w:t>
      </w:r>
      <w:r>
        <w:rPr/>
        <w:t>de</w:t>
      </w:r>
      <w:r>
        <w:rPr>
          <w:spacing w:val="-17"/>
        </w:rPr>
        <w:t> </w:t>
      </w:r>
      <w:r>
        <w:rPr/>
        <w:t>su</w:t>
      </w:r>
      <w:r>
        <w:rPr>
          <w:spacing w:val="-16"/>
        </w:rPr>
        <w:t> </w:t>
      </w:r>
      <w:r>
        <w:rPr/>
        <w:t>actividad</w:t>
      </w:r>
      <w:r>
        <w:rPr>
          <w:spacing w:val="-16"/>
        </w:rPr>
        <w:t> </w:t>
      </w:r>
      <w:r>
        <w:rPr/>
        <w:t>profesional,</w:t>
      </w:r>
      <w:r>
        <w:rPr>
          <w:spacing w:val="-17"/>
        </w:rPr>
        <w:t> </w:t>
      </w:r>
      <w:r>
        <w:rPr/>
        <w:t>reflejando</w:t>
      </w:r>
      <w:r>
        <w:rPr>
          <w:spacing w:val="-16"/>
        </w:rPr>
        <w:t> </w:t>
      </w:r>
      <w:r>
        <w:rPr/>
        <w:t>la</w:t>
      </w:r>
      <w:r>
        <w:rPr>
          <w:spacing w:val="-16"/>
        </w:rPr>
        <w:t> </w:t>
      </w:r>
      <w:r>
        <w:rPr/>
        <w:t>posición</w:t>
      </w:r>
      <w:r>
        <w:rPr>
          <w:spacing w:val="-17"/>
        </w:rPr>
        <w:t> </w:t>
      </w:r>
      <w:r>
        <w:rPr/>
        <w:t>del</w:t>
      </w:r>
      <w:r>
        <w:rPr>
          <w:spacing w:val="-16"/>
        </w:rPr>
        <w:t> </w:t>
      </w:r>
      <w:r>
        <w:rPr/>
        <w:t>ITC</w:t>
      </w:r>
      <w:r>
        <w:rPr>
          <w:spacing w:val="-16"/>
        </w:rPr>
        <w:t> </w:t>
      </w:r>
      <w:r>
        <w:rPr/>
        <w:t>de</w:t>
      </w:r>
      <w:r>
        <w:rPr>
          <w:spacing w:val="-17"/>
        </w:rPr>
        <w:t> </w:t>
      </w:r>
      <w:r>
        <w:rPr/>
        <w:t>“tolerancia</w:t>
      </w:r>
      <w:r>
        <w:rPr>
          <w:spacing w:val="-16"/>
        </w:rPr>
        <w:t> </w:t>
      </w:r>
      <w:r>
        <w:rPr/>
        <w:t>cero</w:t>
      </w:r>
      <w:r>
        <w:rPr>
          <w:spacing w:val="-17"/>
        </w:rPr>
        <w:t> </w:t>
      </w:r>
      <w:r>
        <w:rPr/>
        <w:t>respecto” de cualquier conducta irregular, éticamente reprochable o constitutiva de</w:t>
      </w:r>
      <w:r>
        <w:rPr>
          <w:spacing w:val="-8"/>
        </w:rPr>
        <w:t> </w:t>
      </w:r>
      <w:r>
        <w:rPr/>
        <w:t>delito.</w:t>
      </w:r>
    </w:p>
    <w:p>
      <w:pPr>
        <w:pStyle w:val="BodyText"/>
      </w:pPr>
    </w:p>
    <w:p>
      <w:pPr>
        <w:pStyle w:val="BodyText"/>
        <w:ind w:left="141" w:right="136"/>
        <w:jc w:val="both"/>
      </w:pPr>
      <w:r>
        <w:rPr/>
        <w:t>De otro lado, su difusión a todas las personas obligadas a su cumplimiento para su debido entendimiento y aceptación, con la finalidad de consolidar la cultura de cumplimiento y ética empresarial, sin excepciones.</w:t>
      </w:r>
    </w:p>
    <w:p>
      <w:pPr>
        <w:pStyle w:val="BodyText"/>
        <w:rPr>
          <w:sz w:val="26"/>
        </w:rPr>
      </w:pPr>
    </w:p>
    <w:p>
      <w:pPr>
        <w:pStyle w:val="BodyText"/>
        <w:spacing w:before="1"/>
        <w:rPr>
          <w:sz w:val="22"/>
        </w:rPr>
      </w:pPr>
    </w:p>
    <w:p>
      <w:pPr>
        <w:pStyle w:val="Heading1"/>
        <w:tabs>
          <w:tab w:pos="8675" w:val="left" w:leader="none"/>
        </w:tabs>
        <w:jc w:val="both"/>
        <w:rPr>
          <w:u w:val="none"/>
        </w:rPr>
      </w:pPr>
      <w:bookmarkStart w:name="_TOC_250005" w:id="2"/>
      <w:r>
        <w:rPr>
          <w:color w:val="00B0F0"/>
          <w:spacing w:val="-25"/>
          <w:w w:val="99"/>
          <w:u w:val="single" w:color="6CB5D1"/>
        </w:rPr>
        <w:t> </w:t>
      </w:r>
      <w:r>
        <w:rPr>
          <w:color w:val="00B0F0"/>
          <w:u w:val="single" w:color="6CB5D1"/>
        </w:rPr>
        <w:t>2      Ámbito subjetivo de aplicación de la</w:t>
      </w:r>
      <w:r>
        <w:rPr>
          <w:color w:val="00B0F0"/>
          <w:spacing w:val="-28"/>
          <w:u w:val="single" w:color="6CB5D1"/>
        </w:rPr>
        <w:t> </w:t>
      </w:r>
      <w:bookmarkEnd w:id="2"/>
      <w:r>
        <w:rPr>
          <w:color w:val="00B0F0"/>
          <w:u w:val="single" w:color="6CB5D1"/>
        </w:rPr>
        <w:t>Política</w:t>
        <w:tab/>
      </w:r>
    </w:p>
    <w:p>
      <w:pPr>
        <w:pStyle w:val="BodyText"/>
        <w:spacing w:before="5"/>
        <w:rPr>
          <w:b/>
          <w:sz w:val="16"/>
        </w:rPr>
      </w:pPr>
    </w:p>
    <w:p>
      <w:pPr>
        <w:pStyle w:val="BodyText"/>
        <w:spacing w:before="96"/>
        <w:ind w:left="141" w:right="137"/>
        <w:jc w:val="both"/>
      </w:pPr>
      <w:r>
        <w:rPr/>
        <w:t>Esta Política tiene naturaleza de política corporativa del ITC y se integra dentro de su sistema de gestión.</w:t>
      </w:r>
    </w:p>
    <w:p>
      <w:pPr>
        <w:pStyle w:val="BodyText"/>
        <w:spacing w:before="11"/>
        <w:rPr>
          <w:sz w:val="23"/>
        </w:rPr>
      </w:pPr>
    </w:p>
    <w:p>
      <w:pPr>
        <w:pStyle w:val="BodyText"/>
        <w:ind w:left="141" w:right="135"/>
        <w:jc w:val="both"/>
      </w:pPr>
      <w:r>
        <w:rPr/>
        <w:t>Todo</w:t>
      </w:r>
      <w:r>
        <w:rPr>
          <w:spacing w:val="-10"/>
        </w:rPr>
        <w:t> </w:t>
      </w:r>
      <w:r>
        <w:rPr/>
        <w:t>el</w:t>
      </w:r>
      <w:r>
        <w:rPr>
          <w:spacing w:val="-10"/>
        </w:rPr>
        <w:t> </w:t>
      </w:r>
      <w:r>
        <w:rPr/>
        <w:t>personal</w:t>
      </w:r>
      <w:r>
        <w:rPr>
          <w:spacing w:val="-9"/>
        </w:rPr>
        <w:t> </w:t>
      </w:r>
      <w:r>
        <w:rPr/>
        <w:t>del</w:t>
      </w:r>
      <w:r>
        <w:rPr>
          <w:spacing w:val="-10"/>
        </w:rPr>
        <w:t> </w:t>
      </w:r>
      <w:r>
        <w:rPr/>
        <w:t>ITC</w:t>
      </w:r>
      <w:r>
        <w:rPr>
          <w:spacing w:val="-10"/>
        </w:rPr>
        <w:t> </w:t>
      </w:r>
      <w:r>
        <w:rPr/>
        <w:t>está</w:t>
      </w:r>
      <w:r>
        <w:rPr>
          <w:spacing w:val="-9"/>
        </w:rPr>
        <w:t> </w:t>
      </w:r>
      <w:r>
        <w:rPr/>
        <w:t>obligado</w:t>
      </w:r>
      <w:r>
        <w:rPr>
          <w:spacing w:val="-10"/>
        </w:rPr>
        <w:t> </w:t>
      </w:r>
      <w:r>
        <w:rPr/>
        <w:t>al</w:t>
      </w:r>
      <w:r>
        <w:rPr>
          <w:spacing w:val="-10"/>
        </w:rPr>
        <w:t> </w:t>
      </w:r>
      <w:r>
        <w:rPr/>
        <w:t>cumplimiento</w:t>
      </w:r>
      <w:r>
        <w:rPr>
          <w:spacing w:val="-9"/>
        </w:rPr>
        <w:t> </w:t>
      </w:r>
      <w:r>
        <w:rPr/>
        <w:t>de</w:t>
      </w:r>
      <w:r>
        <w:rPr>
          <w:spacing w:val="-10"/>
        </w:rPr>
        <w:t> </w:t>
      </w:r>
      <w:r>
        <w:rPr/>
        <w:t>la</w:t>
      </w:r>
      <w:r>
        <w:rPr>
          <w:spacing w:val="-10"/>
        </w:rPr>
        <w:t> </w:t>
      </w:r>
      <w:r>
        <w:rPr/>
        <w:t>presente</w:t>
      </w:r>
      <w:r>
        <w:rPr>
          <w:spacing w:val="-8"/>
        </w:rPr>
        <w:t> </w:t>
      </w:r>
      <w:r>
        <w:rPr/>
        <w:t>Política,</w:t>
      </w:r>
      <w:r>
        <w:rPr>
          <w:spacing w:val="-10"/>
        </w:rPr>
        <w:t> </w:t>
      </w:r>
      <w:r>
        <w:rPr/>
        <w:t>lo</w:t>
      </w:r>
      <w:r>
        <w:rPr>
          <w:spacing w:val="-10"/>
        </w:rPr>
        <w:t> </w:t>
      </w:r>
      <w:r>
        <w:rPr/>
        <w:t>que</w:t>
      </w:r>
      <w:r>
        <w:rPr>
          <w:spacing w:val="-9"/>
        </w:rPr>
        <w:t> </w:t>
      </w:r>
      <w:r>
        <w:rPr/>
        <w:t>incluye</w:t>
      </w:r>
      <w:r>
        <w:rPr>
          <w:spacing w:val="-10"/>
        </w:rPr>
        <w:t> </w:t>
      </w:r>
      <w:r>
        <w:rPr/>
        <w:t>tanto a los representantes legales del ITC, esto es, todas las personas que representan orgánica y voluntariamente al Instituto (tal como su presidenta, consejeros, representantes legales, administradores y otras personas que representan a la sociedad bajo las reglas generales de nuestro Ordenamiento como apoderados singulares o generales y como gerentes o directores generales) como aquellas otras personas que actuando individualmente o como integrantes de cualquier</w:t>
      </w:r>
      <w:r>
        <w:rPr>
          <w:spacing w:val="-9"/>
        </w:rPr>
        <w:t> </w:t>
      </w:r>
      <w:r>
        <w:rPr/>
        <w:t>órgano</w:t>
      </w:r>
      <w:r>
        <w:rPr>
          <w:spacing w:val="-9"/>
        </w:rPr>
        <w:t> </w:t>
      </w:r>
      <w:r>
        <w:rPr/>
        <w:t>o</w:t>
      </w:r>
      <w:r>
        <w:rPr>
          <w:spacing w:val="-9"/>
        </w:rPr>
        <w:t> </w:t>
      </w:r>
      <w:r>
        <w:rPr/>
        <w:t>departamento</w:t>
      </w:r>
      <w:r>
        <w:rPr>
          <w:spacing w:val="-9"/>
        </w:rPr>
        <w:t> </w:t>
      </w:r>
      <w:r>
        <w:rPr/>
        <w:t>del</w:t>
      </w:r>
      <w:r>
        <w:rPr>
          <w:spacing w:val="-9"/>
        </w:rPr>
        <w:t> </w:t>
      </w:r>
      <w:r>
        <w:rPr/>
        <w:t>ITC,</w:t>
      </w:r>
      <w:r>
        <w:rPr>
          <w:spacing w:val="-8"/>
        </w:rPr>
        <w:t> </w:t>
      </w:r>
      <w:r>
        <w:rPr/>
        <w:t>están</w:t>
      </w:r>
      <w:r>
        <w:rPr>
          <w:spacing w:val="-7"/>
        </w:rPr>
        <w:t> </w:t>
      </w:r>
      <w:r>
        <w:rPr/>
        <w:t>autorizadas</w:t>
      </w:r>
      <w:r>
        <w:rPr>
          <w:spacing w:val="-9"/>
        </w:rPr>
        <w:t> </w:t>
      </w:r>
      <w:r>
        <w:rPr/>
        <w:t>para</w:t>
      </w:r>
      <w:r>
        <w:rPr>
          <w:spacing w:val="-9"/>
        </w:rPr>
        <w:t> </w:t>
      </w:r>
      <w:r>
        <w:rPr/>
        <w:t>tomar</w:t>
      </w:r>
      <w:r>
        <w:rPr>
          <w:spacing w:val="-9"/>
        </w:rPr>
        <w:t> </w:t>
      </w:r>
      <w:r>
        <w:rPr/>
        <w:t>decisiones</w:t>
      </w:r>
      <w:r>
        <w:rPr>
          <w:spacing w:val="-9"/>
        </w:rPr>
        <w:t> </w:t>
      </w:r>
      <w:r>
        <w:rPr/>
        <w:t>en</w:t>
      </w:r>
      <w:r>
        <w:rPr>
          <w:spacing w:val="-9"/>
        </w:rPr>
        <w:t> </w:t>
      </w:r>
      <w:r>
        <w:rPr/>
        <w:t>nombre</w:t>
      </w:r>
      <w:r>
        <w:rPr>
          <w:spacing w:val="-9"/>
        </w:rPr>
        <w:t> </w:t>
      </w:r>
      <w:r>
        <w:rPr/>
        <w:t>del Instituto (esto es, las personas que ostentan facultades de organización y control como cargos y mandos</w:t>
      </w:r>
      <w:r>
        <w:rPr>
          <w:spacing w:val="-15"/>
        </w:rPr>
        <w:t> </w:t>
      </w:r>
      <w:r>
        <w:rPr/>
        <w:t>intermedios)</w:t>
      </w:r>
      <w:r>
        <w:rPr>
          <w:spacing w:val="-14"/>
        </w:rPr>
        <w:t> </w:t>
      </w:r>
      <w:r>
        <w:rPr/>
        <w:t>y</w:t>
      </w:r>
      <w:r>
        <w:rPr>
          <w:spacing w:val="-14"/>
        </w:rPr>
        <w:t> </w:t>
      </w:r>
      <w:r>
        <w:rPr/>
        <w:t>finalmente</w:t>
      </w:r>
      <w:r>
        <w:rPr>
          <w:spacing w:val="-14"/>
        </w:rPr>
        <w:t> </w:t>
      </w:r>
      <w:r>
        <w:rPr/>
        <w:t>el</w:t>
      </w:r>
      <w:r>
        <w:rPr>
          <w:spacing w:val="-13"/>
        </w:rPr>
        <w:t> </w:t>
      </w:r>
      <w:r>
        <w:rPr/>
        <w:t>personal</w:t>
      </w:r>
      <w:r>
        <w:rPr>
          <w:spacing w:val="-14"/>
        </w:rPr>
        <w:t> </w:t>
      </w:r>
      <w:r>
        <w:rPr/>
        <w:t>que</w:t>
      </w:r>
      <w:r>
        <w:rPr>
          <w:spacing w:val="-14"/>
        </w:rPr>
        <w:t> </w:t>
      </w:r>
      <w:r>
        <w:rPr/>
        <w:t>presta</w:t>
      </w:r>
      <w:r>
        <w:rPr>
          <w:spacing w:val="-14"/>
        </w:rPr>
        <w:t> </w:t>
      </w:r>
      <w:r>
        <w:rPr/>
        <w:t>sus</w:t>
      </w:r>
      <w:r>
        <w:rPr>
          <w:spacing w:val="-14"/>
        </w:rPr>
        <w:t> </w:t>
      </w:r>
      <w:r>
        <w:rPr/>
        <w:t>servicios</w:t>
      </w:r>
      <w:r>
        <w:rPr>
          <w:spacing w:val="-14"/>
        </w:rPr>
        <w:t> </w:t>
      </w:r>
      <w:r>
        <w:rPr/>
        <w:t>para</w:t>
      </w:r>
      <w:r>
        <w:rPr>
          <w:spacing w:val="-14"/>
        </w:rPr>
        <w:t> </w:t>
      </w:r>
      <w:r>
        <w:rPr/>
        <w:t>el</w:t>
      </w:r>
      <w:r>
        <w:rPr>
          <w:spacing w:val="-14"/>
        </w:rPr>
        <w:t> </w:t>
      </w:r>
      <w:r>
        <w:rPr/>
        <w:t>ITC</w:t>
      </w:r>
      <w:r>
        <w:rPr>
          <w:spacing w:val="-15"/>
        </w:rPr>
        <w:t> </w:t>
      </w:r>
      <w:r>
        <w:rPr/>
        <w:t>bajo</w:t>
      </w:r>
      <w:r>
        <w:rPr>
          <w:spacing w:val="-13"/>
        </w:rPr>
        <w:t> </w:t>
      </w:r>
      <w:r>
        <w:rPr/>
        <w:t>la</w:t>
      </w:r>
      <w:r>
        <w:rPr>
          <w:spacing w:val="-14"/>
        </w:rPr>
        <w:t> </w:t>
      </w:r>
      <w:r>
        <w:rPr/>
        <w:t>autoridad de las personas físicas mencionadas anteriormente (como es el personal laboral, con independencia de su nivel jerárquico y de su ubicación geográfica o funcional, alumnos en prácticas o que desarrollen una actividad formativa en el ITC). En adelante se podrá denominar a todas estas “las Personas</w:t>
      </w:r>
      <w:r>
        <w:rPr>
          <w:spacing w:val="-1"/>
        </w:rPr>
        <w:t> </w:t>
      </w:r>
      <w:r>
        <w:rPr/>
        <w:t>Obligadas”.</w:t>
      </w:r>
    </w:p>
    <w:p>
      <w:pPr>
        <w:pStyle w:val="BodyText"/>
      </w:pPr>
    </w:p>
    <w:p>
      <w:pPr>
        <w:pStyle w:val="BodyText"/>
        <w:ind w:left="141" w:right="136"/>
        <w:jc w:val="both"/>
      </w:pPr>
      <w:r>
        <w:rPr/>
        <w:t>Asimismo, también los proveedores del ITC están en el alcance de cumplimiento de la presente Política.</w:t>
      </w:r>
    </w:p>
    <w:p>
      <w:pPr>
        <w:pStyle w:val="BodyText"/>
        <w:rPr>
          <w:sz w:val="26"/>
        </w:rPr>
      </w:pPr>
    </w:p>
    <w:p>
      <w:pPr>
        <w:pStyle w:val="BodyText"/>
        <w:rPr>
          <w:sz w:val="22"/>
        </w:rPr>
      </w:pPr>
    </w:p>
    <w:p>
      <w:pPr>
        <w:pStyle w:val="Heading1"/>
        <w:tabs>
          <w:tab w:pos="8675" w:val="left" w:leader="none"/>
        </w:tabs>
        <w:jc w:val="both"/>
        <w:rPr>
          <w:u w:val="none"/>
        </w:rPr>
      </w:pPr>
      <w:bookmarkStart w:name="_TOC_250004" w:id="3"/>
      <w:r>
        <w:rPr>
          <w:color w:val="00B0F0"/>
          <w:spacing w:val="-25"/>
          <w:w w:val="99"/>
          <w:u w:val="single" w:color="6CB5D1"/>
        </w:rPr>
        <w:t> </w:t>
      </w:r>
      <w:r>
        <w:rPr>
          <w:color w:val="00B0F0"/>
          <w:u w:val="single" w:color="6CB5D1"/>
        </w:rPr>
        <w:t>3      Ámbito objetivo de aplicación de la</w:t>
      </w:r>
      <w:r>
        <w:rPr>
          <w:color w:val="00B0F0"/>
          <w:spacing w:val="-8"/>
          <w:u w:val="single" w:color="6CB5D1"/>
        </w:rPr>
        <w:t> </w:t>
      </w:r>
      <w:bookmarkEnd w:id="3"/>
      <w:r>
        <w:rPr>
          <w:color w:val="00B0F0"/>
          <w:u w:val="single" w:color="6CB5D1"/>
        </w:rPr>
        <w:t>Política</w:t>
        <w:tab/>
      </w:r>
    </w:p>
    <w:p>
      <w:pPr>
        <w:pStyle w:val="BodyText"/>
        <w:spacing w:before="6"/>
        <w:rPr>
          <w:b/>
          <w:sz w:val="16"/>
        </w:rPr>
      </w:pPr>
    </w:p>
    <w:p>
      <w:pPr>
        <w:pStyle w:val="BodyText"/>
        <w:spacing w:before="97"/>
        <w:ind w:left="141" w:right="137"/>
        <w:jc w:val="both"/>
      </w:pPr>
      <w:r>
        <w:rPr/>
        <w:t>Esta Política afecta al sistema de gestión del Programa para la Prevención de la Comisión de Delitos (en adelante también sistema de gestión del Compliance Penal) del ITC y a los procedimientos de organización y gestión definidos en ITC, que constituyen las medidas de vigilancia</w:t>
      </w:r>
      <w:r>
        <w:rPr>
          <w:spacing w:val="-11"/>
        </w:rPr>
        <w:t> </w:t>
      </w:r>
      <w:r>
        <w:rPr/>
        <w:t>y</w:t>
      </w:r>
      <w:r>
        <w:rPr>
          <w:spacing w:val="-11"/>
        </w:rPr>
        <w:t> </w:t>
      </w:r>
      <w:r>
        <w:rPr/>
        <w:t>control</w:t>
      </w:r>
      <w:r>
        <w:rPr>
          <w:spacing w:val="-11"/>
        </w:rPr>
        <w:t> </w:t>
      </w:r>
      <w:r>
        <w:rPr/>
        <w:t>para</w:t>
      </w:r>
      <w:r>
        <w:rPr>
          <w:spacing w:val="-11"/>
        </w:rPr>
        <w:t> </w:t>
      </w:r>
      <w:r>
        <w:rPr/>
        <w:t>prevenir</w:t>
      </w:r>
      <w:r>
        <w:rPr>
          <w:spacing w:val="-10"/>
        </w:rPr>
        <w:t> </w:t>
      </w:r>
      <w:r>
        <w:rPr/>
        <w:t>y</w:t>
      </w:r>
      <w:r>
        <w:rPr>
          <w:spacing w:val="-11"/>
        </w:rPr>
        <w:t> </w:t>
      </w:r>
      <w:r>
        <w:rPr/>
        <w:t>evitar</w:t>
      </w:r>
      <w:r>
        <w:rPr>
          <w:spacing w:val="-10"/>
        </w:rPr>
        <w:t> </w:t>
      </w:r>
      <w:r>
        <w:rPr/>
        <w:t>cualquier</w:t>
      </w:r>
      <w:r>
        <w:rPr>
          <w:spacing w:val="-11"/>
        </w:rPr>
        <w:t> </w:t>
      </w:r>
      <w:r>
        <w:rPr/>
        <w:t>actuación</w:t>
      </w:r>
      <w:r>
        <w:rPr>
          <w:spacing w:val="-11"/>
        </w:rPr>
        <w:t> </w:t>
      </w:r>
      <w:r>
        <w:rPr/>
        <w:t>éticamente</w:t>
      </w:r>
      <w:r>
        <w:rPr>
          <w:spacing w:val="-11"/>
        </w:rPr>
        <w:t> </w:t>
      </w:r>
      <w:r>
        <w:rPr/>
        <w:t>reprochable</w:t>
      </w:r>
      <w:r>
        <w:rPr>
          <w:spacing w:val="-11"/>
        </w:rPr>
        <w:t> </w:t>
      </w:r>
      <w:r>
        <w:rPr/>
        <w:t>y</w:t>
      </w:r>
      <w:r>
        <w:rPr>
          <w:spacing w:val="-10"/>
        </w:rPr>
        <w:t> </w:t>
      </w:r>
      <w:r>
        <w:rPr/>
        <w:t>en</w:t>
      </w:r>
      <w:r>
        <w:rPr>
          <w:spacing w:val="-11"/>
        </w:rPr>
        <w:t> </w:t>
      </w:r>
      <w:r>
        <w:rPr/>
        <w:t>su</w:t>
      </w:r>
      <w:r>
        <w:rPr>
          <w:spacing w:val="-11"/>
        </w:rPr>
        <w:t> </w:t>
      </w:r>
      <w:r>
        <w:rPr/>
        <w:t>caso, delictiva.</w:t>
      </w:r>
    </w:p>
    <w:p>
      <w:pPr>
        <w:spacing w:after="0"/>
        <w:jc w:val="both"/>
        <w:sectPr>
          <w:pgSz w:w="11910" w:h="16840"/>
          <w:pgMar w:header="709" w:footer="0" w:top="1900" w:bottom="280" w:left="1560" w:right="1560"/>
        </w:sectPr>
      </w:pPr>
    </w:p>
    <w:p>
      <w:pPr>
        <w:pStyle w:val="BodyText"/>
        <w:spacing w:before="9"/>
        <w:rPr>
          <w:sz w:val="16"/>
        </w:rPr>
      </w:pPr>
    </w:p>
    <w:p>
      <w:pPr>
        <w:pStyle w:val="Heading1"/>
        <w:tabs>
          <w:tab w:pos="573" w:val="left" w:leader="none"/>
          <w:tab w:pos="8675" w:val="left" w:leader="none"/>
        </w:tabs>
        <w:spacing w:before="99"/>
        <w:rPr>
          <w:u w:val="none"/>
        </w:rPr>
      </w:pPr>
      <w:bookmarkStart w:name="_TOC_250003" w:id="4"/>
      <w:r>
        <w:rPr>
          <w:color w:val="00B0F0"/>
          <w:spacing w:val="-25"/>
          <w:w w:val="99"/>
          <w:u w:val="single" w:color="6CB5D1"/>
        </w:rPr>
        <w:t> </w:t>
      </w:r>
      <w:r>
        <w:rPr>
          <w:color w:val="00B0F0"/>
          <w:u w:val="single" w:color="6CB5D1"/>
        </w:rPr>
        <w:t>4</w:t>
        <w:tab/>
        <w:t>Objetivos del Programa para la Prevención de la Comisión de</w:t>
      </w:r>
      <w:r>
        <w:rPr>
          <w:color w:val="00B0F0"/>
          <w:spacing w:val="-36"/>
          <w:u w:val="single" w:color="6CB5D1"/>
        </w:rPr>
        <w:t> </w:t>
      </w:r>
      <w:bookmarkEnd w:id="4"/>
      <w:r>
        <w:rPr>
          <w:color w:val="00B0F0"/>
          <w:u w:val="single" w:color="6CB5D1"/>
        </w:rPr>
        <w:t>Delitos</w:t>
        <w:tab/>
      </w:r>
    </w:p>
    <w:p>
      <w:pPr>
        <w:pStyle w:val="BodyText"/>
        <w:spacing w:before="5"/>
        <w:rPr>
          <w:b/>
          <w:sz w:val="16"/>
        </w:rPr>
      </w:pPr>
    </w:p>
    <w:p>
      <w:pPr>
        <w:pStyle w:val="BodyText"/>
        <w:spacing w:before="97"/>
        <w:ind w:left="141"/>
      </w:pPr>
      <w:r>
        <w:rPr/>
        <w:t>Los objetivos fundamentales del Programa para la Prevención de la Comisión de Delitos del ITC, son los siguientes:</w:t>
      </w:r>
    </w:p>
    <w:p>
      <w:pPr>
        <w:pStyle w:val="BodyText"/>
      </w:pPr>
    </w:p>
    <w:p>
      <w:pPr>
        <w:pStyle w:val="ListParagraph"/>
        <w:numPr>
          <w:ilvl w:val="1"/>
          <w:numId w:val="1"/>
        </w:numPr>
        <w:tabs>
          <w:tab w:pos="862" w:val="left" w:leader="none"/>
        </w:tabs>
        <w:spacing w:line="240" w:lineRule="auto" w:before="0" w:after="0"/>
        <w:ind w:left="861" w:right="136" w:hanging="360"/>
        <w:jc w:val="both"/>
        <w:rPr>
          <w:sz w:val="24"/>
        </w:rPr>
      </w:pPr>
      <w:r>
        <w:rPr>
          <w:sz w:val="24"/>
        </w:rPr>
        <w:t>Dejar constancia expresa y pública de la “tolerancia cero” del ITC frente a cualquier tipo de comportamiento ilegal o éticamente</w:t>
      </w:r>
      <w:r>
        <w:rPr>
          <w:spacing w:val="-3"/>
          <w:sz w:val="24"/>
        </w:rPr>
        <w:t> </w:t>
      </w:r>
      <w:r>
        <w:rPr>
          <w:sz w:val="24"/>
        </w:rPr>
        <w:t>reprochable.</w:t>
      </w:r>
    </w:p>
    <w:p>
      <w:pPr>
        <w:pStyle w:val="BodyText"/>
      </w:pPr>
    </w:p>
    <w:p>
      <w:pPr>
        <w:pStyle w:val="ListParagraph"/>
        <w:numPr>
          <w:ilvl w:val="1"/>
          <w:numId w:val="1"/>
        </w:numPr>
        <w:tabs>
          <w:tab w:pos="862" w:val="left" w:leader="none"/>
        </w:tabs>
        <w:spacing w:line="240" w:lineRule="auto" w:before="0" w:after="0"/>
        <w:ind w:left="861" w:right="136" w:hanging="360"/>
        <w:jc w:val="both"/>
        <w:rPr>
          <w:sz w:val="24"/>
        </w:rPr>
      </w:pPr>
      <w:r>
        <w:rPr>
          <w:sz w:val="24"/>
        </w:rPr>
        <w:t>Establecer un sistema estructurado de prevención y control de riesgos penales dirigido a la minoración máxima del riesgo de comisión de</w:t>
      </w:r>
      <w:r>
        <w:rPr>
          <w:spacing w:val="-6"/>
          <w:sz w:val="24"/>
        </w:rPr>
        <w:t> </w:t>
      </w:r>
      <w:r>
        <w:rPr>
          <w:sz w:val="24"/>
        </w:rPr>
        <w:t>delitos.</w:t>
      </w:r>
    </w:p>
    <w:p>
      <w:pPr>
        <w:pStyle w:val="BodyText"/>
      </w:pPr>
    </w:p>
    <w:p>
      <w:pPr>
        <w:pStyle w:val="ListParagraph"/>
        <w:numPr>
          <w:ilvl w:val="1"/>
          <w:numId w:val="1"/>
        </w:numPr>
        <w:tabs>
          <w:tab w:pos="862" w:val="left" w:leader="none"/>
        </w:tabs>
        <w:spacing w:line="240" w:lineRule="auto" w:before="1" w:after="0"/>
        <w:ind w:left="861" w:right="137" w:hanging="360"/>
        <w:jc w:val="both"/>
        <w:rPr>
          <w:sz w:val="24"/>
        </w:rPr>
      </w:pPr>
      <w:r>
        <w:rPr>
          <w:sz w:val="24"/>
        </w:rPr>
        <w:t>Dejar constancia expresa de que los objetivos empresariales del ITC solo pueden ser alcanzados cumpliendo las disposiciones del Ordenamiento Jurídico y el Código de Conducta</w:t>
      </w:r>
      <w:r>
        <w:rPr>
          <w:spacing w:val="-12"/>
          <w:sz w:val="24"/>
        </w:rPr>
        <w:t> </w:t>
      </w:r>
      <w:r>
        <w:rPr>
          <w:sz w:val="24"/>
        </w:rPr>
        <w:t>del</w:t>
      </w:r>
      <w:r>
        <w:rPr>
          <w:spacing w:val="-12"/>
          <w:sz w:val="24"/>
        </w:rPr>
        <w:t> </w:t>
      </w:r>
      <w:r>
        <w:rPr>
          <w:sz w:val="24"/>
        </w:rPr>
        <w:t>ITC,</w:t>
      </w:r>
      <w:r>
        <w:rPr>
          <w:spacing w:val="-12"/>
          <w:sz w:val="24"/>
        </w:rPr>
        <w:t> </w:t>
      </w:r>
      <w:r>
        <w:rPr>
          <w:sz w:val="24"/>
        </w:rPr>
        <w:t>en</w:t>
      </w:r>
      <w:r>
        <w:rPr>
          <w:spacing w:val="-11"/>
          <w:sz w:val="24"/>
        </w:rPr>
        <w:t> </w:t>
      </w:r>
      <w:r>
        <w:rPr>
          <w:sz w:val="24"/>
        </w:rPr>
        <w:t>el</w:t>
      </w:r>
      <w:r>
        <w:rPr>
          <w:spacing w:val="-12"/>
          <w:sz w:val="24"/>
        </w:rPr>
        <w:t> </w:t>
      </w:r>
      <w:r>
        <w:rPr>
          <w:sz w:val="24"/>
        </w:rPr>
        <w:t>que</w:t>
      </w:r>
      <w:r>
        <w:rPr>
          <w:spacing w:val="-12"/>
          <w:sz w:val="24"/>
        </w:rPr>
        <w:t> </w:t>
      </w:r>
      <w:r>
        <w:rPr>
          <w:sz w:val="24"/>
        </w:rPr>
        <w:t>se</w:t>
      </w:r>
      <w:r>
        <w:rPr>
          <w:spacing w:val="-11"/>
          <w:sz w:val="24"/>
        </w:rPr>
        <w:t> </w:t>
      </w:r>
      <w:r>
        <w:rPr>
          <w:sz w:val="24"/>
        </w:rPr>
        <w:t>configuran</w:t>
      </w:r>
      <w:r>
        <w:rPr>
          <w:spacing w:val="-12"/>
          <w:sz w:val="24"/>
        </w:rPr>
        <w:t> </w:t>
      </w:r>
      <w:r>
        <w:rPr>
          <w:sz w:val="24"/>
        </w:rPr>
        <w:t>y</w:t>
      </w:r>
      <w:r>
        <w:rPr>
          <w:spacing w:val="-12"/>
          <w:sz w:val="24"/>
        </w:rPr>
        <w:t> </w:t>
      </w:r>
      <w:r>
        <w:rPr>
          <w:sz w:val="24"/>
        </w:rPr>
        <w:t>reúnen</w:t>
      </w:r>
      <w:r>
        <w:rPr>
          <w:spacing w:val="-12"/>
          <w:sz w:val="24"/>
        </w:rPr>
        <w:t> </w:t>
      </w:r>
      <w:r>
        <w:rPr>
          <w:sz w:val="24"/>
        </w:rPr>
        <w:t>los</w:t>
      </w:r>
      <w:r>
        <w:rPr>
          <w:spacing w:val="-12"/>
          <w:sz w:val="24"/>
        </w:rPr>
        <w:t> </w:t>
      </w:r>
      <w:r>
        <w:rPr>
          <w:sz w:val="24"/>
        </w:rPr>
        <w:t>valores</w:t>
      </w:r>
      <w:r>
        <w:rPr>
          <w:spacing w:val="-13"/>
          <w:sz w:val="24"/>
        </w:rPr>
        <w:t> </w:t>
      </w:r>
      <w:r>
        <w:rPr>
          <w:sz w:val="24"/>
        </w:rPr>
        <w:t>y</w:t>
      </w:r>
      <w:r>
        <w:rPr>
          <w:spacing w:val="-12"/>
          <w:sz w:val="24"/>
        </w:rPr>
        <w:t> </w:t>
      </w:r>
      <w:r>
        <w:rPr>
          <w:sz w:val="24"/>
        </w:rPr>
        <w:t>principios</w:t>
      </w:r>
      <w:r>
        <w:rPr>
          <w:spacing w:val="-13"/>
          <w:sz w:val="24"/>
        </w:rPr>
        <w:t> </w:t>
      </w:r>
      <w:r>
        <w:rPr>
          <w:sz w:val="24"/>
        </w:rPr>
        <w:t>éticos</w:t>
      </w:r>
      <w:r>
        <w:rPr>
          <w:spacing w:val="-13"/>
          <w:sz w:val="24"/>
        </w:rPr>
        <w:t> </w:t>
      </w:r>
      <w:r>
        <w:rPr>
          <w:sz w:val="24"/>
        </w:rPr>
        <w:t>a</w:t>
      </w:r>
      <w:r>
        <w:rPr>
          <w:spacing w:val="-12"/>
          <w:sz w:val="24"/>
        </w:rPr>
        <w:t> </w:t>
      </w:r>
      <w:r>
        <w:rPr>
          <w:sz w:val="24"/>
        </w:rPr>
        <w:t>seguir.</w:t>
      </w:r>
    </w:p>
    <w:p>
      <w:pPr>
        <w:pStyle w:val="BodyText"/>
        <w:spacing w:before="11"/>
        <w:rPr>
          <w:sz w:val="23"/>
        </w:rPr>
      </w:pPr>
    </w:p>
    <w:p>
      <w:pPr>
        <w:pStyle w:val="ListParagraph"/>
        <w:numPr>
          <w:ilvl w:val="1"/>
          <w:numId w:val="1"/>
        </w:numPr>
        <w:tabs>
          <w:tab w:pos="862" w:val="left" w:leader="none"/>
        </w:tabs>
        <w:spacing w:line="240" w:lineRule="auto" w:before="0" w:after="0"/>
        <w:ind w:left="861" w:right="137" w:hanging="360"/>
        <w:jc w:val="both"/>
        <w:rPr>
          <w:sz w:val="24"/>
        </w:rPr>
      </w:pPr>
      <w:r>
        <w:rPr>
          <w:sz w:val="24"/>
        </w:rPr>
        <w:t>Evitar sanciones penales por incumplimiento de las normas que regulan el ejercicio de la actividad mercantil del</w:t>
      </w:r>
      <w:r>
        <w:rPr>
          <w:spacing w:val="-1"/>
          <w:sz w:val="24"/>
        </w:rPr>
        <w:t> </w:t>
      </w:r>
      <w:r>
        <w:rPr>
          <w:sz w:val="24"/>
        </w:rPr>
        <w:t>ITC.</w:t>
      </w:r>
    </w:p>
    <w:p>
      <w:pPr>
        <w:pStyle w:val="BodyText"/>
        <w:spacing w:before="11"/>
        <w:rPr>
          <w:sz w:val="23"/>
        </w:rPr>
      </w:pPr>
    </w:p>
    <w:p>
      <w:pPr>
        <w:pStyle w:val="ListParagraph"/>
        <w:numPr>
          <w:ilvl w:val="1"/>
          <w:numId w:val="1"/>
        </w:numPr>
        <w:tabs>
          <w:tab w:pos="862" w:val="left" w:leader="none"/>
        </w:tabs>
        <w:spacing w:line="240" w:lineRule="auto" w:before="0" w:after="0"/>
        <w:ind w:left="861" w:right="137" w:hanging="360"/>
        <w:jc w:val="both"/>
        <w:rPr>
          <w:sz w:val="24"/>
        </w:rPr>
      </w:pPr>
      <w:r>
        <w:rPr>
          <w:sz w:val="24"/>
        </w:rPr>
        <w:t>Informar y concienciar a todas las Personas Obligadas de la importancia y alcance del cumplimiento del Sistema de Gestión de Compliance Penal, así como de los principios éticos contenidos en el Código de Conducta del</w:t>
      </w:r>
      <w:r>
        <w:rPr>
          <w:spacing w:val="-1"/>
          <w:sz w:val="24"/>
        </w:rPr>
        <w:t> </w:t>
      </w:r>
      <w:r>
        <w:rPr>
          <w:sz w:val="24"/>
        </w:rPr>
        <w:t>ITC.</w:t>
      </w:r>
    </w:p>
    <w:p>
      <w:pPr>
        <w:pStyle w:val="BodyText"/>
      </w:pPr>
    </w:p>
    <w:p>
      <w:pPr>
        <w:pStyle w:val="ListParagraph"/>
        <w:numPr>
          <w:ilvl w:val="1"/>
          <w:numId w:val="1"/>
        </w:numPr>
        <w:tabs>
          <w:tab w:pos="862" w:val="left" w:leader="none"/>
        </w:tabs>
        <w:spacing w:line="240" w:lineRule="auto" w:before="0" w:after="0"/>
        <w:ind w:left="861" w:right="138" w:hanging="360"/>
        <w:jc w:val="both"/>
        <w:rPr>
          <w:sz w:val="24"/>
        </w:rPr>
      </w:pPr>
      <w:r>
        <w:rPr>
          <w:sz w:val="24"/>
        </w:rPr>
        <w:t>Sensibilizar</w:t>
      </w:r>
      <w:r>
        <w:rPr>
          <w:spacing w:val="-12"/>
          <w:sz w:val="24"/>
        </w:rPr>
        <w:t> </w:t>
      </w:r>
      <w:r>
        <w:rPr>
          <w:sz w:val="24"/>
        </w:rPr>
        <w:t>y</w:t>
      </w:r>
      <w:r>
        <w:rPr>
          <w:spacing w:val="-12"/>
          <w:sz w:val="24"/>
        </w:rPr>
        <w:t> </w:t>
      </w:r>
      <w:r>
        <w:rPr>
          <w:sz w:val="24"/>
        </w:rPr>
        <w:t>formar</w:t>
      </w:r>
      <w:r>
        <w:rPr>
          <w:spacing w:val="-11"/>
          <w:sz w:val="24"/>
        </w:rPr>
        <w:t> </w:t>
      </w:r>
      <w:r>
        <w:rPr>
          <w:sz w:val="24"/>
        </w:rPr>
        <w:t>a</w:t>
      </w:r>
      <w:r>
        <w:rPr>
          <w:spacing w:val="-12"/>
          <w:sz w:val="24"/>
        </w:rPr>
        <w:t> </w:t>
      </w:r>
      <w:r>
        <w:rPr>
          <w:sz w:val="24"/>
        </w:rPr>
        <w:t>las</w:t>
      </w:r>
      <w:r>
        <w:rPr>
          <w:spacing w:val="-11"/>
          <w:sz w:val="24"/>
        </w:rPr>
        <w:t> </w:t>
      </w:r>
      <w:r>
        <w:rPr>
          <w:sz w:val="24"/>
        </w:rPr>
        <w:t>Personas</w:t>
      </w:r>
      <w:r>
        <w:rPr>
          <w:spacing w:val="-12"/>
          <w:sz w:val="24"/>
        </w:rPr>
        <w:t> </w:t>
      </w:r>
      <w:r>
        <w:rPr>
          <w:sz w:val="24"/>
        </w:rPr>
        <w:t>Obligadas</w:t>
      </w:r>
      <w:r>
        <w:rPr>
          <w:spacing w:val="-11"/>
          <w:sz w:val="24"/>
        </w:rPr>
        <w:t> </w:t>
      </w:r>
      <w:r>
        <w:rPr>
          <w:sz w:val="24"/>
        </w:rPr>
        <w:t>en</w:t>
      </w:r>
      <w:r>
        <w:rPr>
          <w:spacing w:val="-11"/>
          <w:sz w:val="24"/>
        </w:rPr>
        <w:t> </w:t>
      </w:r>
      <w:r>
        <w:rPr>
          <w:sz w:val="24"/>
        </w:rPr>
        <w:t>materia</w:t>
      </w:r>
      <w:r>
        <w:rPr>
          <w:spacing w:val="-12"/>
          <w:sz w:val="24"/>
        </w:rPr>
        <w:t> </w:t>
      </w:r>
      <w:r>
        <w:rPr>
          <w:sz w:val="24"/>
        </w:rPr>
        <w:t>de</w:t>
      </w:r>
      <w:r>
        <w:rPr>
          <w:spacing w:val="-11"/>
          <w:sz w:val="24"/>
        </w:rPr>
        <w:t> </w:t>
      </w:r>
      <w:r>
        <w:rPr>
          <w:sz w:val="24"/>
        </w:rPr>
        <w:t>riesgos</w:t>
      </w:r>
      <w:r>
        <w:rPr>
          <w:spacing w:val="-12"/>
          <w:sz w:val="24"/>
        </w:rPr>
        <w:t> </w:t>
      </w:r>
      <w:r>
        <w:rPr>
          <w:sz w:val="24"/>
        </w:rPr>
        <w:t>penales</w:t>
      </w:r>
      <w:r>
        <w:rPr>
          <w:spacing w:val="-12"/>
          <w:sz w:val="24"/>
        </w:rPr>
        <w:t> </w:t>
      </w:r>
      <w:r>
        <w:rPr>
          <w:sz w:val="24"/>
        </w:rPr>
        <w:t>y</w:t>
      </w:r>
      <w:r>
        <w:rPr>
          <w:spacing w:val="-11"/>
          <w:sz w:val="24"/>
        </w:rPr>
        <w:t> </w:t>
      </w:r>
      <w:r>
        <w:rPr>
          <w:sz w:val="24"/>
        </w:rPr>
        <w:t>conductas éticas reprochables, adaptando los contenidos al público objetivo a través de los canales más eficientes para tal</w:t>
      </w:r>
      <w:r>
        <w:rPr>
          <w:spacing w:val="-1"/>
          <w:sz w:val="24"/>
        </w:rPr>
        <w:t> </w:t>
      </w:r>
      <w:r>
        <w:rPr>
          <w:sz w:val="24"/>
        </w:rPr>
        <w:t>fin.</w:t>
      </w:r>
    </w:p>
    <w:p>
      <w:pPr>
        <w:pStyle w:val="BodyText"/>
      </w:pPr>
    </w:p>
    <w:p>
      <w:pPr>
        <w:pStyle w:val="ListParagraph"/>
        <w:numPr>
          <w:ilvl w:val="1"/>
          <w:numId w:val="1"/>
        </w:numPr>
        <w:tabs>
          <w:tab w:pos="862" w:val="left" w:leader="none"/>
        </w:tabs>
        <w:spacing w:line="240" w:lineRule="auto" w:before="0" w:after="0"/>
        <w:ind w:left="861" w:right="137" w:hanging="360"/>
        <w:jc w:val="both"/>
        <w:rPr>
          <w:sz w:val="24"/>
        </w:rPr>
      </w:pPr>
      <w:r>
        <w:rPr>
          <w:sz w:val="24"/>
        </w:rPr>
        <w:t>Informar a todas las Personas Obligadas de que las infracciones de las disposiciones contenidas en el Código de Conducta y en la normativa interna del ITC implicará la adopción de medidas y en su caso la imposición de sanciones</w:t>
      </w:r>
      <w:r>
        <w:rPr>
          <w:spacing w:val="-19"/>
          <w:sz w:val="24"/>
        </w:rPr>
        <w:t> </w:t>
      </w:r>
      <w:r>
        <w:rPr>
          <w:sz w:val="24"/>
        </w:rPr>
        <w:t>disciplinarias.</w:t>
      </w:r>
    </w:p>
    <w:p>
      <w:pPr>
        <w:pStyle w:val="BodyText"/>
      </w:pPr>
    </w:p>
    <w:p>
      <w:pPr>
        <w:pStyle w:val="ListParagraph"/>
        <w:numPr>
          <w:ilvl w:val="1"/>
          <w:numId w:val="1"/>
        </w:numPr>
        <w:tabs>
          <w:tab w:pos="862" w:val="left" w:leader="none"/>
        </w:tabs>
        <w:spacing w:line="240" w:lineRule="auto" w:before="0" w:after="0"/>
        <w:ind w:left="861" w:right="136" w:hanging="360"/>
        <w:jc w:val="both"/>
        <w:rPr>
          <w:sz w:val="24"/>
        </w:rPr>
      </w:pPr>
      <w:r>
        <w:rPr>
          <w:sz w:val="24"/>
        </w:rPr>
        <w:t>Adecuar</w:t>
      </w:r>
      <w:r>
        <w:rPr>
          <w:spacing w:val="-16"/>
          <w:sz w:val="24"/>
        </w:rPr>
        <w:t> </w:t>
      </w:r>
      <w:r>
        <w:rPr>
          <w:sz w:val="24"/>
        </w:rPr>
        <w:t>las</w:t>
      </w:r>
      <w:r>
        <w:rPr>
          <w:spacing w:val="-15"/>
          <w:sz w:val="24"/>
        </w:rPr>
        <w:t> </w:t>
      </w:r>
      <w:r>
        <w:rPr>
          <w:sz w:val="24"/>
        </w:rPr>
        <w:t>medidas</w:t>
      </w:r>
      <w:r>
        <w:rPr>
          <w:spacing w:val="-15"/>
          <w:sz w:val="24"/>
        </w:rPr>
        <w:t> </w:t>
      </w:r>
      <w:r>
        <w:rPr>
          <w:sz w:val="24"/>
        </w:rPr>
        <w:t>de</w:t>
      </w:r>
      <w:r>
        <w:rPr>
          <w:spacing w:val="-15"/>
          <w:sz w:val="24"/>
        </w:rPr>
        <w:t> </w:t>
      </w:r>
      <w:r>
        <w:rPr>
          <w:sz w:val="24"/>
        </w:rPr>
        <w:t>control</w:t>
      </w:r>
      <w:r>
        <w:rPr>
          <w:spacing w:val="-16"/>
          <w:sz w:val="24"/>
        </w:rPr>
        <w:t> </w:t>
      </w:r>
      <w:r>
        <w:rPr>
          <w:sz w:val="24"/>
        </w:rPr>
        <w:t>existentes</w:t>
      </w:r>
      <w:r>
        <w:rPr>
          <w:spacing w:val="-15"/>
          <w:sz w:val="24"/>
        </w:rPr>
        <w:t> </w:t>
      </w:r>
      <w:r>
        <w:rPr>
          <w:sz w:val="24"/>
        </w:rPr>
        <w:t>a</w:t>
      </w:r>
      <w:r>
        <w:rPr>
          <w:spacing w:val="-15"/>
          <w:sz w:val="24"/>
        </w:rPr>
        <w:t> </w:t>
      </w:r>
      <w:r>
        <w:rPr>
          <w:sz w:val="24"/>
        </w:rPr>
        <w:t>los</w:t>
      </w:r>
      <w:r>
        <w:rPr>
          <w:spacing w:val="-15"/>
          <w:sz w:val="24"/>
        </w:rPr>
        <w:t> </w:t>
      </w:r>
      <w:r>
        <w:rPr>
          <w:sz w:val="24"/>
        </w:rPr>
        <w:t>procesos</w:t>
      </w:r>
      <w:r>
        <w:rPr>
          <w:spacing w:val="-15"/>
          <w:sz w:val="24"/>
        </w:rPr>
        <w:t> </w:t>
      </w:r>
      <w:r>
        <w:rPr>
          <w:sz w:val="24"/>
        </w:rPr>
        <w:t>del</w:t>
      </w:r>
      <w:r>
        <w:rPr>
          <w:spacing w:val="-16"/>
          <w:sz w:val="24"/>
        </w:rPr>
        <w:t> </w:t>
      </w:r>
      <w:r>
        <w:rPr>
          <w:sz w:val="24"/>
        </w:rPr>
        <w:t>ITC</w:t>
      </w:r>
      <w:r>
        <w:rPr>
          <w:spacing w:val="-15"/>
          <w:sz w:val="24"/>
        </w:rPr>
        <w:t> </w:t>
      </w:r>
      <w:r>
        <w:rPr>
          <w:sz w:val="24"/>
        </w:rPr>
        <w:t>para</w:t>
      </w:r>
      <w:r>
        <w:rPr>
          <w:spacing w:val="-15"/>
          <w:sz w:val="24"/>
        </w:rPr>
        <w:t> </w:t>
      </w:r>
      <w:r>
        <w:rPr>
          <w:sz w:val="24"/>
        </w:rPr>
        <w:t>prevenir</w:t>
      </w:r>
      <w:r>
        <w:rPr>
          <w:spacing w:val="-15"/>
          <w:sz w:val="24"/>
        </w:rPr>
        <w:t> </w:t>
      </w:r>
      <w:r>
        <w:rPr>
          <w:sz w:val="24"/>
        </w:rPr>
        <w:t>la</w:t>
      </w:r>
      <w:r>
        <w:rPr>
          <w:spacing w:val="-15"/>
          <w:sz w:val="24"/>
        </w:rPr>
        <w:t> </w:t>
      </w:r>
      <w:r>
        <w:rPr>
          <w:sz w:val="24"/>
        </w:rPr>
        <w:t>comisión de estos</w:t>
      </w:r>
      <w:r>
        <w:rPr>
          <w:spacing w:val="-1"/>
          <w:sz w:val="24"/>
        </w:rPr>
        <w:t> </w:t>
      </w:r>
      <w:r>
        <w:rPr>
          <w:sz w:val="24"/>
        </w:rPr>
        <w:t>delitos.</w:t>
      </w:r>
    </w:p>
    <w:p>
      <w:pPr>
        <w:pStyle w:val="BodyText"/>
        <w:spacing w:before="11"/>
        <w:rPr>
          <w:sz w:val="23"/>
        </w:rPr>
      </w:pPr>
    </w:p>
    <w:p>
      <w:pPr>
        <w:pStyle w:val="ListParagraph"/>
        <w:numPr>
          <w:ilvl w:val="1"/>
          <w:numId w:val="1"/>
        </w:numPr>
        <w:tabs>
          <w:tab w:pos="862" w:val="left" w:leader="none"/>
        </w:tabs>
        <w:spacing w:line="240" w:lineRule="auto" w:before="0" w:after="0"/>
        <w:ind w:left="861" w:right="136" w:hanging="361"/>
        <w:jc w:val="both"/>
        <w:rPr>
          <w:sz w:val="24"/>
        </w:rPr>
      </w:pPr>
      <w:r>
        <w:rPr>
          <w:sz w:val="24"/>
        </w:rPr>
        <w:t>Revisar periódicamente la efectividad de los controles implantados para minimizar el riesgo de la comisión de</w:t>
      </w:r>
      <w:r>
        <w:rPr>
          <w:spacing w:val="-2"/>
          <w:sz w:val="24"/>
        </w:rPr>
        <w:t> </w:t>
      </w:r>
      <w:r>
        <w:rPr>
          <w:sz w:val="24"/>
        </w:rPr>
        <w:t>delitos.</w:t>
      </w:r>
    </w:p>
    <w:p>
      <w:pPr>
        <w:pStyle w:val="BodyText"/>
      </w:pPr>
    </w:p>
    <w:p>
      <w:pPr>
        <w:pStyle w:val="ListParagraph"/>
        <w:numPr>
          <w:ilvl w:val="1"/>
          <w:numId w:val="1"/>
        </w:numPr>
        <w:tabs>
          <w:tab w:pos="862" w:val="left" w:leader="none"/>
        </w:tabs>
        <w:spacing w:line="240" w:lineRule="auto" w:before="1" w:after="0"/>
        <w:ind w:left="861" w:right="136" w:hanging="360"/>
        <w:jc w:val="both"/>
        <w:rPr>
          <w:sz w:val="24"/>
        </w:rPr>
      </w:pPr>
      <w:r>
        <w:rPr>
          <w:sz w:val="24"/>
        </w:rPr>
        <w:t>Supervisar</w:t>
      </w:r>
      <w:r>
        <w:rPr>
          <w:spacing w:val="-10"/>
          <w:sz w:val="24"/>
        </w:rPr>
        <w:t> </w:t>
      </w:r>
      <w:r>
        <w:rPr>
          <w:sz w:val="24"/>
        </w:rPr>
        <w:t>y</w:t>
      </w:r>
      <w:r>
        <w:rPr>
          <w:spacing w:val="-9"/>
          <w:sz w:val="24"/>
        </w:rPr>
        <w:t> </w:t>
      </w:r>
      <w:r>
        <w:rPr>
          <w:sz w:val="24"/>
        </w:rPr>
        <w:t>mantener</w:t>
      </w:r>
      <w:r>
        <w:rPr>
          <w:spacing w:val="-9"/>
          <w:sz w:val="24"/>
        </w:rPr>
        <w:t> </w:t>
      </w:r>
      <w:r>
        <w:rPr>
          <w:sz w:val="24"/>
        </w:rPr>
        <w:t>el</w:t>
      </w:r>
      <w:r>
        <w:rPr>
          <w:spacing w:val="-9"/>
          <w:sz w:val="24"/>
        </w:rPr>
        <w:t> </w:t>
      </w:r>
      <w:r>
        <w:rPr>
          <w:sz w:val="24"/>
        </w:rPr>
        <w:t>correcto</w:t>
      </w:r>
      <w:r>
        <w:rPr>
          <w:spacing w:val="-9"/>
          <w:sz w:val="24"/>
        </w:rPr>
        <w:t> </w:t>
      </w:r>
      <w:r>
        <w:rPr>
          <w:sz w:val="24"/>
        </w:rPr>
        <w:t>funcionamiento</w:t>
      </w:r>
      <w:r>
        <w:rPr>
          <w:spacing w:val="-9"/>
          <w:sz w:val="24"/>
        </w:rPr>
        <w:t> </w:t>
      </w:r>
      <w:r>
        <w:rPr>
          <w:sz w:val="24"/>
        </w:rPr>
        <w:t>del</w:t>
      </w:r>
      <w:r>
        <w:rPr>
          <w:spacing w:val="-9"/>
          <w:sz w:val="24"/>
        </w:rPr>
        <w:t> </w:t>
      </w:r>
      <w:r>
        <w:rPr>
          <w:sz w:val="24"/>
        </w:rPr>
        <w:t>Sistema</w:t>
      </w:r>
      <w:r>
        <w:rPr>
          <w:spacing w:val="-9"/>
          <w:sz w:val="24"/>
        </w:rPr>
        <w:t> </w:t>
      </w:r>
      <w:r>
        <w:rPr>
          <w:sz w:val="24"/>
        </w:rPr>
        <w:t>de</w:t>
      </w:r>
      <w:r>
        <w:rPr>
          <w:spacing w:val="-9"/>
          <w:sz w:val="24"/>
        </w:rPr>
        <w:t> </w:t>
      </w:r>
      <w:r>
        <w:rPr>
          <w:sz w:val="24"/>
        </w:rPr>
        <w:t>Gestión</w:t>
      </w:r>
      <w:r>
        <w:rPr>
          <w:spacing w:val="-9"/>
          <w:sz w:val="24"/>
        </w:rPr>
        <w:t> </w:t>
      </w:r>
      <w:r>
        <w:rPr>
          <w:sz w:val="24"/>
        </w:rPr>
        <w:t>del</w:t>
      </w:r>
      <w:r>
        <w:rPr>
          <w:spacing w:val="-9"/>
          <w:sz w:val="24"/>
        </w:rPr>
        <w:t> </w:t>
      </w:r>
      <w:r>
        <w:rPr>
          <w:sz w:val="24"/>
        </w:rPr>
        <w:t>Compliance Penal implantado, adaptándolo a los cambios en la organización del ITC y a las modificaciones que se produzcan en la legislación</w:t>
      </w:r>
      <w:r>
        <w:rPr>
          <w:spacing w:val="-6"/>
          <w:sz w:val="24"/>
        </w:rPr>
        <w:t> </w:t>
      </w:r>
      <w:r>
        <w:rPr>
          <w:sz w:val="24"/>
        </w:rPr>
        <w:t>vigente.</w:t>
      </w:r>
    </w:p>
    <w:p>
      <w:pPr>
        <w:pStyle w:val="BodyText"/>
        <w:spacing w:before="11"/>
        <w:rPr>
          <w:sz w:val="23"/>
        </w:rPr>
      </w:pPr>
    </w:p>
    <w:p>
      <w:pPr>
        <w:pStyle w:val="ListParagraph"/>
        <w:numPr>
          <w:ilvl w:val="1"/>
          <w:numId w:val="1"/>
        </w:numPr>
        <w:tabs>
          <w:tab w:pos="862" w:val="left" w:leader="none"/>
        </w:tabs>
        <w:spacing w:line="240" w:lineRule="auto" w:before="0" w:after="0"/>
        <w:ind w:left="861" w:right="137" w:hanging="360"/>
        <w:jc w:val="both"/>
        <w:rPr>
          <w:sz w:val="24"/>
        </w:rPr>
      </w:pPr>
      <w:r>
        <w:rPr>
          <w:sz w:val="24"/>
        </w:rPr>
        <w:t>Informar periódicamente a los Órganos de Gestión y Dirección del ITC sobre el cumplimiento de objetivos, incidencias, propuesta de mejoras y evolución del sistema de gestión del Compliance Penal del</w:t>
      </w:r>
      <w:r>
        <w:rPr>
          <w:spacing w:val="-2"/>
          <w:sz w:val="24"/>
        </w:rPr>
        <w:t> </w:t>
      </w:r>
      <w:r>
        <w:rPr>
          <w:sz w:val="24"/>
        </w:rPr>
        <w:t>ITC.</w:t>
      </w:r>
    </w:p>
    <w:p>
      <w:pPr>
        <w:pStyle w:val="BodyText"/>
      </w:pPr>
    </w:p>
    <w:p>
      <w:pPr>
        <w:pStyle w:val="Heading1"/>
        <w:tabs>
          <w:tab w:pos="573" w:val="left" w:leader="none"/>
          <w:tab w:pos="8675" w:val="left" w:leader="none"/>
        </w:tabs>
        <w:rPr>
          <w:u w:val="none"/>
        </w:rPr>
      </w:pPr>
      <w:bookmarkStart w:name="_TOC_250002" w:id="5"/>
      <w:r>
        <w:rPr>
          <w:color w:val="00B0F0"/>
          <w:spacing w:val="-25"/>
          <w:w w:val="99"/>
          <w:u w:val="single" w:color="6CB5D1"/>
        </w:rPr>
        <w:t> </w:t>
      </w:r>
      <w:r>
        <w:rPr>
          <w:color w:val="00B0F0"/>
          <w:u w:val="single" w:color="6CB5D1"/>
        </w:rPr>
        <w:t>5</w:t>
        <w:tab/>
        <w:t>Estructura del Programa para la Prevención de la Comisión de</w:t>
      </w:r>
      <w:r>
        <w:rPr>
          <w:color w:val="00B0F0"/>
          <w:spacing w:val="-15"/>
          <w:u w:val="single" w:color="6CB5D1"/>
        </w:rPr>
        <w:t> </w:t>
      </w:r>
      <w:bookmarkEnd w:id="5"/>
      <w:r>
        <w:rPr>
          <w:color w:val="00B0F0"/>
          <w:u w:val="single" w:color="6CB5D1"/>
        </w:rPr>
        <w:t>Delitos</w:t>
        <w:tab/>
      </w:r>
    </w:p>
    <w:p>
      <w:pPr>
        <w:pStyle w:val="BodyText"/>
        <w:spacing w:before="5"/>
        <w:rPr>
          <w:b/>
          <w:sz w:val="16"/>
        </w:rPr>
      </w:pPr>
    </w:p>
    <w:p>
      <w:pPr>
        <w:pStyle w:val="BodyText"/>
        <w:spacing w:before="97"/>
        <w:ind w:left="141" w:right="122"/>
      </w:pPr>
      <w:r>
        <w:rPr/>
        <w:t>El</w:t>
      </w:r>
      <w:r>
        <w:rPr>
          <w:spacing w:val="-17"/>
        </w:rPr>
        <w:t> </w:t>
      </w:r>
      <w:r>
        <w:rPr/>
        <w:t>Sistema</w:t>
      </w:r>
      <w:r>
        <w:rPr>
          <w:spacing w:val="-17"/>
        </w:rPr>
        <w:t> </w:t>
      </w:r>
      <w:r>
        <w:rPr/>
        <w:t>de</w:t>
      </w:r>
      <w:r>
        <w:rPr>
          <w:spacing w:val="-17"/>
        </w:rPr>
        <w:t> </w:t>
      </w:r>
      <w:r>
        <w:rPr/>
        <w:t>Gestión</w:t>
      </w:r>
      <w:r>
        <w:rPr>
          <w:spacing w:val="-16"/>
        </w:rPr>
        <w:t> </w:t>
      </w:r>
      <w:r>
        <w:rPr/>
        <w:t>de</w:t>
      </w:r>
      <w:r>
        <w:rPr>
          <w:spacing w:val="-17"/>
        </w:rPr>
        <w:t> </w:t>
      </w:r>
      <w:r>
        <w:rPr/>
        <w:t>Compliance</w:t>
      </w:r>
      <w:r>
        <w:rPr>
          <w:spacing w:val="-17"/>
        </w:rPr>
        <w:t> </w:t>
      </w:r>
      <w:r>
        <w:rPr/>
        <w:t>Penal</w:t>
      </w:r>
      <w:r>
        <w:rPr>
          <w:spacing w:val="-16"/>
        </w:rPr>
        <w:t> </w:t>
      </w:r>
      <w:r>
        <w:rPr/>
        <w:t>del</w:t>
      </w:r>
      <w:r>
        <w:rPr>
          <w:spacing w:val="-16"/>
        </w:rPr>
        <w:t> </w:t>
      </w:r>
      <w:r>
        <w:rPr/>
        <w:t>ITC</w:t>
      </w:r>
      <w:r>
        <w:rPr>
          <w:spacing w:val="-17"/>
        </w:rPr>
        <w:t> </w:t>
      </w:r>
      <w:r>
        <w:rPr/>
        <w:t>se</w:t>
      </w:r>
      <w:r>
        <w:rPr>
          <w:spacing w:val="-17"/>
        </w:rPr>
        <w:t> </w:t>
      </w:r>
      <w:r>
        <w:rPr/>
        <w:t>compone</w:t>
      </w:r>
      <w:r>
        <w:rPr>
          <w:spacing w:val="-16"/>
        </w:rPr>
        <w:t> </w:t>
      </w:r>
      <w:r>
        <w:rPr/>
        <w:t>de</w:t>
      </w:r>
      <w:r>
        <w:rPr>
          <w:spacing w:val="-17"/>
        </w:rPr>
        <w:t> </w:t>
      </w:r>
      <w:r>
        <w:rPr/>
        <w:t>un</w:t>
      </w:r>
      <w:r>
        <w:rPr>
          <w:spacing w:val="-17"/>
        </w:rPr>
        <w:t> </w:t>
      </w:r>
      <w:r>
        <w:rPr/>
        <w:t>conjunto</w:t>
      </w:r>
      <w:r>
        <w:rPr>
          <w:spacing w:val="-16"/>
        </w:rPr>
        <w:t> </w:t>
      </w:r>
      <w:r>
        <w:rPr/>
        <w:t>de</w:t>
      </w:r>
      <w:r>
        <w:rPr>
          <w:spacing w:val="-17"/>
        </w:rPr>
        <w:t> </w:t>
      </w:r>
      <w:r>
        <w:rPr/>
        <w:t>procedimientos y</w:t>
      </w:r>
      <w:r>
        <w:rPr>
          <w:spacing w:val="11"/>
        </w:rPr>
        <w:t> </w:t>
      </w:r>
      <w:r>
        <w:rPr/>
        <w:t>controles</w:t>
      </w:r>
      <w:r>
        <w:rPr>
          <w:spacing w:val="11"/>
        </w:rPr>
        <w:t> </w:t>
      </w:r>
      <w:r>
        <w:rPr/>
        <w:t>que</w:t>
      </w:r>
      <w:r>
        <w:rPr>
          <w:spacing w:val="12"/>
        </w:rPr>
        <w:t> </w:t>
      </w:r>
      <w:r>
        <w:rPr/>
        <w:t>mitigan,</w:t>
      </w:r>
      <w:r>
        <w:rPr>
          <w:spacing w:val="13"/>
        </w:rPr>
        <w:t> </w:t>
      </w:r>
      <w:r>
        <w:rPr/>
        <w:t>previenen</w:t>
      </w:r>
      <w:r>
        <w:rPr>
          <w:spacing w:val="11"/>
        </w:rPr>
        <w:t> </w:t>
      </w:r>
      <w:r>
        <w:rPr/>
        <w:t>y</w:t>
      </w:r>
      <w:r>
        <w:rPr>
          <w:spacing w:val="13"/>
        </w:rPr>
        <w:t> </w:t>
      </w:r>
      <w:r>
        <w:rPr/>
        <w:t>evitan</w:t>
      </w:r>
      <w:r>
        <w:rPr>
          <w:spacing w:val="11"/>
        </w:rPr>
        <w:t> </w:t>
      </w:r>
      <w:r>
        <w:rPr/>
        <w:t>la</w:t>
      </w:r>
      <w:r>
        <w:rPr>
          <w:spacing w:val="12"/>
        </w:rPr>
        <w:t> </w:t>
      </w:r>
      <w:r>
        <w:rPr/>
        <w:t>comisión</w:t>
      </w:r>
      <w:r>
        <w:rPr>
          <w:spacing w:val="11"/>
        </w:rPr>
        <w:t> </w:t>
      </w:r>
      <w:r>
        <w:rPr/>
        <w:t>de</w:t>
      </w:r>
      <w:r>
        <w:rPr>
          <w:spacing w:val="12"/>
        </w:rPr>
        <w:t> </w:t>
      </w:r>
      <w:r>
        <w:rPr/>
        <w:t>riesgos</w:t>
      </w:r>
      <w:r>
        <w:rPr>
          <w:spacing w:val="11"/>
        </w:rPr>
        <w:t> </w:t>
      </w:r>
      <w:r>
        <w:rPr/>
        <w:t>penales</w:t>
      </w:r>
      <w:r>
        <w:rPr>
          <w:spacing w:val="11"/>
        </w:rPr>
        <w:t> </w:t>
      </w:r>
      <w:r>
        <w:rPr/>
        <w:t>y</w:t>
      </w:r>
      <w:r>
        <w:rPr>
          <w:spacing w:val="12"/>
        </w:rPr>
        <w:t> </w:t>
      </w:r>
      <w:r>
        <w:rPr/>
        <w:t>conductas</w:t>
      </w:r>
    </w:p>
    <w:p>
      <w:pPr>
        <w:spacing w:after="0"/>
        <w:sectPr>
          <w:pgSz w:w="11910" w:h="16840"/>
          <w:pgMar w:header="709" w:footer="0" w:top="1900" w:bottom="280" w:left="1560" w:right="1560"/>
        </w:sectPr>
      </w:pPr>
    </w:p>
    <w:p>
      <w:pPr>
        <w:pStyle w:val="BodyText"/>
        <w:rPr>
          <w:sz w:val="17"/>
        </w:rPr>
      </w:pPr>
    </w:p>
    <w:p>
      <w:pPr>
        <w:pStyle w:val="BodyText"/>
        <w:spacing w:before="97"/>
        <w:ind w:left="141" w:right="138"/>
        <w:jc w:val="both"/>
      </w:pPr>
      <w:r>
        <w:rPr/>
        <w:t>reprochables o contrarias al Ordenamiento Jurídico. Para ello, fundamentalmente cuenta con los siguientes elementos:</w:t>
      </w:r>
    </w:p>
    <w:p>
      <w:pPr>
        <w:pStyle w:val="BodyText"/>
        <w:spacing w:before="11"/>
        <w:rPr>
          <w:sz w:val="23"/>
        </w:rPr>
      </w:pPr>
    </w:p>
    <w:p>
      <w:pPr>
        <w:pStyle w:val="BodyText"/>
        <w:ind w:left="141" w:right="137"/>
        <w:jc w:val="both"/>
      </w:pPr>
      <w:r>
        <w:rPr/>
        <w:t>El </w:t>
      </w:r>
      <w:r>
        <w:rPr>
          <w:b/>
        </w:rPr>
        <w:t>Código de Conducta</w:t>
      </w:r>
      <w:r>
        <w:rPr/>
        <w:t>: es el documento de obligado cumplimiento que persigue ser el modelo de organización y gestión del ITC y establece los estándares de ética y cumplimiento que ITC exige al personal de su organización, al cual además se incorporaran, tanto las medidas de vigilancia y control idóneas para prevenir delitos (o reducir de forma significativa el riesgo de su comisión) como un sistema disciplinario y sancionador que sanciona adecuadamente el incumplimiento de las medidas y controles.</w:t>
      </w:r>
    </w:p>
    <w:p>
      <w:pPr>
        <w:pStyle w:val="BodyText"/>
      </w:pPr>
    </w:p>
    <w:p>
      <w:pPr>
        <w:pStyle w:val="BodyText"/>
        <w:spacing w:before="1"/>
        <w:ind w:left="141" w:right="137"/>
        <w:jc w:val="both"/>
      </w:pPr>
      <w:r>
        <w:rPr/>
        <w:t>El contenido de este Código de Conducta es extenso y en él se contienen los principios éticos y de conducta a cumplir por todas las Personas Obligadas, los cuales además son desarrollados y complementados por políticas, normas y procedimientos también, de obligado cumplimiento.</w:t>
      </w:r>
    </w:p>
    <w:p>
      <w:pPr>
        <w:pStyle w:val="BodyText"/>
        <w:spacing w:before="11"/>
        <w:rPr>
          <w:sz w:val="23"/>
        </w:rPr>
      </w:pPr>
    </w:p>
    <w:p>
      <w:pPr>
        <w:pStyle w:val="BodyText"/>
        <w:ind w:left="141" w:right="136" w:hanging="1"/>
        <w:jc w:val="both"/>
      </w:pPr>
      <w:r>
        <w:rPr/>
        <w:t>El</w:t>
      </w:r>
      <w:r>
        <w:rPr>
          <w:spacing w:val="-13"/>
        </w:rPr>
        <w:t> </w:t>
      </w:r>
      <w:r>
        <w:rPr>
          <w:b/>
        </w:rPr>
        <w:t>Canal</w:t>
      </w:r>
      <w:r>
        <w:rPr>
          <w:b/>
          <w:spacing w:val="-12"/>
        </w:rPr>
        <w:t> </w:t>
      </w:r>
      <w:r>
        <w:rPr>
          <w:b/>
        </w:rPr>
        <w:t>de</w:t>
      </w:r>
      <w:r>
        <w:rPr>
          <w:b/>
          <w:spacing w:val="-12"/>
        </w:rPr>
        <w:t> </w:t>
      </w:r>
      <w:r>
        <w:rPr>
          <w:b/>
        </w:rPr>
        <w:t>Denuncias</w:t>
      </w:r>
      <w:r>
        <w:rPr/>
        <w:t>:</w:t>
      </w:r>
      <w:r>
        <w:rPr>
          <w:spacing w:val="-11"/>
        </w:rPr>
        <w:t> </w:t>
      </w:r>
      <w:r>
        <w:rPr/>
        <w:t>es</w:t>
      </w:r>
      <w:r>
        <w:rPr>
          <w:spacing w:val="-12"/>
        </w:rPr>
        <w:t> </w:t>
      </w:r>
      <w:r>
        <w:rPr/>
        <w:t>el</w:t>
      </w:r>
      <w:r>
        <w:rPr>
          <w:spacing w:val="-12"/>
        </w:rPr>
        <w:t> </w:t>
      </w:r>
      <w:r>
        <w:rPr/>
        <w:t>medio</w:t>
      </w:r>
      <w:r>
        <w:rPr>
          <w:spacing w:val="-11"/>
        </w:rPr>
        <w:t> </w:t>
      </w:r>
      <w:r>
        <w:rPr/>
        <w:t>establecido</w:t>
      </w:r>
      <w:r>
        <w:rPr>
          <w:spacing w:val="-12"/>
        </w:rPr>
        <w:t> </w:t>
      </w:r>
      <w:r>
        <w:rPr/>
        <w:t>para</w:t>
      </w:r>
      <w:r>
        <w:rPr>
          <w:spacing w:val="-12"/>
        </w:rPr>
        <w:t> </w:t>
      </w:r>
      <w:r>
        <w:rPr/>
        <w:t>permitir</w:t>
      </w:r>
      <w:r>
        <w:rPr>
          <w:spacing w:val="-11"/>
        </w:rPr>
        <w:t> </w:t>
      </w:r>
      <w:r>
        <w:rPr/>
        <w:t>a</w:t>
      </w:r>
      <w:r>
        <w:rPr>
          <w:spacing w:val="-12"/>
        </w:rPr>
        <w:t> </w:t>
      </w:r>
      <w:r>
        <w:rPr/>
        <w:t>las</w:t>
      </w:r>
      <w:r>
        <w:rPr>
          <w:spacing w:val="-12"/>
        </w:rPr>
        <w:t> </w:t>
      </w:r>
      <w:r>
        <w:rPr/>
        <w:t>Personas</w:t>
      </w:r>
      <w:r>
        <w:rPr>
          <w:spacing w:val="-11"/>
        </w:rPr>
        <w:t> </w:t>
      </w:r>
      <w:r>
        <w:rPr/>
        <w:t>Obligadas</w:t>
      </w:r>
      <w:r>
        <w:rPr>
          <w:spacing w:val="-12"/>
        </w:rPr>
        <w:t> </w:t>
      </w:r>
      <w:r>
        <w:rPr/>
        <w:t>a</w:t>
      </w:r>
      <w:r>
        <w:rPr>
          <w:spacing w:val="-12"/>
        </w:rPr>
        <w:t> </w:t>
      </w:r>
      <w:r>
        <w:rPr/>
        <w:t>notificar la existencia de irregularidades de las que tengan conocimiento, entendiendo estas como incumplimientos</w:t>
      </w:r>
      <w:r>
        <w:rPr>
          <w:spacing w:val="-10"/>
        </w:rPr>
        <w:t> </w:t>
      </w:r>
      <w:r>
        <w:rPr/>
        <w:t>tanto</w:t>
      </w:r>
      <w:r>
        <w:rPr>
          <w:spacing w:val="-9"/>
        </w:rPr>
        <w:t> </w:t>
      </w:r>
      <w:r>
        <w:rPr/>
        <w:t>del</w:t>
      </w:r>
      <w:r>
        <w:rPr>
          <w:spacing w:val="-9"/>
        </w:rPr>
        <w:t> </w:t>
      </w:r>
      <w:r>
        <w:rPr/>
        <w:t>Código</w:t>
      </w:r>
      <w:r>
        <w:rPr>
          <w:spacing w:val="-9"/>
        </w:rPr>
        <w:t> </w:t>
      </w:r>
      <w:r>
        <w:rPr/>
        <w:t>de</w:t>
      </w:r>
      <w:r>
        <w:rPr>
          <w:spacing w:val="-9"/>
        </w:rPr>
        <w:t> </w:t>
      </w:r>
      <w:r>
        <w:rPr/>
        <w:t>Conducta</w:t>
      </w:r>
      <w:r>
        <w:rPr>
          <w:spacing w:val="-9"/>
        </w:rPr>
        <w:t> </w:t>
      </w:r>
      <w:r>
        <w:rPr/>
        <w:t>como</w:t>
      </w:r>
      <w:r>
        <w:rPr>
          <w:spacing w:val="-9"/>
        </w:rPr>
        <w:t> </w:t>
      </w:r>
      <w:r>
        <w:rPr/>
        <w:t>de</w:t>
      </w:r>
      <w:r>
        <w:rPr>
          <w:spacing w:val="-9"/>
        </w:rPr>
        <w:t> </w:t>
      </w:r>
      <w:r>
        <w:rPr/>
        <w:t>cualquier</w:t>
      </w:r>
      <w:r>
        <w:rPr>
          <w:spacing w:val="-9"/>
        </w:rPr>
        <w:t> </w:t>
      </w:r>
      <w:r>
        <w:rPr/>
        <w:t>otra</w:t>
      </w:r>
      <w:r>
        <w:rPr>
          <w:spacing w:val="-9"/>
        </w:rPr>
        <w:t> </w:t>
      </w:r>
      <w:r>
        <w:rPr/>
        <w:t>norma</w:t>
      </w:r>
      <w:r>
        <w:rPr>
          <w:spacing w:val="-9"/>
        </w:rPr>
        <w:t> </w:t>
      </w:r>
      <w:r>
        <w:rPr/>
        <w:t>interna</w:t>
      </w:r>
      <w:r>
        <w:rPr>
          <w:spacing w:val="-9"/>
        </w:rPr>
        <w:t> </w:t>
      </w:r>
      <w:r>
        <w:rPr/>
        <w:t>del</w:t>
      </w:r>
      <w:r>
        <w:rPr>
          <w:spacing w:val="-9"/>
        </w:rPr>
        <w:t> </w:t>
      </w:r>
      <w:r>
        <w:rPr/>
        <w:t>ITC</w:t>
      </w:r>
      <w:r>
        <w:rPr>
          <w:spacing w:val="-9"/>
        </w:rPr>
        <w:t> </w:t>
      </w:r>
      <w:r>
        <w:rPr/>
        <w:t>y</w:t>
      </w:r>
      <w:r>
        <w:rPr>
          <w:spacing w:val="-9"/>
        </w:rPr>
        <w:t> </w:t>
      </w:r>
      <w:r>
        <w:rPr/>
        <w:t>por supuesto normas legales de cualquier naturaleza, en particular las normas</w:t>
      </w:r>
      <w:r>
        <w:rPr>
          <w:spacing w:val="-2"/>
        </w:rPr>
        <w:t> </w:t>
      </w:r>
      <w:r>
        <w:rPr/>
        <w:t>penales.</w:t>
      </w:r>
    </w:p>
    <w:p>
      <w:pPr>
        <w:pStyle w:val="BodyText"/>
        <w:spacing w:before="11"/>
        <w:rPr>
          <w:sz w:val="23"/>
        </w:rPr>
      </w:pPr>
    </w:p>
    <w:p>
      <w:pPr>
        <w:pStyle w:val="BodyText"/>
        <w:ind w:left="141" w:right="136"/>
        <w:jc w:val="both"/>
      </w:pPr>
      <w:r>
        <w:rPr/>
        <w:t>Este Canal se diseña como un mecanismo indispensable para que las Personas Obligadas informen de malas conductas o conductas contrarias al Código de Conducta, normas y principios éticos, normas internas del ITC y legislación vigente, en particular, hechos presuntamente delictivos, todo ello, de manera interna a través de un canal específico y sin perjuicio de que las personas</w:t>
      </w:r>
      <w:r>
        <w:rPr>
          <w:spacing w:val="-9"/>
        </w:rPr>
        <w:t> </w:t>
      </w:r>
      <w:r>
        <w:rPr/>
        <w:t>denunciantes</w:t>
      </w:r>
      <w:r>
        <w:rPr>
          <w:spacing w:val="-9"/>
        </w:rPr>
        <w:t> </w:t>
      </w:r>
      <w:r>
        <w:rPr/>
        <w:t>deseen</w:t>
      </w:r>
      <w:r>
        <w:rPr>
          <w:spacing w:val="-9"/>
        </w:rPr>
        <w:t> </w:t>
      </w:r>
      <w:r>
        <w:rPr/>
        <w:t>utilizar</w:t>
      </w:r>
      <w:r>
        <w:rPr>
          <w:spacing w:val="-9"/>
        </w:rPr>
        <w:t> </w:t>
      </w:r>
      <w:r>
        <w:rPr/>
        <w:t>otros</w:t>
      </w:r>
      <w:r>
        <w:rPr>
          <w:spacing w:val="-9"/>
        </w:rPr>
        <w:t> </w:t>
      </w:r>
      <w:r>
        <w:rPr/>
        <w:t>canales</w:t>
      </w:r>
      <w:r>
        <w:rPr>
          <w:spacing w:val="-8"/>
        </w:rPr>
        <w:t> </w:t>
      </w:r>
      <w:r>
        <w:rPr/>
        <w:t>de</w:t>
      </w:r>
      <w:r>
        <w:rPr>
          <w:spacing w:val="-9"/>
        </w:rPr>
        <w:t> </w:t>
      </w:r>
      <w:r>
        <w:rPr/>
        <w:t>información</w:t>
      </w:r>
      <w:r>
        <w:rPr>
          <w:spacing w:val="-8"/>
        </w:rPr>
        <w:t> </w:t>
      </w:r>
      <w:r>
        <w:rPr/>
        <w:t>habituales</w:t>
      </w:r>
      <w:r>
        <w:rPr>
          <w:spacing w:val="-9"/>
        </w:rPr>
        <w:t> </w:t>
      </w:r>
      <w:r>
        <w:rPr/>
        <w:t>de</w:t>
      </w:r>
      <w:r>
        <w:rPr>
          <w:spacing w:val="-8"/>
        </w:rPr>
        <w:t> </w:t>
      </w:r>
      <w:r>
        <w:rPr/>
        <w:t>la</w:t>
      </w:r>
      <w:r>
        <w:rPr>
          <w:spacing w:val="-9"/>
        </w:rPr>
        <w:t> </w:t>
      </w:r>
      <w:r>
        <w:rPr/>
        <w:t>organización tal como, teléfono o correo</w:t>
      </w:r>
      <w:r>
        <w:rPr>
          <w:spacing w:val="-2"/>
        </w:rPr>
        <w:t> </w:t>
      </w:r>
      <w:r>
        <w:rPr/>
        <w:t>electrónico.</w:t>
      </w:r>
    </w:p>
    <w:p>
      <w:pPr>
        <w:pStyle w:val="BodyText"/>
      </w:pPr>
    </w:p>
    <w:p>
      <w:pPr>
        <w:pStyle w:val="BodyText"/>
        <w:spacing w:before="1"/>
        <w:ind w:left="141" w:right="137"/>
        <w:jc w:val="both"/>
      </w:pPr>
      <w:r>
        <w:rPr/>
        <w:t>El canal de denuncias se define en el ITC como medio específico para informar de dichas conductas</w:t>
      </w:r>
      <w:r>
        <w:rPr>
          <w:spacing w:val="-19"/>
        </w:rPr>
        <w:t> </w:t>
      </w:r>
      <w:r>
        <w:rPr/>
        <w:t>contrarias</w:t>
      </w:r>
      <w:r>
        <w:rPr>
          <w:spacing w:val="-18"/>
        </w:rPr>
        <w:t> </w:t>
      </w:r>
      <w:r>
        <w:rPr/>
        <w:t>a</w:t>
      </w:r>
      <w:r>
        <w:rPr>
          <w:spacing w:val="-19"/>
        </w:rPr>
        <w:t> </w:t>
      </w:r>
      <w:r>
        <w:rPr/>
        <w:t>las</w:t>
      </w:r>
      <w:r>
        <w:rPr>
          <w:spacing w:val="-18"/>
        </w:rPr>
        <w:t> </w:t>
      </w:r>
      <w:r>
        <w:rPr/>
        <w:t>normas</w:t>
      </w:r>
      <w:r>
        <w:rPr>
          <w:spacing w:val="-19"/>
        </w:rPr>
        <w:t> </w:t>
      </w:r>
      <w:r>
        <w:rPr/>
        <w:t>indicadas</w:t>
      </w:r>
      <w:r>
        <w:rPr>
          <w:spacing w:val="-18"/>
        </w:rPr>
        <w:t> </w:t>
      </w:r>
      <w:r>
        <w:rPr/>
        <w:t>y</w:t>
      </w:r>
      <w:r>
        <w:rPr>
          <w:spacing w:val="-18"/>
        </w:rPr>
        <w:t> </w:t>
      </w:r>
      <w:r>
        <w:rPr/>
        <w:t>estas</w:t>
      </w:r>
      <w:r>
        <w:rPr>
          <w:spacing w:val="-19"/>
        </w:rPr>
        <w:t> </w:t>
      </w:r>
      <w:r>
        <w:rPr/>
        <w:t>denuncias</w:t>
      </w:r>
      <w:r>
        <w:rPr>
          <w:spacing w:val="-18"/>
        </w:rPr>
        <w:t> </w:t>
      </w:r>
      <w:r>
        <w:rPr/>
        <w:t>o</w:t>
      </w:r>
      <w:r>
        <w:rPr>
          <w:spacing w:val="-19"/>
        </w:rPr>
        <w:t> </w:t>
      </w:r>
      <w:r>
        <w:rPr/>
        <w:t>comunicaciones</w:t>
      </w:r>
      <w:r>
        <w:rPr>
          <w:spacing w:val="-17"/>
        </w:rPr>
        <w:t> </w:t>
      </w:r>
      <w:r>
        <w:rPr/>
        <w:t>son</w:t>
      </w:r>
      <w:r>
        <w:rPr>
          <w:spacing w:val="-19"/>
        </w:rPr>
        <w:t> </w:t>
      </w:r>
      <w:r>
        <w:rPr/>
        <w:t>investigadas por el Órgano de</w:t>
      </w:r>
      <w:r>
        <w:rPr>
          <w:spacing w:val="-1"/>
        </w:rPr>
        <w:t> </w:t>
      </w:r>
      <w:r>
        <w:rPr/>
        <w:t>Cumplimiento.</w:t>
      </w:r>
    </w:p>
    <w:p>
      <w:pPr>
        <w:pStyle w:val="BodyText"/>
        <w:spacing w:before="11"/>
        <w:rPr>
          <w:sz w:val="23"/>
        </w:rPr>
      </w:pPr>
    </w:p>
    <w:p>
      <w:pPr>
        <w:pStyle w:val="BodyText"/>
        <w:ind w:left="141" w:right="136"/>
        <w:jc w:val="both"/>
      </w:pPr>
      <w:r>
        <w:rPr/>
        <w:t>El </w:t>
      </w:r>
      <w:r>
        <w:rPr>
          <w:b/>
        </w:rPr>
        <w:t>Órgano de Cumplimiento</w:t>
      </w:r>
      <w:r>
        <w:rPr/>
        <w:t>: es el órgano con poderes autónomos de iniciativa y control que tiene, entre otras funciones, la responsabilidad de supervisar el funcionamiento y observancia del sistema de gestión del Compliance Penal del ITC lo que supone necesariamente llevar a cabo el control y seguimiento del funcionamiento de los procedimientos y procesos implantados para el cumplimiento del Programa para la Prevención de la Comisión de Delitos y del Código de Conducta.</w:t>
      </w:r>
    </w:p>
    <w:p>
      <w:pPr>
        <w:pStyle w:val="BodyText"/>
        <w:spacing w:before="11"/>
        <w:rPr>
          <w:sz w:val="23"/>
        </w:rPr>
      </w:pPr>
    </w:p>
    <w:p>
      <w:pPr>
        <w:pStyle w:val="BodyText"/>
        <w:ind w:left="141" w:right="137"/>
        <w:jc w:val="both"/>
      </w:pPr>
      <w:r>
        <w:rPr/>
        <w:t>Además</w:t>
      </w:r>
      <w:r>
        <w:rPr>
          <w:spacing w:val="-9"/>
        </w:rPr>
        <w:t> </w:t>
      </w:r>
      <w:r>
        <w:rPr/>
        <w:t>tiene</w:t>
      </w:r>
      <w:r>
        <w:rPr>
          <w:spacing w:val="-9"/>
        </w:rPr>
        <w:t> </w:t>
      </w:r>
      <w:r>
        <w:rPr/>
        <w:t>una</w:t>
      </w:r>
      <w:r>
        <w:rPr>
          <w:spacing w:val="-9"/>
        </w:rPr>
        <w:t> </w:t>
      </w:r>
      <w:r>
        <w:rPr/>
        <w:t>misión</w:t>
      </w:r>
      <w:r>
        <w:rPr>
          <w:spacing w:val="-8"/>
        </w:rPr>
        <w:t> </w:t>
      </w:r>
      <w:r>
        <w:rPr/>
        <w:t>relevante</w:t>
      </w:r>
      <w:r>
        <w:rPr>
          <w:spacing w:val="-9"/>
        </w:rPr>
        <w:t> </w:t>
      </w:r>
      <w:r>
        <w:rPr/>
        <w:t>en</w:t>
      </w:r>
      <w:r>
        <w:rPr>
          <w:spacing w:val="-9"/>
        </w:rPr>
        <w:t> </w:t>
      </w:r>
      <w:r>
        <w:rPr/>
        <w:t>relación</w:t>
      </w:r>
      <w:r>
        <w:rPr>
          <w:spacing w:val="-8"/>
        </w:rPr>
        <w:t> </w:t>
      </w:r>
      <w:r>
        <w:rPr/>
        <w:t>con</w:t>
      </w:r>
      <w:r>
        <w:rPr>
          <w:spacing w:val="-7"/>
        </w:rPr>
        <w:t> </w:t>
      </w:r>
      <w:r>
        <w:rPr/>
        <w:t>la</w:t>
      </w:r>
      <w:r>
        <w:rPr>
          <w:spacing w:val="-8"/>
        </w:rPr>
        <w:t> </w:t>
      </w:r>
      <w:r>
        <w:rPr/>
        <w:t>investigación</w:t>
      </w:r>
      <w:r>
        <w:rPr>
          <w:spacing w:val="-8"/>
        </w:rPr>
        <w:t> </w:t>
      </w:r>
      <w:r>
        <w:rPr/>
        <w:t>de</w:t>
      </w:r>
      <w:r>
        <w:rPr>
          <w:spacing w:val="-8"/>
        </w:rPr>
        <w:t> </w:t>
      </w:r>
      <w:r>
        <w:rPr/>
        <w:t>las</w:t>
      </w:r>
      <w:r>
        <w:rPr>
          <w:spacing w:val="-7"/>
        </w:rPr>
        <w:t> </w:t>
      </w:r>
      <w:r>
        <w:rPr/>
        <w:t>irregularidades</w:t>
      </w:r>
      <w:r>
        <w:rPr>
          <w:spacing w:val="-8"/>
        </w:rPr>
        <w:t> </w:t>
      </w:r>
      <w:r>
        <w:rPr/>
        <w:t>que</w:t>
      </w:r>
      <w:r>
        <w:rPr>
          <w:spacing w:val="-8"/>
        </w:rPr>
        <w:t> </w:t>
      </w:r>
      <w:r>
        <w:rPr/>
        <w:t>son notificadas a través del canal de</w:t>
      </w:r>
      <w:r>
        <w:rPr>
          <w:spacing w:val="-3"/>
        </w:rPr>
        <w:t> </w:t>
      </w:r>
      <w:r>
        <w:rPr/>
        <w:t>denuncias.</w:t>
      </w:r>
    </w:p>
    <w:p>
      <w:pPr>
        <w:pStyle w:val="BodyText"/>
        <w:spacing w:before="1"/>
      </w:pPr>
    </w:p>
    <w:p>
      <w:pPr>
        <w:pStyle w:val="BodyText"/>
        <w:ind w:left="141" w:right="135"/>
        <w:jc w:val="both"/>
      </w:pPr>
      <w:r>
        <w:rPr/>
        <w:t>Para</w:t>
      </w:r>
      <w:r>
        <w:rPr>
          <w:spacing w:val="-7"/>
        </w:rPr>
        <w:t> </w:t>
      </w:r>
      <w:r>
        <w:rPr/>
        <w:t>conseguir</w:t>
      </w:r>
      <w:r>
        <w:rPr>
          <w:spacing w:val="-6"/>
        </w:rPr>
        <w:t> </w:t>
      </w:r>
      <w:r>
        <w:rPr/>
        <w:t>los</w:t>
      </w:r>
      <w:r>
        <w:rPr>
          <w:spacing w:val="-7"/>
        </w:rPr>
        <w:t> </w:t>
      </w:r>
      <w:r>
        <w:rPr/>
        <w:t>máximos</w:t>
      </w:r>
      <w:r>
        <w:rPr>
          <w:spacing w:val="-6"/>
        </w:rPr>
        <w:t> </w:t>
      </w:r>
      <w:r>
        <w:rPr/>
        <w:t>niveles</w:t>
      </w:r>
      <w:r>
        <w:rPr>
          <w:spacing w:val="-6"/>
        </w:rPr>
        <w:t> </w:t>
      </w:r>
      <w:r>
        <w:rPr/>
        <w:t>de</w:t>
      </w:r>
      <w:r>
        <w:rPr>
          <w:spacing w:val="-7"/>
        </w:rPr>
        <w:t> </w:t>
      </w:r>
      <w:r>
        <w:rPr/>
        <w:t>autonomía,</w:t>
      </w:r>
      <w:r>
        <w:rPr>
          <w:spacing w:val="-6"/>
        </w:rPr>
        <w:t> </w:t>
      </w:r>
      <w:r>
        <w:rPr/>
        <w:t>se</w:t>
      </w:r>
      <w:r>
        <w:rPr>
          <w:spacing w:val="-6"/>
        </w:rPr>
        <w:t> </w:t>
      </w:r>
      <w:r>
        <w:rPr/>
        <w:t>han</w:t>
      </w:r>
      <w:r>
        <w:rPr>
          <w:spacing w:val="-7"/>
        </w:rPr>
        <w:t> </w:t>
      </w:r>
      <w:r>
        <w:rPr/>
        <w:t>previsto</w:t>
      </w:r>
      <w:r>
        <w:rPr>
          <w:spacing w:val="-6"/>
        </w:rPr>
        <w:t> </w:t>
      </w:r>
      <w:r>
        <w:rPr/>
        <w:t>mecanismos</w:t>
      </w:r>
      <w:r>
        <w:rPr>
          <w:spacing w:val="-6"/>
        </w:rPr>
        <w:t> </w:t>
      </w:r>
      <w:r>
        <w:rPr/>
        <w:t>para</w:t>
      </w:r>
      <w:r>
        <w:rPr>
          <w:spacing w:val="-7"/>
        </w:rPr>
        <w:t> </w:t>
      </w:r>
      <w:r>
        <w:rPr/>
        <w:t>la</w:t>
      </w:r>
      <w:r>
        <w:rPr>
          <w:spacing w:val="-6"/>
        </w:rPr>
        <w:t> </w:t>
      </w:r>
      <w:r>
        <w:rPr/>
        <w:t>adecuada gestión de cualquier conflicto de interés que pudiera ocasionar el desarrollo de las funciones del Órgano de Cumplimiento, garantizando que haya una separación operacional entre el Órgano de Administración</w:t>
      </w:r>
      <w:r>
        <w:rPr>
          <w:spacing w:val="-9"/>
        </w:rPr>
        <w:t> </w:t>
      </w:r>
      <w:r>
        <w:rPr/>
        <w:t>del</w:t>
      </w:r>
      <w:r>
        <w:rPr>
          <w:spacing w:val="-8"/>
        </w:rPr>
        <w:t> </w:t>
      </w:r>
      <w:r>
        <w:rPr/>
        <w:t>ITC</w:t>
      </w:r>
      <w:r>
        <w:rPr>
          <w:spacing w:val="-8"/>
        </w:rPr>
        <w:t> </w:t>
      </w:r>
      <w:r>
        <w:rPr/>
        <w:t>y</w:t>
      </w:r>
      <w:r>
        <w:rPr>
          <w:spacing w:val="-8"/>
        </w:rPr>
        <w:t> </w:t>
      </w:r>
      <w:r>
        <w:rPr/>
        <w:t>las</w:t>
      </w:r>
      <w:r>
        <w:rPr>
          <w:spacing w:val="-8"/>
        </w:rPr>
        <w:t> </w:t>
      </w:r>
      <w:r>
        <w:rPr/>
        <w:t>personas</w:t>
      </w:r>
      <w:r>
        <w:rPr>
          <w:spacing w:val="-8"/>
        </w:rPr>
        <w:t> </w:t>
      </w:r>
      <w:r>
        <w:rPr/>
        <w:t>integrantes</w:t>
      </w:r>
      <w:r>
        <w:rPr>
          <w:spacing w:val="-9"/>
        </w:rPr>
        <w:t> </w:t>
      </w:r>
      <w:r>
        <w:rPr/>
        <w:t>del</w:t>
      </w:r>
      <w:r>
        <w:rPr>
          <w:spacing w:val="-8"/>
        </w:rPr>
        <w:t> </w:t>
      </w:r>
      <w:r>
        <w:rPr/>
        <w:t>Órgano</w:t>
      </w:r>
      <w:r>
        <w:rPr>
          <w:spacing w:val="-8"/>
        </w:rPr>
        <w:t> </w:t>
      </w:r>
      <w:r>
        <w:rPr/>
        <w:t>de</w:t>
      </w:r>
      <w:r>
        <w:rPr>
          <w:spacing w:val="-8"/>
        </w:rPr>
        <w:t> </w:t>
      </w:r>
      <w:r>
        <w:rPr/>
        <w:t>Control</w:t>
      </w:r>
      <w:r>
        <w:rPr>
          <w:spacing w:val="-8"/>
        </w:rPr>
        <w:t> </w:t>
      </w:r>
      <w:r>
        <w:rPr/>
        <w:t>o</w:t>
      </w:r>
      <w:r>
        <w:rPr>
          <w:spacing w:val="-8"/>
        </w:rPr>
        <w:t> </w:t>
      </w:r>
      <w:r>
        <w:rPr/>
        <w:t>gestión</w:t>
      </w:r>
      <w:r>
        <w:rPr>
          <w:spacing w:val="-8"/>
        </w:rPr>
        <w:t> </w:t>
      </w:r>
      <w:r>
        <w:rPr/>
        <w:t>de</w:t>
      </w:r>
      <w:r>
        <w:rPr>
          <w:spacing w:val="-9"/>
        </w:rPr>
        <w:t> </w:t>
      </w:r>
      <w:r>
        <w:rPr/>
        <w:t>la</w:t>
      </w:r>
      <w:r>
        <w:rPr>
          <w:spacing w:val="-8"/>
        </w:rPr>
        <w:t> </w:t>
      </w:r>
      <w:r>
        <w:rPr/>
        <w:t>sociedad.</w:t>
      </w:r>
    </w:p>
    <w:p>
      <w:pPr>
        <w:pStyle w:val="BodyText"/>
        <w:spacing w:before="10"/>
        <w:rPr>
          <w:sz w:val="23"/>
        </w:rPr>
      </w:pPr>
    </w:p>
    <w:p>
      <w:pPr>
        <w:spacing w:before="1"/>
        <w:ind w:left="141" w:right="136" w:firstLine="0"/>
        <w:jc w:val="both"/>
        <w:rPr>
          <w:sz w:val="24"/>
        </w:rPr>
      </w:pPr>
      <w:r>
        <w:rPr>
          <w:sz w:val="24"/>
        </w:rPr>
        <w:t>El </w:t>
      </w:r>
      <w:r>
        <w:rPr>
          <w:b/>
          <w:sz w:val="24"/>
        </w:rPr>
        <w:t>Manual del Programa para la Prevención de la Comisión de Delitos</w:t>
      </w:r>
      <w:r>
        <w:rPr>
          <w:sz w:val="24"/>
        </w:rPr>
        <w:t>: que es el documento que establece el modelo de organización, prevención, gestión y control de los riesgos penales en relación con el régimen de responsabilidad penal de las personas jurídicas que establece el artículo 31 bis del Código Penal.</w:t>
      </w:r>
    </w:p>
    <w:p>
      <w:pPr>
        <w:spacing w:after="0"/>
        <w:jc w:val="both"/>
        <w:rPr>
          <w:sz w:val="24"/>
        </w:rPr>
        <w:sectPr>
          <w:pgSz w:w="11910" w:h="16840"/>
          <w:pgMar w:header="709" w:footer="0" w:top="1900" w:bottom="280" w:left="1560" w:right="1560"/>
        </w:sectPr>
      </w:pPr>
    </w:p>
    <w:p>
      <w:pPr>
        <w:pStyle w:val="BodyText"/>
        <w:rPr>
          <w:sz w:val="20"/>
        </w:rPr>
      </w:pPr>
    </w:p>
    <w:p>
      <w:pPr>
        <w:pStyle w:val="BodyText"/>
        <w:rPr>
          <w:sz w:val="21"/>
        </w:rPr>
      </w:pPr>
    </w:p>
    <w:p>
      <w:pPr>
        <w:pStyle w:val="BodyText"/>
        <w:spacing w:before="96"/>
        <w:ind w:left="141"/>
      </w:pPr>
      <w:r>
        <w:rPr/>
        <w:t>Adicionalmente a dicho Manual se incorporan los siguientes 2 elementos.</w:t>
      </w:r>
    </w:p>
    <w:p>
      <w:pPr>
        <w:pStyle w:val="BodyText"/>
      </w:pPr>
    </w:p>
    <w:p>
      <w:pPr>
        <w:pStyle w:val="BodyText"/>
        <w:ind w:left="849" w:right="5568"/>
      </w:pPr>
      <w:r>
        <w:rPr/>
        <w:t>Mapa de Riesgos Penales. Mapa de Controles.</w:t>
      </w:r>
    </w:p>
    <w:p>
      <w:pPr>
        <w:pStyle w:val="BodyText"/>
        <w:spacing w:before="1"/>
      </w:pPr>
    </w:p>
    <w:p>
      <w:pPr>
        <w:pStyle w:val="BodyText"/>
        <w:ind w:left="141" w:right="137" w:firstLine="708"/>
        <w:jc w:val="both"/>
      </w:pPr>
      <w:r>
        <w:rPr/>
        <w:t>Un</w:t>
      </w:r>
      <w:r>
        <w:rPr>
          <w:spacing w:val="-16"/>
        </w:rPr>
        <w:t> </w:t>
      </w:r>
      <w:r>
        <w:rPr>
          <w:b/>
        </w:rPr>
        <w:t>sistema</w:t>
      </w:r>
      <w:r>
        <w:rPr>
          <w:b/>
          <w:spacing w:val="-16"/>
        </w:rPr>
        <w:t> </w:t>
      </w:r>
      <w:r>
        <w:rPr>
          <w:b/>
        </w:rPr>
        <w:t>disciplinario</w:t>
      </w:r>
      <w:r>
        <w:rPr>
          <w:b/>
          <w:spacing w:val="-15"/>
        </w:rPr>
        <w:t> </w:t>
      </w:r>
      <w:r>
        <w:rPr>
          <w:b/>
        </w:rPr>
        <w:t>sancionador</w:t>
      </w:r>
      <w:r>
        <w:rPr/>
        <w:t>:</w:t>
      </w:r>
      <w:r>
        <w:rPr>
          <w:spacing w:val="-16"/>
        </w:rPr>
        <w:t> </w:t>
      </w:r>
      <w:r>
        <w:rPr/>
        <w:t>con</w:t>
      </w:r>
      <w:r>
        <w:rPr>
          <w:spacing w:val="-16"/>
        </w:rPr>
        <w:t> </w:t>
      </w:r>
      <w:r>
        <w:rPr/>
        <w:t>el</w:t>
      </w:r>
      <w:r>
        <w:rPr>
          <w:spacing w:val="-15"/>
        </w:rPr>
        <w:t> </w:t>
      </w:r>
      <w:r>
        <w:rPr/>
        <w:t>fin</w:t>
      </w:r>
      <w:r>
        <w:rPr>
          <w:spacing w:val="-16"/>
        </w:rPr>
        <w:t> </w:t>
      </w:r>
      <w:r>
        <w:rPr/>
        <w:t>de</w:t>
      </w:r>
      <w:r>
        <w:rPr>
          <w:spacing w:val="-15"/>
        </w:rPr>
        <w:t> </w:t>
      </w:r>
      <w:r>
        <w:rPr/>
        <w:t>asegurar</w:t>
      </w:r>
      <w:r>
        <w:rPr>
          <w:spacing w:val="-16"/>
        </w:rPr>
        <w:t> </w:t>
      </w:r>
      <w:r>
        <w:rPr/>
        <w:t>la</w:t>
      </w:r>
      <w:r>
        <w:rPr>
          <w:spacing w:val="-16"/>
        </w:rPr>
        <w:t> </w:t>
      </w:r>
      <w:r>
        <w:rPr/>
        <w:t>efectividad</w:t>
      </w:r>
      <w:r>
        <w:rPr>
          <w:spacing w:val="-15"/>
        </w:rPr>
        <w:t> </w:t>
      </w:r>
      <w:r>
        <w:rPr/>
        <w:t>del</w:t>
      </w:r>
      <w:r>
        <w:rPr>
          <w:spacing w:val="-16"/>
        </w:rPr>
        <w:t> </w:t>
      </w:r>
      <w:r>
        <w:rPr/>
        <w:t>Programa de Prevención de la Comisión de Delitos, el ITC, dispone de un sistema disciplinario que tiene en cuenta el régimen sancionador contemplado en el Convenio Colectivo aplicable al</w:t>
      </w:r>
      <w:r>
        <w:rPr>
          <w:spacing w:val="-26"/>
        </w:rPr>
        <w:t> </w:t>
      </w:r>
      <w:r>
        <w:rPr/>
        <w:t>Instituto..</w:t>
      </w:r>
    </w:p>
    <w:p>
      <w:pPr>
        <w:pStyle w:val="BodyText"/>
      </w:pPr>
    </w:p>
    <w:p>
      <w:pPr>
        <w:pStyle w:val="BodyText"/>
        <w:ind w:left="141" w:right="137" w:firstLine="708"/>
        <w:jc w:val="both"/>
      </w:pPr>
      <w:r>
        <w:rPr/>
        <w:t>Igualmente y en la misma medida, cuando las personas incumplidoras no pertenecen al ITC,</w:t>
      </w:r>
      <w:r>
        <w:rPr>
          <w:spacing w:val="-13"/>
        </w:rPr>
        <w:t> </w:t>
      </w:r>
      <w:r>
        <w:rPr/>
        <w:t>como</w:t>
      </w:r>
      <w:r>
        <w:rPr>
          <w:spacing w:val="-12"/>
        </w:rPr>
        <w:t> </w:t>
      </w:r>
      <w:r>
        <w:rPr/>
        <w:t>es</w:t>
      </w:r>
      <w:r>
        <w:rPr>
          <w:spacing w:val="-12"/>
        </w:rPr>
        <w:t> </w:t>
      </w:r>
      <w:r>
        <w:rPr/>
        <w:t>el</w:t>
      </w:r>
      <w:r>
        <w:rPr>
          <w:spacing w:val="-12"/>
        </w:rPr>
        <w:t> </w:t>
      </w:r>
      <w:r>
        <w:rPr/>
        <w:t>caso</w:t>
      </w:r>
      <w:r>
        <w:rPr>
          <w:spacing w:val="-13"/>
        </w:rPr>
        <w:t> </w:t>
      </w:r>
      <w:r>
        <w:rPr/>
        <w:t>de</w:t>
      </w:r>
      <w:r>
        <w:rPr>
          <w:spacing w:val="-12"/>
        </w:rPr>
        <w:t> </w:t>
      </w:r>
      <w:r>
        <w:rPr/>
        <w:t>los</w:t>
      </w:r>
      <w:r>
        <w:rPr>
          <w:spacing w:val="-12"/>
        </w:rPr>
        <w:t> </w:t>
      </w:r>
      <w:r>
        <w:rPr/>
        <w:t>proveedores,</w:t>
      </w:r>
      <w:r>
        <w:rPr>
          <w:spacing w:val="-12"/>
        </w:rPr>
        <w:t> </w:t>
      </w:r>
      <w:r>
        <w:rPr/>
        <w:t>el</w:t>
      </w:r>
      <w:r>
        <w:rPr>
          <w:spacing w:val="-13"/>
        </w:rPr>
        <w:t> </w:t>
      </w:r>
      <w:r>
        <w:rPr/>
        <w:t>régimen</w:t>
      </w:r>
      <w:r>
        <w:rPr>
          <w:spacing w:val="-11"/>
        </w:rPr>
        <w:t> </w:t>
      </w:r>
      <w:r>
        <w:rPr/>
        <w:t>sancionador</w:t>
      </w:r>
      <w:r>
        <w:rPr>
          <w:spacing w:val="-11"/>
        </w:rPr>
        <w:t> </w:t>
      </w:r>
      <w:r>
        <w:rPr/>
        <w:t>aplicable</w:t>
      </w:r>
      <w:r>
        <w:rPr>
          <w:spacing w:val="-12"/>
        </w:rPr>
        <w:t> </w:t>
      </w:r>
      <w:r>
        <w:rPr/>
        <w:t>se</w:t>
      </w:r>
      <w:r>
        <w:rPr>
          <w:spacing w:val="-11"/>
        </w:rPr>
        <w:t> </w:t>
      </w:r>
      <w:r>
        <w:rPr/>
        <w:t>ha</w:t>
      </w:r>
      <w:r>
        <w:rPr>
          <w:spacing w:val="-11"/>
        </w:rPr>
        <w:t> </w:t>
      </w:r>
      <w:r>
        <w:rPr/>
        <w:t>configurado</w:t>
      </w:r>
      <w:r>
        <w:rPr>
          <w:spacing w:val="-12"/>
        </w:rPr>
        <w:t> </w:t>
      </w:r>
      <w:r>
        <w:rPr/>
        <w:t>para llevar a cabo la resolución del contrato con el</w:t>
      </w:r>
      <w:r>
        <w:rPr>
          <w:spacing w:val="-6"/>
        </w:rPr>
        <w:t> </w:t>
      </w:r>
      <w:r>
        <w:rPr/>
        <w:t>proveedor.</w:t>
      </w:r>
    </w:p>
    <w:p>
      <w:pPr>
        <w:pStyle w:val="BodyText"/>
      </w:pPr>
    </w:p>
    <w:p>
      <w:pPr>
        <w:pStyle w:val="BodyText"/>
        <w:ind w:left="141" w:right="136" w:firstLine="708"/>
        <w:jc w:val="both"/>
      </w:pPr>
      <w:r>
        <w:rPr/>
        <w:t>En definitiva, mediante el sistema disciplinario, el ITC responde frente a los incumplimientos llevados a cabo por las Personas Obligadas y por terceros proveedores, del Sistema de Gestión de Compliance Penal.</w:t>
      </w:r>
    </w:p>
    <w:p>
      <w:pPr>
        <w:pStyle w:val="BodyText"/>
        <w:rPr>
          <w:sz w:val="26"/>
        </w:rPr>
      </w:pPr>
    </w:p>
    <w:p>
      <w:pPr>
        <w:pStyle w:val="BodyText"/>
        <w:spacing w:before="11"/>
        <w:rPr>
          <w:sz w:val="21"/>
        </w:rPr>
      </w:pPr>
    </w:p>
    <w:p>
      <w:pPr>
        <w:pStyle w:val="Heading1"/>
        <w:tabs>
          <w:tab w:pos="573" w:val="left" w:leader="none"/>
          <w:tab w:pos="8675" w:val="left" w:leader="none"/>
        </w:tabs>
        <w:rPr>
          <w:u w:val="none"/>
        </w:rPr>
      </w:pPr>
      <w:bookmarkStart w:name="_TOC_250001" w:id="6"/>
      <w:r>
        <w:rPr>
          <w:color w:val="00B0F0"/>
          <w:spacing w:val="-25"/>
          <w:w w:val="99"/>
          <w:u w:val="single" w:color="6CB5D1"/>
        </w:rPr>
        <w:t> </w:t>
      </w:r>
      <w:r>
        <w:rPr>
          <w:color w:val="00B0F0"/>
          <w:u w:val="single" w:color="6CB5D1"/>
        </w:rPr>
        <w:t>6</w:t>
        <w:tab/>
        <w:t>Modificaciones e</w:t>
      </w:r>
      <w:r>
        <w:rPr>
          <w:color w:val="00B0F0"/>
          <w:spacing w:val="-28"/>
          <w:u w:val="single" w:color="6CB5D1"/>
        </w:rPr>
        <w:t> </w:t>
      </w:r>
      <w:bookmarkEnd w:id="6"/>
      <w:r>
        <w:rPr>
          <w:color w:val="00B0F0"/>
          <w:u w:val="single" w:color="6CB5D1"/>
        </w:rPr>
        <w:t>interpretación</w:t>
        <w:tab/>
      </w:r>
    </w:p>
    <w:p>
      <w:pPr>
        <w:pStyle w:val="BodyText"/>
        <w:spacing w:before="6"/>
        <w:rPr>
          <w:b/>
          <w:sz w:val="16"/>
        </w:rPr>
      </w:pPr>
    </w:p>
    <w:p>
      <w:pPr>
        <w:pStyle w:val="BodyText"/>
        <w:spacing w:before="97"/>
        <w:ind w:left="141" w:right="133"/>
        <w:jc w:val="both"/>
      </w:pPr>
      <w:r>
        <w:rPr/>
        <w:t>Esta Política se mantendrá actualizada para lo cual será revisada anualmente por el Órgano de Cumplimiento, y de forma extraordinaria, cada vez que se produzcan variaciones en los objetivos estratégicos del ITC, cambios en la legislación aplicable o, en su caso, los elementos del Sistema de Gestión del Compliance Penal.</w:t>
      </w:r>
    </w:p>
    <w:p>
      <w:pPr>
        <w:pStyle w:val="BodyText"/>
        <w:spacing w:before="10"/>
        <w:rPr>
          <w:sz w:val="23"/>
        </w:rPr>
      </w:pPr>
    </w:p>
    <w:p>
      <w:pPr>
        <w:pStyle w:val="BodyText"/>
        <w:spacing w:before="1"/>
        <w:ind w:left="141"/>
        <w:jc w:val="both"/>
      </w:pPr>
      <w:r>
        <w:rPr/>
        <w:t>El encargado de resolver los conflictos de interpretación es el Órgano de Cumplimiento.</w:t>
      </w:r>
    </w:p>
    <w:p>
      <w:pPr>
        <w:pStyle w:val="BodyText"/>
        <w:rPr>
          <w:sz w:val="26"/>
        </w:rPr>
      </w:pPr>
    </w:p>
    <w:p>
      <w:pPr>
        <w:pStyle w:val="BodyText"/>
        <w:rPr>
          <w:sz w:val="22"/>
        </w:rPr>
      </w:pPr>
    </w:p>
    <w:p>
      <w:pPr>
        <w:pStyle w:val="Heading1"/>
        <w:tabs>
          <w:tab w:pos="8675" w:val="left" w:leader="none"/>
        </w:tabs>
        <w:jc w:val="both"/>
        <w:rPr>
          <w:u w:val="none"/>
        </w:rPr>
      </w:pPr>
      <w:bookmarkStart w:name="_TOC_250000" w:id="7"/>
      <w:r>
        <w:rPr>
          <w:color w:val="00B0F0"/>
          <w:spacing w:val="-25"/>
          <w:w w:val="99"/>
          <w:u w:val="single" w:color="6CB5D1"/>
        </w:rPr>
        <w:t> </w:t>
      </w:r>
      <w:r>
        <w:rPr>
          <w:color w:val="00B0F0"/>
          <w:u w:val="single" w:color="6CB5D1"/>
        </w:rPr>
        <w:t>7      Aprobación y</w:t>
      </w:r>
      <w:r>
        <w:rPr>
          <w:color w:val="00B0F0"/>
          <w:spacing w:val="-22"/>
          <w:u w:val="single" w:color="6CB5D1"/>
        </w:rPr>
        <w:t> </w:t>
      </w:r>
      <w:bookmarkEnd w:id="7"/>
      <w:r>
        <w:rPr>
          <w:color w:val="00B0F0"/>
          <w:u w:val="single" w:color="6CB5D1"/>
        </w:rPr>
        <w:t>vigencia</w:t>
        <w:tab/>
      </w:r>
    </w:p>
    <w:p>
      <w:pPr>
        <w:pStyle w:val="BodyText"/>
        <w:spacing w:before="5"/>
        <w:rPr>
          <w:b/>
          <w:sz w:val="16"/>
        </w:rPr>
      </w:pPr>
    </w:p>
    <w:p>
      <w:pPr>
        <w:pStyle w:val="BodyText"/>
        <w:spacing w:before="97"/>
        <w:ind w:left="141"/>
      </w:pPr>
      <w:r>
        <w:rPr/>
        <w:t>La presente Política ha sido aprobada por el Consejo de Administración del ITC de 29 de septiembre de 2022, entrando en vigor en el mismo momento para todas las Personas Obligadas.</w:t>
      </w:r>
    </w:p>
    <w:sectPr>
      <w:pgSz w:w="11910" w:h="16840"/>
      <w:pgMar w:header="709" w:footer="0" w:top="1900" w:bottom="28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Segoe UI Historic">
    <w:altName w:val="Segoe UI Historic"/>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9999pt;margin-top:35.459999pt;width:539.2pt;height:59.6pt;mso-position-horizontal-relative:page;mso-position-vertical-relative:page;z-index:-251866112" coordorigin="676,709" coordsize="10784,1192">
          <v:line style="position:absolute" from="676,714" to="4171,714" stroked="true" strokeweight=".47998pt" strokecolor="#000000">
            <v:stroke dashstyle="solid"/>
          </v:line>
          <v:line style="position:absolute" from="4171,714" to="11449,714" stroked="true" strokeweight=".48pt" strokecolor="#000000">
            <v:stroke dashstyle="solid"/>
          </v:line>
          <v:line style="position:absolute" from="680,709" to="680,1901" stroked="true" strokeweight=".48001pt" strokecolor="#000000">
            <v:stroke dashstyle="solid"/>
          </v:line>
          <v:line style="position:absolute" from="676,1896" to="4162,1896" stroked="true" strokeweight=".47998pt" strokecolor="#000000">
            <v:stroke dashstyle="solid"/>
          </v:line>
          <v:line style="position:absolute" from="4166,719" to="4166,1901" stroked="true" strokeweight=".48001pt" strokecolor="#000000">
            <v:stroke dashstyle="solid"/>
          </v:line>
          <v:line style="position:absolute" from="4171,1896" to="11449,1896" stroked="true" strokeweight=".48pt" strokecolor="#000000">
            <v:stroke dashstyle="solid"/>
          </v:line>
          <v:line style="position:absolute" from="11454,709" to="11454,1901" stroked="true" strokeweight=".47998pt" strokecolor="#000000">
            <v:stroke dashstyle="solid"/>
          </v:line>
          <v:shape style="position:absolute;left:782;top:715;width:3264;height:519" type="#_x0000_t75" stroked="false">
            <v:imagedata r:id="rId1" o:title=""/>
          </v:shape>
          <w10:wrap type="none"/>
        </v:group>
      </w:pict>
    </w:r>
    <w:r>
      <w:rPr/>
      <w:pict>
        <v:shapetype id="_x0000_t202" o:spt="202" coordsize="21600,21600" path="m,l,21600r21600,l21600,xe">
          <v:stroke joinstyle="miter"/>
          <v:path gradientshapeok="t" o:connecttype="rect"/>
        </v:shapetype>
        <v:shape style="position:absolute;margin-left:212.720001pt;margin-top:38.104698pt;width:355.4pt;height:18.05pt;mso-position-horizontal-relative:page;mso-position-vertical-relative:page;z-index:-251865088" type="#_x0000_t202" filled="false" stroked="false">
          <v:textbox inset="0,0,0,0">
            <w:txbxContent>
              <w:p>
                <w:pPr>
                  <w:spacing w:line="346" w:lineRule="exact" w:before="0"/>
                  <w:ind w:left="20" w:right="0" w:firstLine="0"/>
                  <w:jc w:val="left"/>
                  <w:rPr>
                    <w:rFonts w:ascii="Calibri" w:hAnsi="Calibri"/>
                    <w:b/>
                    <w:sz w:val="32"/>
                  </w:rPr>
                </w:pPr>
                <w:r>
                  <w:rPr>
                    <w:rFonts w:ascii="Calibri" w:hAnsi="Calibri"/>
                    <w:b/>
                    <w:color w:val="00B0F0"/>
                    <w:sz w:val="32"/>
                  </w:rPr>
                  <w:t>POLÍTICA DE PROGRAMA PARA PREVENCIÓN DE LA</w:t>
                </w:r>
              </w:p>
            </w:txbxContent>
          </v:textbox>
          <w10:wrap type="none"/>
        </v:shape>
      </w:pict>
    </w:r>
    <w:r>
      <w:rPr/>
      <w:pict>
        <v:shape style="position:absolute;margin-left:212.720001pt;margin-top:57.665119pt;width:72.7pt;height:37.550pt;mso-position-horizontal-relative:page;mso-position-vertical-relative:page;z-index:-251864064" type="#_x0000_t202" filled="false" stroked="false">
          <v:textbox inset="0,0,0,0">
            <w:txbxContent>
              <w:p>
                <w:pPr>
                  <w:spacing w:line="346" w:lineRule="exact" w:before="0"/>
                  <w:ind w:left="20" w:right="0" w:firstLine="0"/>
                  <w:jc w:val="left"/>
                  <w:rPr>
                    <w:rFonts w:ascii="Calibri" w:hAnsi="Calibri"/>
                    <w:b/>
                    <w:sz w:val="32"/>
                  </w:rPr>
                </w:pPr>
                <w:r>
                  <w:rPr>
                    <w:rFonts w:ascii="Calibri" w:hAnsi="Calibri"/>
                    <w:b/>
                    <w:color w:val="00B0F0"/>
                    <w:sz w:val="32"/>
                  </w:rPr>
                  <w:t>COMISIÓN</w:t>
                </w:r>
              </w:p>
              <w:p>
                <w:pPr>
                  <w:spacing w:line="390" w:lineRule="exact" w:before="0"/>
                  <w:ind w:left="20" w:right="0" w:firstLine="0"/>
                  <w:jc w:val="left"/>
                  <w:rPr>
                    <w:rFonts w:ascii="Calibri"/>
                    <w:b/>
                    <w:sz w:val="32"/>
                  </w:rPr>
                </w:pPr>
                <w:r>
                  <w:rPr>
                    <w:rFonts w:ascii="Calibri"/>
                    <w:b/>
                    <w:color w:val="00B0F0"/>
                    <w:sz w:val="32"/>
                  </w:rPr>
                  <w:t>CANARIAS</w:t>
                </w:r>
              </w:p>
            </w:txbxContent>
          </v:textbox>
          <w10:wrap type="none"/>
        </v:shape>
      </w:pict>
    </w:r>
    <w:r>
      <w:rPr/>
      <w:pict>
        <v:shape style="position:absolute;margin-left:301.331177pt;margin-top:57.665119pt;width:26.65pt;height:18.05pt;mso-position-horizontal-relative:page;mso-position-vertical-relative:page;z-index:-251863040" type="#_x0000_t202" filled="false" stroked="false">
          <v:textbox inset="0,0,0,0">
            <w:txbxContent>
              <w:p>
                <w:pPr>
                  <w:spacing w:line="346" w:lineRule="exact" w:before="0"/>
                  <w:ind w:left="20" w:right="0" w:firstLine="0"/>
                  <w:jc w:val="left"/>
                  <w:rPr>
                    <w:rFonts w:ascii="Calibri"/>
                    <w:b/>
                    <w:sz w:val="32"/>
                  </w:rPr>
                </w:pPr>
                <w:r>
                  <w:rPr>
                    <w:rFonts w:ascii="Calibri"/>
                    <w:b/>
                    <w:color w:val="00B0F0"/>
                    <w:sz w:val="32"/>
                  </w:rPr>
                  <w:t>DEL</w:t>
                </w:r>
              </w:p>
            </w:txbxContent>
          </v:textbox>
          <w10:wrap type="none"/>
        </v:shape>
      </w:pict>
    </w:r>
    <w:r>
      <w:rPr/>
      <w:pict>
        <v:shape style="position:absolute;margin-left:343.897003pt;margin-top:57.665119pt;width:73.8pt;height:18.05pt;mso-position-horizontal-relative:page;mso-position-vertical-relative:page;z-index:-251862016" type="#_x0000_t202" filled="false" stroked="false">
          <v:textbox inset="0,0,0,0">
            <w:txbxContent>
              <w:p>
                <w:pPr>
                  <w:spacing w:line="346" w:lineRule="exact" w:before="0"/>
                  <w:ind w:left="20" w:right="0" w:firstLine="0"/>
                  <w:jc w:val="left"/>
                  <w:rPr>
                    <w:rFonts w:ascii="Calibri"/>
                    <w:b/>
                    <w:sz w:val="32"/>
                  </w:rPr>
                </w:pPr>
                <w:r>
                  <w:rPr>
                    <w:rFonts w:ascii="Calibri"/>
                    <w:b/>
                    <w:color w:val="00B0F0"/>
                    <w:sz w:val="32"/>
                  </w:rPr>
                  <w:t>INSTITUTO</w:t>
                </w:r>
              </w:p>
            </w:txbxContent>
          </v:textbox>
          <w10:wrap type="none"/>
        </v:shape>
      </w:pict>
    </w:r>
    <w:r>
      <w:rPr/>
      <w:pict>
        <v:shape style="position:absolute;margin-left:433.632599pt;margin-top:57.665119pt;width:98.9pt;height:18.05pt;mso-position-horizontal-relative:page;mso-position-vertical-relative:page;z-index:-251860992" type="#_x0000_t202" filled="false" stroked="false">
          <v:textbox inset="0,0,0,0">
            <w:txbxContent>
              <w:p>
                <w:pPr>
                  <w:spacing w:line="346" w:lineRule="exact" w:before="0"/>
                  <w:ind w:left="20" w:right="0" w:firstLine="0"/>
                  <w:jc w:val="left"/>
                  <w:rPr>
                    <w:rFonts w:ascii="Calibri" w:hAnsi="Calibri"/>
                    <w:b/>
                    <w:sz w:val="32"/>
                  </w:rPr>
                </w:pPr>
                <w:r>
                  <w:rPr>
                    <w:rFonts w:ascii="Calibri" w:hAnsi="Calibri"/>
                    <w:b/>
                    <w:color w:val="00B0F0"/>
                    <w:sz w:val="32"/>
                  </w:rPr>
                  <w:t>TECNOLÓGICO</w:t>
                </w:r>
              </w:p>
            </w:txbxContent>
          </v:textbox>
          <w10:wrap type="none"/>
        </v:shape>
      </w:pict>
    </w:r>
    <w:r>
      <w:rPr/>
      <w:pict>
        <v:shape style="position:absolute;margin-left:548.391357pt;margin-top:57.665119pt;width:19.9pt;height:18.05pt;mso-position-horizontal-relative:page;mso-position-vertical-relative:page;z-index:-251859968" type="#_x0000_t202" filled="false" stroked="false">
          <v:textbox inset="0,0,0,0">
            <w:txbxContent>
              <w:p>
                <w:pPr>
                  <w:spacing w:line="346" w:lineRule="exact" w:before="0"/>
                  <w:ind w:left="20" w:right="0" w:firstLine="0"/>
                  <w:jc w:val="left"/>
                  <w:rPr>
                    <w:rFonts w:ascii="Calibri"/>
                    <w:b/>
                    <w:sz w:val="32"/>
                  </w:rPr>
                </w:pPr>
                <w:r>
                  <w:rPr>
                    <w:rFonts w:ascii="Calibri"/>
                    <w:b/>
                    <w:color w:val="00B0F0"/>
                    <w:sz w:val="32"/>
                  </w:rPr>
                  <w:t>DE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82" w:hanging="441"/>
        <w:jc w:val="left"/>
      </w:pPr>
      <w:rPr>
        <w:rFonts w:hint="default" w:ascii="Arial Narrow" w:hAnsi="Arial Narrow" w:eastAsia="Arial Narrow" w:cs="Arial Narrow"/>
        <w:b/>
        <w:bCs/>
        <w:color w:val="00B0F0"/>
        <w:w w:val="99"/>
        <w:sz w:val="22"/>
        <w:szCs w:val="22"/>
      </w:rPr>
    </w:lvl>
    <w:lvl w:ilvl="1">
      <w:start w:val="1"/>
      <w:numFmt w:val="decimal"/>
      <w:lvlText w:val="%2."/>
      <w:lvlJc w:val="left"/>
      <w:pPr>
        <w:ind w:left="861" w:hanging="360"/>
        <w:jc w:val="left"/>
      </w:pPr>
      <w:rPr>
        <w:rFonts w:hint="default" w:ascii="Arial Narrow" w:hAnsi="Arial Narrow" w:eastAsia="Arial Narrow" w:cs="Arial Narrow"/>
        <w:spacing w:val="-1"/>
        <w:w w:val="99"/>
        <w:sz w:val="24"/>
        <w:szCs w:val="24"/>
      </w:rPr>
    </w:lvl>
    <w:lvl w:ilvl="2">
      <w:start w:val="0"/>
      <w:numFmt w:val="bullet"/>
      <w:lvlText w:val="•"/>
      <w:lvlJc w:val="left"/>
      <w:pPr>
        <w:ind w:left="1740" w:hanging="360"/>
      </w:pPr>
      <w:rPr>
        <w:rFonts w:hint="default"/>
      </w:rPr>
    </w:lvl>
    <w:lvl w:ilvl="3">
      <w:start w:val="0"/>
      <w:numFmt w:val="bullet"/>
      <w:lvlText w:val="•"/>
      <w:lvlJc w:val="left"/>
      <w:pPr>
        <w:ind w:left="2620" w:hanging="360"/>
      </w:pPr>
      <w:rPr>
        <w:rFonts w:hint="default"/>
      </w:rPr>
    </w:lvl>
    <w:lvl w:ilvl="4">
      <w:start w:val="0"/>
      <w:numFmt w:val="bullet"/>
      <w:lvlText w:val="•"/>
      <w:lvlJc w:val="left"/>
      <w:pPr>
        <w:ind w:left="3501" w:hanging="360"/>
      </w:pPr>
      <w:rPr>
        <w:rFonts w:hint="default"/>
      </w:rPr>
    </w:lvl>
    <w:lvl w:ilvl="5">
      <w:start w:val="0"/>
      <w:numFmt w:val="bullet"/>
      <w:lvlText w:val="•"/>
      <w:lvlJc w:val="left"/>
      <w:pPr>
        <w:ind w:left="4381" w:hanging="360"/>
      </w:pPr>
      <w:rPr>
        <w:rFonts w:hint="default"/>
      </w:rPr>
    </w:lvl>
    <w:lvl w:ilvl="6">
      <w:start w:val="0"/>
      <w:numFmt w:val="bullet"/>
      <w:lvlText w:val="•"/>
      <w:lvlJc w:val="left"/>
      <w:pPr>
        <w:ind w:left="5262" w:hanging="360"/>
      </w:pPr>
      <w:rPr>
        <w:rFonts w:hint="default"/>
      </w:rPr>
    </w:lvl>
    <w:lvl w:ilvl="7">
      <w:start w:val="0"/>
      <w:numFmt w:val="bullet"/>
      <w:lvlText w:val="•"/>
      <w:lvlJc w:val="left"/>
      <w:pPr>
        <w:ind w:left="6142" w:hanging="360"/>
      </w:pPr>
      <w:rPr>
        <w:rFonts w:hint="default"/>
      </w:rPr>
    </w:lvl>
    <w:lvl w:ilvl="8">
      <w:start w:val="0"/>
      <w:numFmt w:val="bullet"/>
      <w:lvlText w:val="•"/>
      <w:lvlJc w:val="left"/>
      <w:pPr>
        <w:ind w:left="702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TOC1" w:type="paragraph">
    <w:name w:val="TOC 1"/>
    <w:basedOn w:val="Normal"/>
    <w:uiPriority w:val="1"/>
    <w:qFormat/>
    <w:pPr>
      <w:spacing w:before="240"/>
      <w:ind w:left="582" w:hanging="442"/>
    </w:pPr>
    <w:rPr>
      <w:rFonts w:ascii="Arial Narrow" w:hAnsi="Arial Narrow" w:eastAsia="Arial Narrow" w:cs="Arial Narrow"/>
      <w:b/>
      <w:bCs/>
      <w:sz w:val="22"/>
      <w:szCs w:val="22"/>
    </w:rPr>
  </w:style>
  <w:style w:styleId="BodyText" w:type="paragraph">
    <w:name w:val="Body Text"/>
    <w:basedOn w:val="Normal"/>
    <w:uiPriority w:val="1"/>
    <w:qFormat/>
    <w:pPr/>
    <w:rPr>
      <w:rFonts w:ascii="Arial Narrow" w:hAnsi="Arial Narrow" w:eastAsia="Arial Narrow" w:cs="Arial Narrow"/>
      <w:sz w:val="24"/>
      <w:szCs w:val="24"/>
    </w:rPr>
  </w:style>
  <w:style w:styleId="Heading1" w:type="paragraph">
    <w:name w:val="Heading 1"/>
    <w:basedOn w:val="Normal"/>
    <w:uiPriority w:val="1"/>
    <w:qFormat/>
    <w:pPr>
      <w:ind w:left="111"/>
      <w:outlineLvl w:val="1"/>
    </w:pPr>
    <w:rPr>
      <w:rFonts w:ascii="Arial Narrow" w:hAnsi="Arial Narrow" w:eastAsia="Arial Narrow" w:cs="Arial Narrow"/>
      <w:b/>
      <w:bCs/>
      <w:sz w:val="24"/>
      <w:szCs w:val="24"/>
      <w:u w:val="single" w:color="000000"/>
    </w:rPr>
  </w:style>
  <w:style w:styleId="ListParagraph" w:type="paragraph">
    <w:name w:val="List Paragraph"/>
    <w:basedOn w:val="Normal"/>
    <w:uiPriority w:val="1"/>
    <w:qFormat/>
    <w:pPr>
      <w:ind w:left="861" w:hanging="360"/>
      <w:jc w:val="both"/>
    </w:pPr>
    <w:rPr>
      <w:rFonts w:ascii="Arial Narrow" w:hAnsi="Arial Narrow" w:eastAsia="Arial Narrow" w:cs="Arial Narro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lpulido</dc:creator>
  <dc:title>Microsoft Word - Politica Compliance Penal.docx</dc:title>
  <dcterms:created xsi:type="dcterms:W3CDTF">2023-05-10T15:49:08Z</dcterms:created>
  <dcterms:modified xsi:type="dcterms:W3CDTF">2023-05-10T15:49:08Z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PScript5.dll Version 5.2.2</vt:lpwstr>
  </property>
  <property fmtid="{D5CDD505-2E9C-101B-9397-08002B2CF9AE}" pid="4" name="LastSaved">
    <vt:filetime>2023-05-10T00:00:00Z</vt:filetime>
  </property>
</Properties>
</file>