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26B9A"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En este apartado se incluye la </w:t>
      </w:r>
      <w:r>
        <w:rPr>
          <w:rStyle w:val="Textoennegrita"/>
          <w:rFonts w:ascii="Open Sans" w:hAnsi="Open Sans" w:cs="Open Sans"/>
          <w:color w:val="333333"/>
          <w:sz w:val="23"/>
          <w:szCs w:val="23"/>
        </w:rPr>
        <w:t>información presupuestaria y contable</w:t>
      </w:r>
      <w:r>
        <w:rPr>
          <w:rFonts w:ascii="Open Sans" w:hAnsi="Open Sans" w:cs="Open Sans"/>
          <w:color w:val="333333"/>
          <w:sz w:val="23"/>
          <w:szCs w:val="23"/>
        </w:rPr>
        <w:t> del Instituto Tecnológico de Canarias.</w:t>
      </w:r>
    </w:p>
    <w:p w14:paraId="3ED6B7E1"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4E5910C6" w14:textId="77777777" w:rsidR="00516B4A" w:rsidRDefault="00516B4A" w:rsidP="00516B4A">
      <w:pPr>
        <w:pStyle w:val="Ttulo3"/>
        <w:shd w:val="clear" w:color="auto" w:fill="FFFFFF"/>
        <w:spacing w:before="300" w:after="150" w:line="390" w:lineRule="atLeast"/>
        <w:rPr>
          <w:rFonts w:ascii="Montserrat" w:hAnsi="Montserrat"/>
          <w:b w:val="0"/>
          <w:bCs w:val="0"/>
          <w:caps/>
          <w:color w:val="0095F8"/>
          <w:spacing w:val="-4"/>
        </w:rPr>
      </w:pPr>
      <w:r>
        <w:rPr>
          <w:rStyle w:val="Textoennegrita"/>
          <w:rFonts w:ascii="Montserrat" w:hAnsi="Montserrat"/>
          <w:b/>
          <w:bCs/>
          <w:caps/>
          <w:color w:val="0095F8"/>
          <w:spacing w:val="-4"/>
        </w:rPr>
        <w:t>ECONÓMICO-FINANCIERA</w:t>
      </w:r>
      <w:r>
        <w:rPr>
          <w:rStyle w:val="Textoennegrita"/>
          <w:rFonts w:ascii="Cambria" w:hAnsi="Cambria" w:cs="Cambria"/>
          <w:b/>
          <w:bCs/>
          <w:caps/>
          <w:color w:val="0095F8"/>
          <w:spacing w:val="-4"/>
        </w:rPr>
        <w:t> </w:t>
      </w:r>
      <w:r>
        <w:rPr>
          <w:rFonts w:ascii="Montserrat" w:hAnsi="Montserrat"/>
          <w:b w:val="0"/>
          <w:bCs w:val="0"/>
          <w:caps/>
          <w:color w:val="0095F8"/>
          <w:spacing w:val="-4"/>
        </w:rPr>
        <w:t>(.DOCX) (.ODT)</w:t>
      </w:r>
    </w:p>
    <w:p w14:paraId="49E55432"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7DDBDAF3"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El ITC, como ente con presupuesto estimativo e integrado en los Presupuestos Generales de la Comunidad Autónoma de Canarias, se encuentra afectado por la senda de cumplimiento de los objetivos de estabilidad presupuestaria asignados a Canarias. Por ello, cualquier modificación presupuestaria requiere de autorización previa de Gobierno, a propuesta de la </w:t>
      </w:r>
      <w:hyperlink r:id="rId7" w:tgtFrame="_blank" w:history="1">
        <w:r>
          <w:rPr>
            <w:rStyle w:val="Hipervnculo"/>
            <w:rFonts w:ascii="Open Sans" w:hAnsi="Open Sans" w:cs="Open Sans"/>
            <w:color w:val="009FE3"/>
            <w:sz w:val="23"/>
            <w:szCs w:val="23"/>
          </w:rPr>
          <w:t>Consejería  de Economía, Conocimiento y Empleo</w:t>
        </w:r>
      </w:hyperlink>
      <w:r>
        <w:rPr>
          <w:rFonts w:ascii="Open Sans" w:hAnsi="Open Sans" w:cs="Open Sans"/>
          <w:color w:val="333333"/>
          <w:sz w:val="23"/>
          <w:szCs w:val="23"/>
        </w:rPr>
        <w:t>, a la que está adscrita el ITC, de los presupuestos de explotación y de capital, previo informe de la </w:t>
      </w:r>
      <w:hyperlink r:id="rId8" w:tgtFrame="_blank" w:history="1">
        <w:r>
          <w:rPr>
            <w:rStyle w:val="Hipervnculo"/>
            <w:rFonts w:ascii="Open Sans" w:hAnsi="Open Sans" w:cs="Open Sans"/>
            <w:color w:val="009FE3"/>
            <w:sz w:val="23"/>
            <w:szCs w:val="23"/>
          </w:rPr>
          <w:t>Dirección General de Planificación y Presupuestos del Gobierno de Canarias</w:t>
        </w:r>
      </w:hyperlink>
      <w:r>
        <w:rPr>
          <w:rFonts w:ascii="Open Sans" w:hAnsi="Open Sans" w:cs="Open Sans"/>
          <w:color w:val="333333"/>
          <w:sz w:val="23"/>
          <w:szCs w:val="23"/>
        </w:rPr>
        <w:t>.</w:t>
      </w:r>
    </w:p>
    <w:p w14:paraId="766BA5D8"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No obstante, corresponderá a la persona titular de la Consejería a la que esté adscrito el ITC la autorización de la variación que se ocasione por la ejecución de un proyecto, convenio o encargo a medios propios que genere ingresos no previstos en las dotaciones de los presupuestos de explotación y capital, salvo que se vean afectados los gastos de personal incluidos en estos últimos.</w:t>
      </w:r>
    </w:p>
    <w:p w14:paraId="1AC63C31" w14:textId="77777777" w:rsidR="00516B4A" w:rsidRDefault="00516B4A" w:rsidP="00516B4A">
      <w:pPr>
        <w:pStyle w:val="p1"/>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41FFECDB" w14:textId="77777777" w:rsidR="00516B4A" w:rsidRDefault="00516B4A" w:rsidP="00516B4A">
      <w:pPr>
        <w:pStyle w:val="Ttulo3"/>
        <w:shd w:val="clear" w:color="auto" w:fill="FFFFFF"/>
        <w:spacing w:before="300" w:after="150" w:line="390" w:lineRule="atLeast"/>
        <w:rPr>
          <w:rFonts w:ascii="Montserrat" w:hAnsi="Montserrat"/>
          <w:b w:val="0"/>
          <w:bCs w:val="0"/>
          <w:caps/>
          <w:color w:val="0095F8"/>
          <w:spacing w:val="-4"/>
        </w:rPr>
      </w:pPr>
      <w:r>
        <w:rPr>
          <w:rStyle w:val="Textoennegrita"/>
          <w:rFonts w:ascii="Montserrat" w:hAnsi="Montserrat"/>
          <w:b/>
          <w:bCs/>
          <w:caps/>
          <w:color w:val="0095F8"/>
          <w:spacing w:val="-4"/>
        </w:rPr>
        <w:t>INFORMACIÓN PRESUPUESTARIA Y CONTABLE</w:t>
      </w:r>
    </w:p>
    <w:p w14:paraId="122E6B39" w14:textId="77777777" w:rsidR="00516B4A" w:rsidRDefault="00516B4A" w:rsidP="00516B4A">
      <w:pPr>
        <w:pStyle w:val="Ttulo4"/>
        <w:shd w:val="clear" w:color="auto" w:fill="FFFFFF"/>
        <w:spacing w:before="150" w:after="150"/>
        <w:rPr>
          <w:rFonts w:ascii="Open Sans" w:hAnsi="Open Sans" w:cs="Open Sans"/>
          <w:b/>
          <w:bCs/>
          <w:color w:val="333333"/>
          <w:sz w:val="26"/>
          <w:szCs w:val="26"/>
        </w:rPr>
      </w:pPr>
      <w:r>
        <w:rPr>
          <w:rFonts w:ascii="Open Sans" w:hAnsi="Open Sans" w:cs="Open Sans"/>
          <w:color w:val="333333"/>
          <w:sz w:val="26"/>
          <w:szCs w:val="26"/>
        </w:rPr>
        <w:t> </w:t>
      </w:r>
    </w:p>
    <w:p w14:paraId="19D41F22" w14:textId="77777777" w:rsidR="00516B4A" w:rsidRDefault="00516B4A" w:rsidP="00516B4A">
      <w:pPr>
        <w:pStyle w:val="Ttulo4"/>
        <w:shd w:val="clear" w:color="auto" w:fill="FFFFFF"/>
        <w:spacing w:before="150" w:after="150"/>
        <w:rPr>
          <w:rFonts w:ascii="Open Sans" w:hAnsi="Open Sans" w:cs="Open Sans"/>
          <w:color w:val="333333"/>
          <w:sz w:val="26"/>
          <w:szCs w:val="26"/>
        </w:rPr>
      </w:pPr>
      <w:r>
        <w:rPr>
          <w:rFonts w:ascii="Open Sans" w:hAnsi="Open Sans" w:cs="Open Sans"/>
          <w:color w:val="333333"/>
          <w:sz w:val="26"/>
          <w:szCs w:val="26"/>
        </w:rPr>
        <w:t>Presupuesto de la Sociedad Mercantil ITC,S.A. dentro de los Presupuestos Generales de la Comunidad Autónoma de Canarias</w:t>
      </w:r>
    </w:p>
    <w:p w14:paraId="79BB2261" w14:textId="77777777" w:rsidR="00516B4A" w:rsidRDefault="00516B4A" w:rsidP="00516B4A">
      <w:pPr>
        <w:pStyle w:val="p2"/>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El ITC, como ente con presupuesto estimativo e integrado en los Presupuestos Generales de la Comunidad Autónoma de Canarias, se encuentra afectado por la senda de cumplimiento de los objetivos de estabilidad presupuestaria asignados a Canarias. </w:t>
      </w:r>
    </w:p>
    <w:p w14:paraId="1B22EAF0" w14:textId="77777777" w:rsidR="00516B4A" w:rsidRDefault="00516B4A" w:rsidP="00516B4A">
      <w:pPr>
        <w:pStyle w:val="p2"/>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Se muestran a continuación los presupuestos correspondientes a los últimos cuatro ejercicios:</w:t>
      </w:r>
    </w:p>
    <w:p w14:paraId="259BAADE" w14:textId="77777777" w:rsidR="00516B4A" w:rsidRDefault="00516B4A" w:rsidP="00516B4A">
      <w:pPr>
        <w:pStyle w:val="p2"/>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5FF6CA88" w14:textId="77777777" w:rsidR="00516B4A" w:rsidRDefault="00516B4A" w:rsidP="00516B4A">
      <w:pPr>
        <w:pStyle w:val="p2"/>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lastRenderedPageBreak/>
        <w:t>Ejercicio 2017</w:t>
      </w:r>
    </w:p>
    <w:p w14:paraId="19C4B2FA" w14:textId="77777777" w:rsidR="00516B4A" w:rsidRDefault="00516B4A" w:rsidP="00516B4A">
      <w:pPr>
        <w:numPr>
          <w:ilvl w:val="0"/>
          <w:numId w:val="15"/>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Presupuestos (</w:t>
      </w:r>
      <w:hyperlink r:id="rId9" w:tgtFrame="_blank" w:history="1">
        <w:r>
          <w:rPr>
            <w:rStyle w:val="Hipervnculo"/>
            <w:rFonts w:cs="Open Sans"/>
            <w:color w:val="009FE3"/>
            <w:sz w:val="23"/>
            <w:szCs w:val="23"/>
          </w:rPr>
          <w:t>.pdf</w:t>
        </w:r>
      </w:hyperlink>
      <w:r>
        <w:rPr>
          <w:rFonts w:cs="Open Sans"/>
          <w:color w:val="333333"/>
          <w:sz w:val="23"/>
          <w:szCs w:val="23"/>
        </w:rPr>
        <w:t>) </w:t>
      </w:r>
    </w:p>
    <w:p w14:paraId="2A12E60E" w14:textId="77777777" w:rsidR="00516B4A" w:rsidRDefault="00516B4A" w:rsidP="00516B4A">
      <w:pPr>
        <w:pStyle w:val="p2"/>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32107AA2" w14:textId="77777777" w:rsidR="00516B4A" w:rsidRDefault="00516B4A" w:rsidP="00516B4A">
      <w:pPr>
        <w:pStyle w:val="p2"/>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Ejercicio 2018</w:t>
      </w:r>
    </w:p>
    <w:p w14:paraId="3D3D60A2" w14:textId="77777777" w:rsidR="00516B4A" w:rsidRDefault="00516B4A" w:rsidP="00516B4A">
      <w:pPr>
        <w:pStyle w:val="p2"/>
        <w:numPr>
          <w:ilvl w:val="0"/>
          <w:numId w:val="16"/>
        </w:numPr>
        <w:shd w:val="clear" w:color="auto" w:fill="FFFFFF"/>
        <w:suppressAutoHyphens w:val="0"/>
        <w:autoSpaceDN/>
        <w:spacing w:beforeAutospacing="1" w:afterAutospacing="1"/>
        <w:textAlignment w:val="auto"/>
        <w:rPr>
          <w:rFonts w:ascii="Open Sans" w:hAnsi="Open Sans" w:cs="Open Sans"/>
          <w:color w:val="333333"/>
          <w:sz w:val="23"/>
          <w:szCs w:val="23"/>
        </w:rPr>
      </w:pPr>
      <w:r>
        <w:rPr>
          <w:rFonts w:ascii="Open Sans" w:hAnsi="Open Sans" w:cs="Open Sans"/>
          <w:color w:val="333333"/>
          <w:sz w:val="23"/>
          <w:szCs w:val="23"/>
        </w:rPr>
        <w:t>Presupuestos (</w:t>
      </w:r>
      <w:hyperlink r:id="rId10" w:tgtFrame="_blank" w:history="1">
        <w:r>
          <w:rPr>
            <w:rStyle w:val="Hipervnculo"/>
            <w:rFonts w:ascii="Open Sans" w:hAnsi="Open Sans" w:cs="Open Sans"/>
            <w:color w:val="009FE3"/>
            <w:sz w:val="23"/>
            <w:szCs w:val="23"/>
          </w:rPr>
          <w:t>.pdf</w:t>
        </w:r>
      </w:hyperlink>
      <w:r>
        <w:rPr>
          <w:rFonts w:ascii="Open Sans" w:hAnsi="Open Sans" w:cs="Open Sans"/>
          <w:color w:val="333333"/>
          <w:sz w:val="23"/>
          <w:szCs w:val="23"/>
        </w:rPr>
        <w:t>) </w:t>
      </w:r>
    </w:p>
    <w:p w14:paraId="76B10123" w14:textId="77777777" w:rsidR="00516B4A" w:rsidRDefault="00516B4A" w:rsidP="00516B4A">
      <w:pPr>
        <w:pStyle w:val="p2"/>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7F859731" w14:textId="77777777" w:rsidR="00516B4A" w:rsidRDefault="00516B4A" w:rsidP="00516B4A">
      <w:pPr>
        <w:pStyle w:val="p2"/>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Ejercicio 2019</w:t>
      </w:r>
    </w:p>
    <w:p w14:paraId="43064031" w14:textId="77777777" w:rsidR="00516B4A" w:rsidRDefault="00516B4A" w:rsidP="00516B4A">
      <w:pPr>
        <w:pStyle w:val="p2"/>
        <w:numPr>
          <w:ilvl w:val="0"/>
          <w:numId w:val="17"/>
        </w:numPr>
        <w:shd w:val="clear" w:color="auto" w:fill="FFFFFF"/>
        <w:suppressAutoHyphens w:val="0"/>
        <w:autoSpaceDN/>
        <w:spacing w:beforeAutospacing="1" w:afterAutospacing="1"/>
        <w:textAlignment w:val="auto"/>
        <w:rPr>
          <w:rFonts w:ascii="Open Sans" w:hAnsi="Open Sans" w:cs="Open Sans"/>
          <w:color w:val="333333"/>
          <w:sz w:val="23"/>
          <w:szCs w:val="23"/>
        </w:rPr>
      </w:pPr>
      <w:r>
        <w:rPr>
          <w:rFonts w:ascii="Open Sans" w:hAnsi="Open Sans" w:cs="Open Sans"/>
          <w:color w:val="333333"/>
          <w:sz w:val="23"/>
          <w:szCs w:val="23"/>
        </w:rPr>
        <w:t>Presupuestos (</w:t>
      </w:r>
      <w:hyperlink r:id="rId11" w:tgtFrame="_blank" w:history="1">
        <w:r>
          <w:rPr>
            <w:rStyle w:val="Hipervnculo"/>
            <w:rFonts w:ascii="Open Sans" w:hAnsi="Open Sans" w:cs="Open Sans"/>
            <w:color w:val="009FE3"/>
            <w:sz w:val="23"/>
            <w:szCs w:val="23"/>
          </w:rPr>
          <w:t>.pdf</w:t>
        </w:r>
      </w:hyperlink>
      <w:r>
        <w:rPr>
          <w:rFonts w:ascii="Open Sans" w:hAnsi="Open Sans" w:cs="Open Sans"/>
          <w:color w:val="333333"/>
          <w:sz w:val="23"/>
          <w:szCs w:val="23"/>
        </w:rPr>
        <w:t>) </w:t>
      </w:r>
    </w:p>
    <w:p w14:paraId="61D96859" w14:textId="77777777" w:rsidR="00516B4A" w:rsidRDefault="00516B4A" w:rsidP="00516B4A">
      <w:pPr>
        <w:pStyle w:val="p2"/>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6C850249" w14:textId="77777777" w:rsidR="00516B4A" w:rsidRDefault="00516B4A" w:rsidP="00516B4A">
      <w:pPr>
        <w:pStyle w:val="p2"/>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Ejercicio 2020</w:t>
      </w:r>
    </w:p>
    <w:p w14:paraId="45B59032" w14:textId="77777777" w:rsidR="00516B4A" w:rsidRDefault="00516B4A" w:rsidP="00516B4A">
      <w:pPr>
        <w:pStyle w:val="p2"/>
        <w:numPr>
          <w:ilvl w:val="0"/>
          <w:numId w:val="18"/>
        </w:numPr>
        <w:shd w:val="clear" w:color="auto" w:fill="FFFFFF"/>
        <w:suppressAutoHyphens w:val="0"/>
        <w:autoSpaceDN/>
        <w:spacing w:beforeAutospacing="1" w:afterAutospacing="1"/>
        <w:textAlignment w:val="auto"/>
        <w:rPr>
          <w:rFonts w:ascii="Open Sans" w:hAnsi="Open Sans" w:cs="Open Sans"/>
          <w:color w:val="333333"/>
          <w:sz w:val="23"/>
          <w:szCs w:val="23"/>
        </w:rPr>
      </w:pPr>
      <w:r>
        <w:rPr>
          <w:rFonts w:ascii="Open Sans" w:hAnsi="Open Sans" w:cs="Open Sans"/>
          <w:color w:val="333333"/>
          <w:sz w:val="23"/>
          <w:szCs w:val="23"/>
        </w:rPr>
        <w:t>Presupuestos (</w:t>
      </w:r>
      <w:hyperlink r:id="rId12" w:tgtFrame="_blank" w:history="1">
        <w:r>
          <w:rPr>
            <w:rStyle w:val="Hipervnculo"/>
            <w:rFonts w:ascii="Open Sans" w:hAnsi="Open Sans" w:cs="Open Sans"/>
            <w:color w:val="009FE3"/>
            <w:sz w:val="23"/>
            <w:szCs w:val="23"/>
          </w:rPr>
          <w:t>.pdf</w:t>
        </w:r>
      </w:hyperlink>
      <w:r>
        <w:rPr>
          <w:rFonts w:ascii="Open Sans" w:hAnsi="Open Sans" w:cs="Open Sans"/>
          <w:color w:val="333333"/>
          <w:sz w:val="23"/>
          <w:szCs w:val="23"/>
        </w:rPr>
        <w:t>) </w:t>
      </w:r>
    </w:p>
    <w:p w14:paraId="6169BABC"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br/>
      </w:r>
    </w:p>
    <w:p w14:paraId="302D9FB4" w14:textId="77777777" w:rsidR="00516B4A" w:rsidRDefault="00516B4A" w:rsidP="00516B4A">
      <w:pPr>
        <w:pStyle w:val="Ttulo4"/>
        <w:shd w:val="clear" w:color="auto" w:fill="FFFFFF"/>
        <w:spacing w:before="150" w:after="150"/>
        <w:rPr>
          <w:rFonts w:ascii="Open Sans" w:hAnsi="Open Sans" w:cs="Open Sans"/>
          <w:color w:val="333333"/>
          <w:sz w:val="26"/>
          <w:szCs w:val="26"/>
        </w:rPr>
      </w:pPr>
      <w:r>
        <w:rPr>
          <w:rFonts w:ascii="Open Sans" w:hAnsi="Open Sans" w:cs="Open Sans"/>
          <w:color w:val="333333"/>
          <w:sz w:val="26"/>
          <w:szCs w:val="26"/>
        </w:rPr>
        <w:t>Informes de Auditoría del Instituto Tecnológico de Canarias (incluyen Cuentas Anuales de la entidad, Memoria e Informe de Gestión). </w:t>
      </w:r>
    </w:p>
    <w:p w14:paraId="61549B53"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Los </w:t>
      </w:r>
      <w:r>
        <w:rPr>
          <w:rStyle w:val="Textoennegrita"/>
          <w:rFonts w:ascii="Open Sans" w:hAnsi="Open Sans" w:cs="Open Sans"/>
          <w:color w:val="333333"/>
          <w:sz w:val="23"/>
          <w:szCs w:val="23"/>
        </w:rPr>
        <w:t>Informes  de Auditoría del ITC</w:t>
      </w:r>
      <w:r>
        <w:rPr>
          <w:rFonts w:ascii="Open Sans" w:hAnsi="Open Sans" w:cs="Open Sans"/>
          <w:color w:val="333333"/>
          <w:sz w:val="23"/>
          <w:szCs w:val="23"/>
        </w:rPr>
        <w:t> contienen la opinión de los auditores externos nombrados por la entidad y seleccionados mediante procedimiento de contratación abierto, tras la auditoría de las cuentas anuales contenidas en el mismo. Dichas cuentas comprenden el balance de situación, la cuenta de pérdidas y ganancias, el estado de cambios en el patrimonio neto, el estado de flujos de efectivo y la memoria correspondiente al cierre de cada ejercicio.</w:t>
      </w:r>
    </w:p>
    <w:p w14:paraId="05D79E51"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Las </w:t>
      </w:r>
      <w:r>
        <w:rPr>
          <w:rStyle w:val="Textoennegrita"/>
          <w:rFonts w:ascii="Open Sans" w:hAnsi="Open Sans" w:cs="Open Sans"/>
          <w:color w:val="333333"/>
          <w:sz w:val="23"/>
          <w:szCs w:val="23"/>
        </w:rPr>
        <w:t>Cuentas Anuales</w:t>
      </w:r>
      <w:r>
        <w:rPr>
          <w:rFonts w:ascii="Open Sans" w:hAnsi="Open Sans" w:cs="Open Sans"/>
          <w:color w:val="333333"/>
          <w:sz w:val="23"/>
          <w:szCs w:val="23"/>
        </w:rPr>
        <w:t> se realizan a partir de los registros contables de la Sociedad y se presentan de acuerdo con la legislación mercantil vigente y con las normas establecidas en el Plan General de Contabilidad aprobado mediante Real Decreto 1514/2007 y las modificaciones incorporadas a éste mediante </w:t>
      </w:r>
      <w:hyperlink r:id="rId13" w:history="1">
        <w:r>
          <w:rPr>
            <w:rStyle w:val="Hipervnculo"/>
            <w:rFonts w:ascii="Open Sans" w:hAnsi="Open Sans" w:cs="Open Sans"/>
            <w:color w:val="009FE3"/>
            <w:sz w:val="23"/>
            <w:szCs w:val="23"/>
          </w:rPr>
          <w:t>Real Decreto 1159/2010</w:t>
        </w:r>
      </w:hyperlink>
      <w:r>
        <w:rPr>
          <w:rFonts w:ascii="Open Sans" w:hAnsi="Open Sans" w:cs="Open Sans"/>
          <w:color w:val="333333"/>
          <w:sz w:val="23"/>
          <w:szCs w:val="23"/>
        </w:rPr>
        <w:t>, con objeto de mostrar la </w:t>
      </w:r>
      <w:r>
        <w:rPr>
          <w:rStyle w:val="Textoennegrita"/>
          <w:rFonts w:ascii="Open Sans" w:hAnsi="Open Sans" w:cs="Open Sans"/>
          <w:color w:val="333333"/>
          <w:sz w:val="23"/>
          <w:szCs w:val="23"/>
        </w:rPr>
        <w:t>imagen fiel del patrimonio, de la situación financiera y de los resultados de la Sociedad, así como la veracidad de los flujos de efectivo incorporados en el estado de flujos de efectivo.</w:t>
      </w:r>
      <w:r>
        <w:rPr>
          <w:rFonts w:ascii="Open Sans" w:hAnsi="Open Sans" w:cs="Open Sans"/>
          <w:color w:val="333333"/>
          <w:sz w:val="23"/>
          <w:szCs w:val="23"/>
        </w:rPr>
        <w:t> </w:t>
      </w:r>
    </w:p>
    <w:p w14:paraId="3BE130C4"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lastRenderedPageBreak/>
        <w:t>El </w:t>
      </w:r>
      <w:r>
        <w:rPr>
          <w:rStyle w:val="Textoennegrita"/>
          <w:rFonts w:ascii="Open Sans" w:hAnsi="Open Sans" w:cs="Open Sans"/>
          <w:color w:val="333333"/>
          <w:sz w:val="23"/>
          <w:szCs w:val="23"/>
        </w:rPr>
        <w:t>Informe de Gestión</w:t>
      </w:r>
      <w:r>
        <w:rPr>
          <w:rFonts w:ascii="Open Sans" w:hAnsi="Open Sans" w:cs="Open Sans"/>
          <w:color w:val="333333"/>
          <w:sz w:val="23"/>
          <w:szCs w:val="23"/>
        </w:rPr>
        <w:t> se formula bajo la responsabilidad de los administradores de la Sociedad y no forma parte integrante de las cuentas anuales.  El informe de gestión recoge la memoria de la actividad de la empresa de cada ejercicio, su estructura organizativa, principales indicadores económicos y su evolución previsible así como otra información relevante.  El Informe de Gestión se realiza conforme a la normativa que resulta de aplicación.</w:t>
      </w:r>
    </w:p>
    <w:p w14:paraId="4918908A"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4E6DE6F5"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Ejercicio 2016</w:t>
      </w:r>
    </w:p>
    <w:p w14:paraId="69422343" w14:textId="77777777" w:rsidR="00516B4A" w:rsidRDefault="00516B4A" w:rsidP="00516B4A">
      <w:pPr>
        <w:numPr>
          <w:ilvl w:val="0"/>
          <w:numId w:val="19"/>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Informe de Auditoría, Cuentas Anuales y Memoria de Gestión </w:t>
      </w:r>
      <w:hyperlink r:id="rId14" w:tgtFrame="_blank" w:history="1">
        <w:r>
          <w:rPr>
            <w:rStyle w:val="Hipervnculo"/>
            <w:rFonts w:cs="Open Sans"/>
            <w:color w:val="009FE3"/>
            <w:sz w:val="23"/>
            <w:szCs w:val="23"/>
          </w:rPr>
          <w:t>(.pdf)</w:t>
        </w:r>
      </w:hyperlink>
    </w:p>
    <w:p w14:paraId="294FAE83" w14:textId="77777777" w:rsidR="00516B4A" w:rsidRDefault="00516B4A" w:rsidP="00516B4A">
      <w:pPr>
        <w:numPr>
          <w:ilvl w:val="0"/>
          <w:numId w:val="19"/>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Certificado Aprobación Junta General</w:t>
      </w:r>
    </w:p>
    <w:p w14:paraId="70E6A404" w14:textId="77777777" w:rsidR="00516B4A" w:rsidRDefault="00516B4A" w:rsidP="00516B4A">
      <w:pPr>
        <w:numPr>
          <w:ilvl w:val="0"/>
          <w:numId w:val="19"/>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Fondos Propios: 3.982.207,36 €</w:t>
      </w:r>
    </w:p>
    <w:p w14:paraId="5B2F11C8"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Ejercicio 2017</w:t>
      </w:r>
    </w:p>
    <w:p w14:paraId="37CA07E3" w14:textId="77777777" w:rsidR="00516B4A" w:rsidRDefault="00516B4A" w:rsidP="00516B4A">
      <w:pPr>
        <w:numPr>
          <w:ilvl w:val="0"/>
          <w:numId w:val="20"/>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Informe de Auditoría, Cuentas Anuales y Memoria de Gestión </w:t>
      </w:r>
      <w:hyperlink r:id="rId15" w:tgtFrame="_blank" w:history="1">
        <w:r>
          <w:rPr>
            <w:rStyle w:val="Hipervnculo"/>
            <w:rFonts w:cs="Open Sans"/>
            <w:color w:val="009FE3"/>
            <w:sz w:val="23"/>
            <w:szCs w:val="23"/>
          </w:rPr>
          <w:t>(.pdf)</w:t>
        </w:r>
      </w:hyperlink>
    </w:p>
    <w:p w14:paraId="5C9D6E53" w14:textId="77777777" w:rsidR="00516B4A" w:rsidRDefault="00516B4A" w:rsidP="00516B4A">
      <w:pPr>
        <w:numPr>
          <w:ilvl w:val="0"/>
          <w:numId w:val="20"/>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Certificado Aprobación Junta General </w:t>
      </w:r>
      <w:hyperlink r:id="rId16" w:tgtFrame="_blank" w:history="1">
        <w:r>
          <w:rPr>
            <w:rStyle w:val="Hipervnculo"/>
            <w:rFonts w:cs="Open Sans"/>
            <w:color w:val="009FE3"/>
            <w:sz w:val="23"/>
            <w:szCs w:val="23"/>
          </w:rPr>
          <w:t>(.pdf)</w:t>
        </w:r>
      </w:hyperlink>
    </w:p>
    <w:p w14:paraId="1E9E3E58" w14:textId="77777777" w:rsidR="00516B4A" w:rsidRDefault="00516B4A" w:rsidP="00516B4A">
      <w:pPr>
        <w:numPr>
          <w:ilvl w:val="0"/>
          <w:numId w:val="20"/>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Fondos Propios: 3.988.927,42 €</w:t>
      </w:r>
    </w:p>
    <w:p w14:paraId="37CA87CB"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Ejercicio 2018</w:t>
      </w:r>
    </w:p>
    <w:p w14:paraId="6FC837B5" w14:textId="77777777" w:rsidR="00516B4A" w:rsidRDefault="00516B4A" w:rsidP="00516B4A">
      <w:pPr>
        <w:numPr>
          <w:ilvl w:val="0"/>
          <w:numId w:val="21"/>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Informe de Auditoría, Cuentas Anuales y Memoria de Gestión </w:t>
      </w:r>
      <w:hyperlink r:id="rId17" w:tgtFrame="_blank" w:history="1">
        <w:r>
          <w:rPr>
            <w:rStyle w:val="Hipervnculo"/>
            <w:rFonts w:cs="Open Sans"/>
            <w:color w:val="009FE3"/>
            <w:sz w:val="23"/>
            <w:szCs w:val="23"/>
          </w:rPr>
          <w:t>(.pdf)</w:t>
        </w:r>
      </w:hyperlink>
    </w:p>
    <w:p w14:paraId="6F0E0719" w14:textId="77777777" w:rsidR="00516B4A" w:rsidRDefault="00516B4A" w:rsidP="00516B4A">
      <w:pPr>
        <w:numPr>
          <w:ilvl w:val="0"/>
          <w:numId w:val="21"/>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Certificado Aprobación Junta General </w:t>
      </w:r>
      <w:hyperlink r:id="rId18" w:tgtFrame="_blank" w:history="1">
        <w:r>
          <w:rPr>
            <w:rStyle w:val="Hipervnculo"/>
            <w:rFonts w:cs="Open Sans"/>
            <w:color w:val="009FE3"/>
            <w:sz w:val="23"/>
            <w:szCs w:val="23"/>
          </w:rPr>
          <w:t>(.pdf)</w:t>
        </w:r>
      </w:hyperlink>
    </w:p>
    <w:p w14:paraId="08333D1A" w14:textId="77777777" w:rsidR="00516B4A" w:rsidRDefault="00516B4A" w:rsidP="00516B4A">
      <w:pPr>
        <w:numPr>
          <w:ilvl w:val="0"/>
          <w:numId w:val="21"/>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Fondos Propios: 3.996.941,02 €</w:t>
      </w:r>
    </w:p>
    <w:p w14:paraId="30BBBB07"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Ejercicio 2019</w:t>
      </w:r>
    </w:p>
    <w:p w14:paraId="2D02D84E" w14:textId="77777777" w:rsidR="00516B4A" w:rsidRDefault="00516B4A" w:rsidP="00516B4A">
      <w:pPr>
        <w:numPr>
          <w:ilvl w:val="0"/>
          <w:numId w:val="22"/>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Informe de Auditoría, Cuentas Anuales y Memoria de Gestión </w:t>
      </w:r>
      <w:hyperlink r:id="rId19" w:tgtFrame="_blank" w:history="1">
        <w:r>
          <w:rPr>
            <w:rStyle w:val="Hipervnculo"/>
            <w:rFonts w:cs="Open Sans"/>
            <w:color w:val="009FE3"/>
            <w:sz w:val="23"/>
            <w:szCs w:val="23"/>
          </w:rPr>
          <w:t>(.pdf)</w:t>
        </w:r>
      </w:hyperlink>
    </w:p>
    <w:p w14:paraId="6130FD3A" w14:textId="77777777" w:rsidR="00516B4A" w:rsidRDefault="00516B4A" w:rsidP="00516B4A">
      <w:pPr>
        <w:numPr>
          <w:ilvl w:val="0"/>
          <w:numId w:val="22"/>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Certificado Aprobación Junta General </w:t>
      </w:r>
      <w:hyperlink r:id="rId20" w:tgtFrame="_blank" w:history="1">
        <w:r>
          <w:rPr>
            <w:rStyle w:val="Hipervnculo"/>
            <w:rFonts w:cs="Open Sans"/>
            <w:color w:val="009FE3"/>
            <w:sz w:val="23"/>
            <w:szCs w:val="23"/>
          </w:rPr>
          <w:t>(.pdf)</w:t>
        </w:r>
      </w:hyperlink>
    </w:p>
    <w:p w14:paraId="2F6F928E" w14:textId="77777777" w:rsidR="00516B4A" w:rsidRDefault="00516B4A" w:rsidP="00516B4A">
      <w:pPr>
        <w:numPr>
          <w:ilvl w:val="0"/>
          <w:numId w:val="22"/>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Fondos Propios: 4.016.273,91 €</w:t>
      </w:r>
    </w:p>
    <w:p w14:paraId="66562E6C" w14:textId="77777777" w:rsidR="00516B4A" w:rsidRDefault="00516B4A" w:rsidP="00516B4A">
      <w:pPr>
        <w:pStyle w:val="p2"/>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133FC119" w14:textId="77777777" w:rsidR="00516B4A" w:rsidRDefault="00516B4A" w:rsidP="00516B4A">
      <w:pPr>
        <w:pStyle w:val="Ttulo4"/>
        <w:shd w:val="clear" w:color="auto" w:fill="FFFFFF"/>
        <w:spacing w:before="150" w:after="150"/>
        <w:rPr>
          <w:rFonts w:ascii="Open Sans" w:hAnsi="Open Sans" w:cs="Open Sans"/>
          <w:color w:val="333333"/>
          <w:sz w:val="26"/>
          <w:szCs w:val="26"/>
        </w:rPr>
      </w:pPr>
      <w:r>
        <w:rPr>
          <w:rFonts w:ascii="Open Sans" w:hAnsi="Open Sans" w:cs="Open Sans"/>
          <w:color w:val="333333"/>
          <w:sz w:val="26"/>
          <w:szCs w:val="26"/>
        </w:rPr>
        <w:t> Liquidación de Presupuestos</w:t>
      </w:r>
    </w:p>
    <w:p w14:paraId="0FDFAA16" w14:textId="77777777" w:rsidR="00516B4A" w:rsidRDefault="00516B4A" w:rsidP="00516B4A">
      <w:pPr>
        <w:pStyle w:val="p1"/>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128CC4D8"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Ejercicio 2017</w:t>
      </w:r>
    </w:p>
    <w:p w14:paraId="3D684472" w14:textId="77777777" w:rsidR="00516B4A" w:rsidRDefault="00516B4A" w:rsidP="00516B4A">
      <w:pPr>
        <w:numPr>
          <w:ilvl w:val="0"/>
          <w:numId w:val="23"/>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Liquidación </w:t>
      </w:r>
      <w:hyperlink r:id="rId21" w:tgtFrame="_blank" w:history="1">
        <w:r>
          <w:rPr>
            <w:rStyle w:val="Hipervnculo"/>
            <w:rFonts w:cs="Open Sans"/>
            <w:color w:val="009FE3"/>
            <w:sz w:val="23"/>
            <w:szCs w:val="23"/>
          </w:rPr>
          <w:t>(.xlsx)</w:t>
        </w:r>
      </w:hyperlink>
      <w:hyperlink r:id="rId22" w:tgtFrame="_blank" w:history="1">
        <w:r>
          <w:rPr>
            <w:rStyle w:val="Hipervnculo"/>
            <w:rFonts w:cs="Open Sans"/>
            <w:color w:val="009FE3"/>
            <w:sz w:val="23"/>
            <w:szCs w:val="23"/>
          </w:rPr>
          <w:t>(.ods)</w:t>
        </w:r>
      </w:hyperlink>
    </w:p>
    <w:p w14:paraId="6416A92C"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lastRenderedPageBreak/>
        <w:t>Ejercicio 2018</w:t>
      </w:r>
    </w:p>
    <w:p w14:paraId="5464DC11" w14:textId="77777777" w:rsidR="00516B4A" w:rsidRDefault="00516B4A" w:rsidP="00516B4A">
      <w:pPr>
        <w:numPr>
          <w:ilvl w:val="0"/>
          <w:numId w:val="24"/>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Liquidación </w:t>
      </w:r>
      <w:hyperlink r:id="rId23" w:tgtFrame="_blank" w:history="1">
        <w:r>
          <w:rPr>
            <w:rStyle w:val="Hipervnculo"/>
            <w:rFonts w:cs="Open Sans"/>
            <w:color w:val="009FE3"/>
            <w:sz w:val="23"/>
            <w:szCs w:val="23"/>
          </w:rPr>
          <w:t>(.xlsx)</w:t>
        </w:r>
      </w:hyperlink>
      <w:r>
        <w:rPr>
          <w:rFonts w:cs="Open Sans"/>
          <w:color w:val="333333"/>
          <w:sz w:val="23"/>
          <w:szCs w:val="23"/>
        </w:rPr>
        <w:t> </w:t>
      </w:r>
      <w:hyperlink r:id="rId24" w:tgtFrame="_blank" w:history="1">
        <w:r>
          <w:rPr>
            <w:rStyle w:val="Hipervnculo"/>
            <w:rFonts w:cs="Open Sans"/>
            <w:color w:val="009FE3"/>
            <w:sz w:val="23"/>
            <w:szCs w:val="23"/>
          </w:rPr>
          <w:t>(.ods)</w:t>
        </w:r>
      </w:hyperlink>
    </w:p>
    <w:p w14:paraId="3C5B6546"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Ejercicio 2019</w:t>
      </w:r>
    </w:p>
    <w:p w14:paraId="1948F3E4" w14:textId="77777777" w:rsidR="00516B4A" w:rsidRDefault="00516B4A" w:rsidP="00516B4A">
      <w:pPr>
        <w:numPr>
          <w:ilvl w:val="0"/>
          <w:numId w:val="25"/>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Liquidación </w:t>
      </w:r>
      <w:hyperlink r:id="rId25" w:tgtFrame="_blank" w:history="1">
        <w:r>
          <w:rPr>
            <w:rStyle w:val="Hipervnculo"/>
            <w:rFonts w:cs="Open Sans"/>
            <w:color w:val="009FE3"/>
            <w:sz w:val="23"/>
            <w:szCs w:val="23"/>
          </w:rPr>
          <w:t>(.xlsx)</w:t>
        </w:r>
      </w:hyperlink>
      <w:r>
        <w:rPr>
          <w:rFonts w:cs="Open Sans"/>
          <w:color w:val="333333"/>
          <w:sz w:val="23"/>
          <w:szCs w:val="23"/>
        </w:rPr>
        <w:t> </w:t>
      </w:r>
      <w:hyperlink r:id="rId26" w:tgtFrame="_blank" w:history="1">
        <w:r>
          <w:rPr>
            <w:rStyle w:val="Hipervnculo"/>
            <w:rFonts w:cs="Open Sans"/>
            <w:color w:val="009FE3"/>
            <w:sz w:val="23"/>
            <w:szCs w:val="23"/>
          </w:rPr>
          <w:t>(.ods)</w:t>
        </w:r>
      </w:hyperlink>
    </w:p>
    <w:p w14:paraId="1EC133EB" w14:textId="77777777" w:rsidR="00516B4A" w:rsidRDefault="00516B4A" w:rsidP="00516B4A">
      <w:pPr>
        <w:pStyle w:val="p1"/>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74F179C9" w14:textId="77777777" w:rsidR="00516B4A" w:rsidRDefault="00516B4A" w:rsidP="00516B4A">
      <w:pPr>
        <w:pStyle w:val="p1"/>
        <w:shd w:val="clear" w:color="auto" w:fill="FFFFFF"/>
        <w:spacing w:before="0" w:after="300"/>
        <w:rPr>
          <w:rFonts w:ascii="Open Sans" w:hAnsi="Open Sans" w:cs="Open Sans"/>
          <w:color w:val="333333"/>
          <w:sz w:val="23"/>
          <w:szCs w:val="23"/>
        </w:rPr>
      </w:pPr>
      <w:r>
        <w:rPr>
          <w:rFonts w:ascii="Open Sans" w:hAnsi="Open Sans" w:cs="Open Sans"/>
          <w:b/>
          <w:bCs/>
          <w:color w:val="333333"/>
          <w:sz w:val="23"/>
          <w:szCs w:val="23"/>
        </w:rPr>
        <w:br/>
      </w:r>
      <w:r>
        <w:rPr>
          <w:rStyle w:val="Textoennegrita"/>
          <w:rFonts w:ascii="Open Sans" w:hAnsi="Open Sans" w:cs="Open Sans"/>
          <w:color w:val="333333"/>
          <w:sz w:val="23"/>
          <w:szCs w:val="23"/>
        </w:rPr>
        <w:t>Informes de fiscalización por parte de órganos de control externo</w:t>
      </w:r>
      <w:r>
        <w:rPr>
          <w:rFonts w:ascii="Open Sans" w:hAnsi="Open Sans" w:cs="Open Sans"/>
          <w:color w:val="333333"/>
          <w:sz w:val="23"/>
          <w:szCs w:val="23"/>
        </w:rPr>
        <w:t> </w:t>
      </w:r>
    </w:p>
    <w:p w14:paraId="6EDA15CB" w14:textId="77777777" w:rsidR="00516B4A" w:rsidRDefault="00516B4A" w:rsidP="00516B4A">
      <w:pPr>
        <w:pStyle w:val="p1"/>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3F82FDAA"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Ejercicio 2017</w:t>
      </w:r>
    </w:p>
    <w:p w14:paraId="1F4A3269" w14:textId="77777777" w:rsidR="00516B4A" w:rsidRDefault="00516B4A" w:rsidP="00516B4A">
      <w:pPr>
        <w:numPr>
          <w:ilvl w:val="0"/>
          <w:numId w:val="26"/>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Informe de Auditoría de Fiscalización por parte de Audiencia de Cuentas </w:t>
      </w:r>
      <w:hyperlink r:id="rId27" w:tgtFrame="_blank" w:history="1">
        <w:r>
          <w:rPr>
            <w:rStyle w:val="Hipervnculo"/>
            <w:rFonts w:cs="Open Sans"/>
            <w:color w:val="009FE3"/>
            <w:sz w:val="23"/>
            <w:szCs w:val="23"/>
          </w:rPr>
          <w:t>(.pdf)</w:t>
        </w:r>
      </w:hyperlink>
    </w:p>
    <w:p w14:paraId="7C7C9CD7"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Ejercicio 2018</w:t>
      </w:r>
    </w:p>
    <w:p w14:paraId="5399D4DF" w14:textId="77777777" w:rsidR="00516B4A" w:rsidRDefault="00516B4A" w:rsidP="00516B4A">
      <w:pPr>
        <w:numPr>
          <w:ilvl w:val="0"/>
          <w:numId w:val="27"/>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Informe de Auditoría de Fiscalización por parte de Audiencia de Cuentas </w:t>
      </w:r>
      <w:hyperlink r:id="rId28" w:tgtFrame="_blank" w:history="1">
        <w:r>
          <w:rPr>
            <w:rStyle w:val="Hipervnculo"/>
            <w:rFonts w:cs="Open Sans"/>
            <w:color w:val="009FE3"/>
            <w:sz w:val="23"/>
            <w:szCs w:val="23"/>
          </w:rPr>
          <w:t>(.pdf)</w:t>
        </w:r>
      </w:hyperlink>
    </w:p>
    <w:p w14:paraId="4F885716" w14:textId="77777777" w:rsidR="00516B4A" w:rsidRDefault="00516B4A" w:rsidP="00516B4A">
      <w:pPr>
        <w:pStyle w:val="p1"/>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3C81CC4C" w14:textId="77777777" w:rsidR="00516B4A" w:rsidRDefault="00516B4A" w:rsidP="00516B4A">
      <w:pPr>
        <w:pStyle w:val="p1"/>
        <w:shd w:val="clear" w:color="auto" w:fill="FFFFFF"/>
        <w:spacing w:before="0" w:after="300"/>
        <w:rPr>
          <w:rFonts w:ascii="Open Sans" w:hAnsi="Open Sans" w:cs="Open Sans"/>
          <w:color w:val="333333"/>
          <w:sz w:val="23"/>
          <w:szCs w:val="23"/>
        </w:rPr>
      </w:pPr>
      <w:r>
        <w:rPr>
          <w:rFonts w:ascii="Open Sans" w:hAnsi="Open Sans" w:cs="Open Sans"/>
          <w:b/>
          <w:bCs/>
          <w:color w:val="333333"/>
          <w:sz w:val="23"/>
          <w:szCs w:val="23"/>
        </w:rPr>
        <w:br/>
      </w:r>
      <w:r>
        <w:rPr>
          <w:rStyle w:val="Textoennegrita"/>
          <w:rFonts w:ascii="Open Sans" w:hAnsi="Open Sans" w:cs="Open Sans"/>
          <w:color w:val="333333"/>
          <w:sz w:val="23"/>
          <w:szCs w:val="23"/>
        </w:rPr>
        <w:t>Información de Ingresos y Gastos</w:t>
      </w:r>
      <w:r>
        <w:rPr>
          <w:rFonts w:ascii="Open Sans" w:hAnsi="Open Sans" w:cs="Open Sans"/>
          <w:color w:val="333333"/>
          <w:sz w:val="23"/>
          <w:szCs w:val="23"/>
        </w:rPr>
        <w:t> </w:t>
      </w:r>
    </w:p>
    <w:p w14:paraId="5A874943" w14:textId="77777777" w:rsidR="00516B4A" w:rsidRDefault="00516B4A" w:rsidP="00516B4A">
      <w:pPr>
        <w:pStyle w:val="p1"/>
        <w:shd w:val="clear" w:color="auto" w:fill="FFFFFF"/>
        <w:spacing w:before="0" w:after="300"/>
        <w:rPr>
          <w:rFonts w:ascii="Open Sans" w:hAnsi="Open Sans" w:cs="Open Sans"/>
          <w:color w:val="333333"/>
          <w:sz w:val="23"/>
          <w:szCs w:val="23"/>
        </w:rPr>
      </w:pPr>
      <w:r>
        <w:rPr>
          <w:rStyle w:val="Textoennegrita"/>
          <w:rFonts w:ascii="Arial" w:hAnsi="Arial" w:cs="Arial"/>
          <w:color w:val="333333"/>
          <w:sz w:val="23"/>
          <w:szCs w:val="23"/>
        </w:rPr>
        <w:t>Información básica sobre financiación de la entidad</w:t>
      </w:r>
    </w:p>
    <w:p w14:paraId="13127E63" w14:textId="77777777" w:rsidR="00516B4A" w:rsidRDefault="00516B4A" w:rsidP="00516B4A">
      <w:pPr>
        <w:pStyle w:val="p1"/>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Se refleja la distribución de la cifra de negocios de la Sociedad, correspondientes a sus operaciones continuadas por categorías de actividades , detallándose en el siguiente cuadro los principales ingresos de explotación:</w:t>
      </w:r>
    </w:p>
    <w:p w14:paraId="75A8C828" w14:textId="77777777" w:rsidR="00516B4A" w:rsidRDefault="00516B4A" w:rsidP="00516B4A">
      <w:pPr>
        <w:pStyle w:val="p1"/>
        <w:shd w:val="clear" w:color="auto" w:fill="FFFFFF"/>
        <w:spacing w:before="0" w:after="300"/>
        <w:rPr>
          <w:rFonts w:ascii="Open Sans" w:hAnsi="Open Sans" w:cs="Open Sans"/>
          <w:color w:val="333333"/>
          <w:sz w:val="23"/>
          <w:szCs w:val="23"/>
        </w:rPr>
      </w:pPr>
      <w:r>
        <w:rPr>
          <w:noProof/>
        </w:rPr>
        <w:lastRenderedPageBreak/>
        <w:drawing>
          <wp:inline distT="0" distB="0" distL="0" distR="0" wp14:anchorId="7346DE68" wp14:editId="7DF17F1E">
            <wp:extent cx="5671185" cy="200215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71185" cy="2002155"/>
                    </a:xfrm>
                    <a:prstGeom prst="rect">
                      <a:avLst/>
                    </a:prstGeom>
                  </pic:spPr>
                </pic:pic>
              </a:graphicData>
            </a:graphic>
          </wp:inline>
        </w:drawing>
      </w:r>
    </w:p>
    <w:p w14:paraId="2E19270D" w14:textId="67138E61" w:rsidR="00516B4A" w:rsidRDefault="00516B4A" w:rsidP="00516B4A">
      <w:pPr>
        <w:pStyle w:val="p1"/>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Debido a la actividad de la Sociedad, la cifra de negocios se obtiene en su mayor parte de la Comunidad Autónoma de Canarias.</w:t>
      </w:r>
    </w:p>
    <w:p w14:paraId="15FBE2E2"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Style w:val="Textoennegrita"/>
          <w:rFonts w:ascii="Arial" w:hAnsi="Arial" w:cs="Arial"/>
          <w:color w:val="333333"/>
          <w:sz w:val="23"/>
          <w:szCs w:val="23"/>
        </w:rPr>
        <w:t>Gastos de Personal y % sobre el total de gastos</w:t>
      </w:r>
    </w:p>
    <w:p w14:paraId="7B3BC4AD"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En el ejercicio 2017 el ITC acomete un Plan de Reestructuración Interno que tuvo como finalidad asegurar el crecimiento y sostenibilidad a medio y largo plazo de la entidad. Como resultado de dicho Plan, el ITC apuesta firmemente por fomentar las vocaciones científicas en Canarias, haciendo que su plantilla crezca desde el 2017 más de un 20%. </w:t>
      </w:r>
    </w:p>
    <w:p w14:paraId="3EF5131D"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Se adjunta fichero con los Gastos de Personal y su porcentaje sobre gastos, con gastos de amortización y sin gastos de amortización, de los ejercicios 2017 y 2018. El ejercicio 2019 se aportará una vez se aprueben las cuentas en la Junta General.</w:t>
      </w:r>
    </w:p>
    <w:p w14:paraId="083F094B" w14:textId="14217239" w:rsidR="00516B4A" w:rsidRDefault="00516B4A" w:rsidP="00516B4A">
      <w:pPr>
        <w:pStyle w:val="NormalWeb"/>
        <w:shd w:val="clear" w:color="auto" w:fill="FFFFFF"/>
        <w:spacing w:before="0" w:after="300"/>
        <w:rPr>
          <w:rFonts w:ascii="Open Sans" w:hAnsi="Open Sans" w:cs="Open Sans"/>
          <w:color w:val="333333"/>
          <w:sz w:val="23"/>
          <w:szCs w:val="23"/>
        </w:rPr>
      </w:pPr>
      <w:r>
        <w:rPr>
          <w:noProof/>
        </w:rPr>
        <w:drawing>
          <wp:inline distT="0" distB="0" distL="0" distR="0" wp14:anchorId="6227BEA9" wp14:editId="0B17B30C">
            <wp:extent cx="5671185" cy="2668905"/>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71185" cy="2668905"/>
                    </a:xfrm>
                    <a:prstGeom prst="rect">
                      <a:avLst/>
                    </a:prstGeom>
                  </pic:spPr>
                </pic:pic>
              </a:graphicData>
            </a:graphic>
          </wp:inline>
        </w:drawing>
      </w:r>
      <w:r>
        <w:rPr>
          <w:rFonts w:ascii="Open Sans" w:hAnsi="Open Sans" w:cs="Open Sans"/>
          <w:color w:val="333333"/>
          <w:sz w:val="23"/>
          <w:szCs w:val="23"/>
        </w:rPr>
        <w:t> </w:t>
      </w:r>
    </w:p>
    <w:p w14:paraId="75542D07" w14:textId="77777777" w:rsidR="00516B4A" w:rsidRDefault="00516B4A" w:rsidP="00516B4A">
      <w:pPr>
        <w:numPr>
          <w:ilvl w:val="0"/>
          <w:numId w:val="28"/>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lastRenderedPageBreak/>
        <w:t>Porcentaje del gasto de personal CON y SIN amortización para los ejercicios 2017-2018 </w:t>
      </w:r>
      <w:hyperlink r:id="rId31" w:tgtFrame="_blank" w:history="1">
        <w:r>
          <w:rPr>
            <w:rStyle w:val="Hipervnculo"/>
            <w:rFonts w:cs="Open Sans"/>
            <w:color w:val="009FE3"/>
            <w:sz w:val="23"/>
            <w:szCs w:val="23"/>
          </w:rPr>
          <w:t>(.xlsx)</w:t>
        </w:r>
      </w:hyperlink>
      <w:r>
        <w:rPr>
          <w:rFonts w:cs="Open Sans"/>
          <w:color w:val="333333"/>
          <w:sz w:val="23"/>
          <w:szCs w:val="23"/>
        </w:rPr>
        <w:t> </w:t>
      </w:r>
      <w:hyperlink r:id="rId32" w:tgtFrame="_blank" w:history="1">
        <w:r>
          <w:rPr>
            <w:rStyle w:val="Hipervnculo"/>
            <w:rFonts w:cs="Open Sans"/>
            <w:color w:val="009FE3"/>
            <w:sz w:val="23"/>
            <w:szCs w:val="23"/>
          </w:rPr>
          <w:t>(.ods)</w:t>
        </w:r>
      </w:hyperlink>
    </w:p>
    <w:p w14:paraId="39505AE2"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Style w:val="Textoennegrita"/>
          <w:rFonts w:ascii="Arial" w:hAnsi="Arial" w:cs="Arial"/>
          <w:color w:val="333333"/>
          <w:sz w:val="23"/>
          <w:szCs w:val="23"/>
        </w:rPr>
        <w:t>Gastos realizados en campañas de publicidad institucional 2018-2019</w:t>
      </w:r>
    </w:p>
    <w:p w14:paraId="5ABB54F6"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El Instituto Tecnológico de Canarias, no ha realizado gastos en Campañas de Publicidad Institucional en los ejercicios 2018 y 2019</w:t>
      </w:r>
    </w:p>
    <w:p w14:paraId="5FB7386F"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12FCD6B7"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Style w:val="Textoennegrita"/>
          <w:rFonts w:ascii="Arial" w:hAnsi="Arial" w:cs="Arial"/>
          <w:color w:val="333333"/>
          <w:sz w:val="23"/>
          <w:szCs w:val="23"/>
        </w:rPr>
        <w:t>Gastos realizados en concepto de patrocinio</w:t>
      </w:r>
    </w:p>
    <w:p w14:paraId="08C5DC89"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El Instituto Tecnológico de Canarias no ha realizado gastos en concepto de Patrocinio en los ejercicios 2018 y 2019</w:t>
      </w:r>
    </w:p>
    <w:p w14:paraId="29AA3422" w14:textId="77777777" w:rsidR="00516B4A" w:rsidRDefault="00516B4A" w:rsidP="00516B4A">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019ED752" w14:textId="77777777" w:rsidR="00516B4A" w:rsidRDefault="00516B4A" w:rsidP="00516B4A">
      <w:pPr>
        <w:pStyle w:val="p1"/>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45B70588" w14:textId="77777777" w:rsidR="00516B4A" w:rsidRDefault="00516B4A" w:rsidP="00516B4A">
      <w:pPr>
        <w:pStyle w:val="p1"/>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Fecha de Actualización</w:t>
      </w:r>
      <w:r>
        <w:rPr>
          <w:rFonts w:ascii="Open Sans" w:hAnsi="Open Sans" w:cs="Open Sans"/>
          <w:color w:val="333333"/>
          <w:sz w:val="23"/>
          <w:szCs w:val="23"/>
        </w:rPr>
        <w:t>: 29 de junio de 2020</w:t>
      </w:r>
    </w:p>
    <w:p w14:paraId="195C1AB6" w14:textId="77777777" w:rsidR="00516B4A" w:rsidRDefault="00516B4A" w:rsidP="00516B4A">
      <w:pPr>
        <w:pStyle w:val="p1"/>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Periodicidad: </w:t>
      </w:r>
      <w:r>
        <w:rPr>
          <w:rFonts w:ascii="Open Sans" w:hAnsi="Open Sans" w:cs="Open Sans"/>
          <w:color w:val="333333"/>
          <w:sz w:val="23"/>
          <w:szCs w:val="23"/>
        </w:rPr>
        <w:t>Anual</w:t>
      </w:r>
    </w:p>
    <w:p w14:paraId="7D79710F" w14:textId="77777777" w:rsidR="00516B4A" w:rsidRDefault="00516B4A" w:rsidP="00516B4A">
      <w:pPr>
        <w:pStyle w:val="p1"/>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Tipo de información:</w:t>
      </w:r>
      <w:r>
        <w:rPr>
          <w:rFonts w:ascii="Open Sans" w:hAnsi="Open Sans" w:cs="Open Sans"/>
          <w:color w:val="333333"/>
          <w:sz w:val="23"/>
          <w:szCs w:val="23"/>
        </w:rPr>
        <w:t> Económico-Financiera</w:t>
      </w:r>
    </w:p>
    <w:p w14:paraId="74A70036" w14:textId="77777777" w:rsidR="00F969A1" w:rsidRPr="00516B4A" w:rsidRDefault="00F969A1" w:rsidP="00516B4A"/>
    <w:sectPr w:rsidR="00F969A1" w:rsidRPr="00516B4A">
      <w:headerReference w:type="default" r:id="rId33"/>
      <w:pgSz w:w="11906" w:h="16838"/>
      <w:pgMar w:top="2410" w:right="1274" w:bottom="1417" w:left="1701" w:header="42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70017" w14:textId="77777777" w:rsidR="00736F5B" w:rsidRDefault="009D265E">
      <w:pPr>
        <w:spacing w:after="0" w:line="240" w:lineRule="auto"/>
      </w:pPr>
      <w:r>
        <w:separator/>
      </w:r>
    </w:p>
  </w:endnote>
  <w:endnote w:type="continuationSeparator" w:id="0">
    <w:p w14:paraId="74A70019" w14:textId="77777777" w:rsidR="00736F5B" w:rsidRDefault="009D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70013" w14:textId="77777777" w:rsidR="00736F5B" w:rsidRDefault="009D265E">
      <w:pPr>
        <w:spacing w:after="0" w:line="240" w:lineRule="auto"/>
      </w:pPr>
      <w:r>
        <w:rPr>
          <w:color w:val="000000"/>
        </w:rPr>
        <w:separator/>
      </w:r>
    </w:p>
  </w:footnote>
  <w:footnote w:type="continuationSeparator" w:id="0">
    <w:p w14:paraId="74A70015" w14:textId="77777777" w:rsidR="00736F5B" w:rsidRDefault="009D2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001B" w14:textId="77777777" w:rsidR="0022384A" w:rsidRDefault="00516B4A">
    <w:pPr>
      <w:pStyle w:val="Encabezado"/>
    </w:pPr>
  </w:p>
  <w:tbl>
    <w:tblPr>
      <w:tblW w:w="8921" w:type="dxa"/>
      <w:tblCellMar>
        <w:left w:w="10" w:type="dxa"/>
        <w:right w:w="10" w:type="dxa"/>
      </w:tblCellMar>
      <w:tblLook w:val="0000" w:firstRow="0" w:lastRow="0" w:firstColumn="0" w:lastColumn="0" w:noHBand="0" w:noVBand="0"/>
    </w:tblPr>
    <w:tblGrid>
      <w:gridCol w:w="4460"/>
      <w:gridCol w:w="4461"/>
    </w:tblGrid>
    <w:tr w:rsidR="0022384A" w14:paraId="74A7001F" w14:textId="77777777">
      <w:tc>
        <w:tcPr>
          <w:tcW w:w="4460" w:type="dxa"/>
          <w:shd w:val="clear" w:color="auto" w:fill="auto"/>
          <w:tcMar>
            <w:top w:w="0" w:type="dxa"/>
            <w:left w:w="108" w:type="dxa"/>
            <w:bottom w:w="0" w:type="dxa"/>
            <w:right w:w="108" w:type="dxa"/>
          </w:tcMar>
          <w:vAlign w:val="center"/>
        </w:tcPr>
        <w:p w14:paraId="74A7001C" w14:textId="77777777" w:rsidR="0022384A" w:rsidRDefault="009D265E">
          <w:pPr>
            <w:pStyle w:val="Encabezado"/>
          </w:pPr>
          <w:r>
            <w:rPr>
              <w:noProof/>
            </w:rPr>
            <w:drawing>
              <wp:inline distT="0" distB="0" distL="0" distR="0" wp14:anchorId="74A70013" wp14:editId="74A70014">
                <wp:extent cx="2012274" cy="317726"/>
                <wp:effectExtent l="0" t="0" r="7026" b="6124"/>
                <wp:docPr id="1" name="Imagen 8" descr="Instituto Tecnológico de Canari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12274" cy="317726"/>
                        </a:xfrm>
                        <a:prstGeom prst="rect">
                          <a:avLst/>
                        </a:prstGeom>
                        <a:noFill/>
                        <a:ln>
                          <a:noFill/>
                          <a:prstDash/>
                        </a:ln>
                      </pic:spPr>
                    </pic:pic>
                  </a:graphicData>
                </a:graphic>
              </wp:inline>
            </w:drawing>
          </w:r>
        </w:p>
      </w:tc>
      <w:tc>
        <w:tcPr>
          <w:tcW w:w="4461" w:type="dxa"/>
          <w:shd w:val="clear" w:color="auto" w:fill="auto"/>
          <w:tcMar>
            <w:top w:w="0" w:type="dxa"/>
            <w:left w:w="108" w:type="dxa"/>
            <w:bottom w:w="0" w:type="dxa"/>
            <w:right w:w="108" w:type="dxa"/>
          </w:tcMar>
          <w:vAlign w:val="center"/>
        </w:tcPr>
        <w:p w14:paraId="74A7001D" w14:textId="77777777" w:rsidR="0022384A" w:rsidRDefault="009D265E">
          <w:pPr>
            <w:pStyle w:val="Encabezado"/>
            <w:jc w:val="right"/>
            <w:rPr>
              <w:b/>
              <w:bCs/>
              <w:color w:val="00B0F0"/>
              <w:sz w:val="24"/>
              <w:szCs w:val="24"/>
            </w:rPr>
          </w:pPr>
          <w:r>
            <w:rPr>
              <w:b/>
              <w:bCs/>
              <w:color w:val="00B0F0"/>
              <w:sz w:val="24"/>
              <w:szCs w:val="24"/>
            </w:rPr>
            <w:t>Portal de transparencia</w:t>
          </w:r>
        </w:p>
        <w:p w14:paraId="74A7001E" w14:textId="11B42FF8" w:rsidR="0022384A" w:rsidRDefault="008E57FA">
          <w:pPr>
            <w:pStyle w:val="Encabezado"/>
            <w:jc w:val="right"/>
          </w:pPr>
          <w:r>
            <w:rPr>
              <w:b/>
              <w:bCs/>
              <w:color w:val="00B0F0"/>
              <w:sz w:val="28"/>
              <w:szCs w:val="28"/>
            </w:rPr>
            <w:t>Económico-financiera</w:t>
          </w:r>
        </w:p>
      </w:tc>
    </w:tr>
    <w:tr w:rsidR="0022384A" w14:paraId="74A70022" w14:textId="77777777">
      <w:tc>
        <w:tcPr>
          <w:tcW w:w="4460" w:type="dxa"/>
          <w:shd w:val="clear" w:color="auto" w:fill="auto"/>
          <w:tcMar>
            <w:top w:w="0" w:type="dxa"/>
            <w:left w:w="108" w:type="dxa"/>
            <w:bottom w:w="0" w:type="dxa"/>
            <w:right w:w="108" w:type="dxa"/>
          </w:tcMar>
          <w:vAlign w:val="center"/>
        </w:tcPr>
        <w:p w14:paraId="74A70020" w14:textId="77777777" w:rsidR="0022384A" w:rsidRDefault="00516B4A">
          <w:pPr>
            <w:pStyle w:val="Encabezado"/>
          </w:pPr>
        </w:p>
      </w:tc>
      <w:tc>
        <w:tcPr>
          <w:tcW w:w="4461" w:type="dxa"/>
          <w:shd w:val="clear" w:color="auto" w:fill="auto"/>
          <w:tcMar>
            <w:top w:w="0" w:type="dxa"/>
            <w:left w:w="108" w:type="dxa"/>
            <w:bottom w:w="0" w:type="dxa"/>
            <w:right w:w="108" w:type="dxa"/>
          </w:tcMar>
          <w:vAlign w:val="center"/>
        </w:tcPr>
        <w:p w14:paraId="74A70021" w14:textId="77777777" w:rsidR="0022384A" w:rsidRDefault="00516B4A">
          <w:pPr>
            <w:pStyle w:val="Encabezado"/>
            <w:jc w:val="right"/>
            <w:rPr>
              <w:b/>
              <w:bCs/>
              <w:color w:val="00B0F0"/>
              <w:sz w:val="24"/>
              <w:szCs w:val="24"/>
            </w:rPr>
          </w:pPr>
        </w:p>
      </w:tc>
    </w:tr>
  </w:tbl>
  <w:p w14:paraId="74A70023" w14:textId="77777777" w:rsidR="0022384A" w:rsidRDefault="00516B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573"/>
    <w:multiLevelType w:val="multilevel"/>
    <w:tmpl w:val="79B6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31C90"/>
    <w:multiLevelType w:val="multilevel"/>
    <w:tmpl w:val="F70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F03EB"/>
    <w:multiLevelType w:val="multilevel"/>
    <w:tmpl w:val="E7E4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D0524"/>
    <w:multiLevelType w:val="multilevel"/>
    <w:tmpl w:val="EE4A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A5037"/>
    <w:multiLevelType w:val="multilevel"/>
    <w:tmpl w:val="40AE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F67DE"/>
    <w:multiLevelType w:val="multilevel"/>
    <w:tmpl w:val="F000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C1FC4"/>
    <w:multiLevelType w:val="multilevel"/>
    <w:tmpl w:val="A53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F0F1D"/>
    <w:multiLevelType w:val="multilevel"/>
    <w:tmpl w:val="EDBE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63F03"/>
    <w:multiLevelType w:val="multilevel"/>
    <w:tmpl w:val="3542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D94407"/>
    <w:multiLevelType w:val="multilevel"/>
    <w:tmpl w:val="2660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103AB"/>
    <w:multiLevelType w:val="multilevel"/>
    <w:tmpl w:val="E56C07F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380018F4"/>
    <w:multiLevelType w:val="multilevel"/>
    <w:tmpl w:val="E71238B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CBF3EB6"/>
    <w:multiLevelType w:val="multilevel"/>
    <w:tmpl w:val="04E2A0E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417D28DC"/>
    <w:multiLevelType w:val="multilevel"/>
    <w:tmpl w:val="945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B76B4"/>
    <w:multiLevelType w:val="multilevel"/>
    <w:tmpl w:val="48BC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1E69B8"/>
    <w:multiLevelType w:val="multilevel"/>
    <w:tmpl w:val="FC4A3C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50382CF8"/>
    <w:multiLevelType w:val="multilevel"/>
    <w:tmpl w:val="E43A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930519"/>
    <w:multiLevelType w:val="multilevel"/>
    <w:tmpl w:val="7A1A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D1E0E"/>
    <w:multiLevelType w:val="multilevel"/>
    <w:tmpl w:val="664E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790116"/>
    <w:multiLevelType w:val="multilevel"/>
    <w:tmpl w:val="8B501C7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5D2D518D"/>
    <w:multiLevelType w:val="multilevel"/>
    <w:tmpl w:val="989A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7A25C5"/>
    <w:multiLevelType w:val="multilevel"/>
    <w:tmpl w:val="4BB8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CD057A"/>
    <w:multiLevelType w:val="multilevel"/>
    <w:tmpl w:val="AAFC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AA7CB2"/>
    <w:multiLevelType w:val="multilevel"/>
    <w:tmpl w:val="1652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97853"/>
    <w:multiLevelType w:val="multilevel"/>
    <w:tmpl w:val="DA70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E81EA8"/>
    <w:multiLevelType w:val="multilevel"/>
    <w:tmpl w:val="80EE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DA16AA"/>
    <w:multiLevelType w:val="multilevel"/>
    <w:tmpl w:val="4512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034E0"/>
    <w:multiLevelType w:val="multilevel"/>
    <w:tmpl w:val="6F5C90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5"/>
  </w:num>
  <w:num w:numId="2">
    <w:abstractNumId w:val="19"/>
  </w:num>
  <w:num w:numId="3">
    <w:abstractNumId w:val="10"/>
  </w:num>
  <w:num w:numId="4">
    <w:abstractNumId w:val="11"/>
  </w:num>
  <w:num w:numId="5">
    <w:abstractNumId w:val="27"/>
  </w:num>
  <w:num w:numId="6">
    <w:abstractNumId w:val="12"/>
  </w:num>
  <w:num w:numId="7">
    <w:abstractNumId w:val="5"/>
  </w:num>
  <w:num w:numId="8">
    <w:abstractNumId w:val="23"/>
  </w:num>
  <w:num w:numId="9">
    <w:abstractNumId w:val="17"/>
  </w:num>
  <w:num w:numId="10">
    <w:abstractNumId w:val="4"/>
  </w:num>
  <w:num w:numId="11">
    <w:abstractNumId w:val="13"/>
  </w:num>
  <w:num w:numId="12">
    <w:abstractNumId w:val="18"/>
  </w:num>
  <w:num w:numId="13">
    <w:abstractNumId w:val="16"/>
  </w:num>
  <w:num w:numId="14">
    <w:abstractNumId w:val="2"/>
  </w:num>
  <w:num w:numId="15">
    <w:abstractNumId w:val="7"/>
  </w:num>
  <w:num w:numId="16">
    <w:abstractNumId w:val="21"/>
  </w:num>
  <w:num w:numId="17">
    <w:abstractNumId w:val="25"/>
  </w:num>
  <w:num w:numId="18">
    <w:abstractNumId w:val="0"/>
  </w:num>
  <w:num w:numId="19">
    <w:abstractNumId w:val="22"/>
  </w:num>
  <w:num w:numId="20">
    <w:abstractNumId w:val="9"/>
  </w:num>
  <w:num w:numId="21">
    <w:abstractNumId w:val="24"/>
  </w:num>
  <w:num w:numId="22">
    <w:abstractNumId w:val="3"/>
  </w:num>
  <w:num w:numId="23">
    <w:abstractNumId w:val="6"/>
  </w:num>
  <w:num w:numId="24">
    <w:abstractNumId w:val="14"/>
  </w:num>
  <w:num w:numId="25">
    <w:abstractNumId w:val="20"/>
  </w:num>
  <w:num w:numId="26">
    <w:abstractNumId w:val="1"/>
  </w:num>
  <w:num w:numId="27">
    <w:abstractNumId w:val="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A1"/>
    <w:rsid w:val="001A5F15"/>
    <w:rsid w:val="00516B4A"/>
    <w:rsid w:val="00736F5B"/>
    <w:rsid w:val="008E57FA"/>
    <w:rsid w:val="009D265E"/>
    <w:rsid w:val="00F969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0011"/>
  <w15:docId w15:val="{175859CB-C90A-462C-9C58-25DE0D2F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Open Sans" w:hAnsi="Open Sans"/>
    </w:rPr>
  </w:style>
  <w:style w:type="paragraph" w:styleId="Ttulo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Ttulo3">
    <w:name w:val="heading 3"/>
    <w:basedOn w:val="Normal"/>
    <w:uiPriority w:val="9"/>
    <w:unhideWhenUsed/>
    <w:qFormat/>
    <w:pPr>
      <w:spacing w:before="100" w:after="100"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uiPriority w:val="9"/>
    <w:unhideWhenUsed/>
    <w:qFormat/>
    <w:pPr>
      <w:keepNext/>
      <w:keepLines/>
      <w:spacing w:before="40" w:after="0"/>
      <w:outlineLvl w:val="3"/>
    </w:pPr>
    <w:rPr>
      <w:rFonts w:ascii="Calibri Light" w:eastAsia="Times New Roman" w:hAnsi="Calibri Light"/>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rPr>
      <w:rFonts w:ascii="Times New Roman" w:eastAsia="Times New Roman" w:hAnsi="Times New Roman" w:cs="Times New Roman"/>
      <w:b/>
      <w:bCs/>
      <w:sz w:val="27"/>
      <w:szCs w:val="27"/>
      <w:lang w:eastAsia="es-ES"/>
    </w:rPr>
  </w:style>
  <w:style w:type="paragraph" w:customStyle="1" w:styleId="p1">
    <w:name w:val="p1"/>
    <w:basedOn w:val="Normal"/>
    <w:pPr>
      <w:spacing w:before="100" w:after="100" w:line="240" w:lineRule="auto"/>
    </w:pPr>
    <w:rPr>
      <w:rFonts w:ascii="Times New Roman" w:eastAsia="Times New Roman" w:hAnsi="Times New Roman"/>
      <w:sz w:val="24"/>
      <w:szCs w:val="24"/>
      <w:lang w:eastAsia="es-ES"/>
    </w:rPr>
  </w:style>
  <w:style w:type="character" w:customStyle="1" w:styleId="s1">
    <w:name w:val="s1"/>
    <w:basedOn w:val="Fuentedeprrafopredeter"/>
  </w:style>
  <w:style w:type="character" w:styleId="Textoennegrita">
    <w:name w:val="Strong"/>
    <w:basedOn w:val="Fuentedeprrafopredeter"/>
    <w:uiPriority w:val="22"/>
    <w:qFormat/>
    <w:rPr>
      <w:b/>
      <w:bCs/>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s-ES"/>
    </w:rPr>
  </w:style>
  <w:style w:type="paragraph" w:customStyle="1" w:styleId="p2">
    <w:name w:val="p2"/>
    <w:basedOn w:val="Normal"/>
    <w:pPr>
      <w:spacing w:before="100" w:after="100" w:line="240" w:lineRule="auto"/>
    </w:pPr>
    <w:rPr>
      <w:rFonts w:ascii="Times New Roman" w:eastAsia="Times New Roman" w:hAnsi="Times New Roman"/>
      <w:sz w:val="24"/>
      <w:szCs w:val="24"/>
      <w:lang w:eastAsia="es-ES"/>
    </w:rPr>
  </w:style>
  <w:style w:type="paragraph" w:customStyle="1" w:styleId="p3">
    <w:name w:val="p3"/>
    <w:basedOn w:val="Normal"/>
    <w:pPr>
      <w:spacing w:before="100" w:after="100" w:line="240" w:lineRule="auto"/>
    </w:pPr>
    <w:rPr>
      <w:rFonts w:ascii="Times New Roman" w:eastAsia="Times New Roman" w:hAnsi="Times New Roman"/>
      <w:sz w:val="24"/>
      <w:szCs w:val="24"/>
      <w:lang w:eastAsia="es-ES"/>
    </w:rPr>
  </w:style>
  <w:style w:type="character" w:styleId="Hipervnculo">
    <w:name w:val="Hyperlink"/>
    <w:basedOn w:val="Fuentedeprrafopredeter"/>
    <w:rPr>
      <w:color w:val="0000FF"/>
      <w:u w:val="single"/>
    </w:rPr>
  </w:style>
  <w:style w:type="character" w:customStyle="1" w:styleId="s2">
    <w:name w:val="s2"/>
    <w:basedOn w:val="Fuentedeprrafopredeter"/>
  </w:style>
  <w:style w:type="paragraph" w:customStyle="1" w:styleId="p4">
    <w:name w:val="p4"/>
    <w:basedOn w:val="Normal"/>
    <w:pPr>
      <w:spacing w:before="100" w:after="100" w:line="240" w:lineRule="auto"/>
    </w:pPr>
    <w:rPr>
      <w:rFonts w:ascii="Times New Roman" w:eastAsia="Times New Roman" w:hAnsi="Times New Roman"/>
      <w:sz w:val="24"/>
      <w:szCs w:val="24"/>
      <w:lang w:eastAsia="es-ES"/>
    </w:rPr>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line="240" w:lineRule="auto"/>
    </w:pPr>
  </w:style>
  <w:style w:type="character" w:customStyle="1" w:styleId="PiedepginaCar">
    <w:name w:val="Pie de página Car"/>
    <w:basedOn w:val="Fuentedeprrafopredeter"/>
  </w:style>
  <w:style w:type="character" w:customStyle="1" w:styleId="Ttulo4Car">
    <w:name w:val="Título 4 Car"/>
    <w:basedOn w:val="Fuentedeprrafopredeter"/>
    <w:rPr>
      <w:rFonts w:ascii="Calibri Light" w:eastAsia="Times New Roman" w:hAnsi="Calibri Light" w:cs="Times New Roman"/>
      <w:i/>
      <w:iCs/>
      <w:color w:val="2F5496"/>
    </w:rPr>
  </w:style>
  <w:style w:type="paragraph" w:styleId="z-Principiodelformulario">
    <w:name w:val="HTML Top of Form"/>
    <w:basedOn w:val="Normal"/>
    <w:next w:val="Normal"/>
    <w:pPr>
      <w:pBdr>
        <w:bottom w:val="single" w:sz="6" w:space="1" w:color="000000"/>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rPr>
      <w:rFonts w:ascii="Arial" w:eastAsia="Times New Roman" w:hAnsi="Arial" w:cs="Arial"/>
      <w:vanish/>
      <w:sz w:val="16"/>
      <w:szCs w:val="16"/>
      <w:lang w:eastAsia="es-ES"/>
    </w:rPr>
  </w:style>
  <w:style w:type="paragraph" w:styleId="z-Finaldelformulario">
    <w:name w:val="HTML Bottom of Form"/>
    <w:basedOn w:val="Normal"/>
    <w:next w:val="Normal"/>
    <w:pPr>
      <w:pBdr>
        <w:top w:val="single" w:sz="6" w:space="1" w:color="000000"/>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rPr>
      <w:rFonts w:ascii="Arial" w:eastAsia="Times New Roman" w:hAnsi="Arial" w:cs="Arial"/>
      <w:vanish/>
      <w:sz w:val="16"/>
      <w:szCs w:val="16"/>
      <w:lang w:eastAsia="es-ES"/>
    </w:rPr>
  </w:style>
  <w:style w:type="paragraph" w:customStyle="1" w:styleId="has-small-font-size">
    <w:name w:val="has-small-font-size"/>
    <w:basedOn w:val="Normal"/>
    <w:pPr>
      <w:spacing w:before="100" w:after="100" w:line="240" w:lineRule="auto"/>
    </w:pPr>
    <w:rPr>
      <w:rFonts w:ascii="Times New Roman" w:eastAsia="Times New Roman" w:hAnsi="Times New Roman"/>
      <w:sz w:val="24"/>
      <w:szCs w:val="24"/>
      <w:lang w:eastAsia="es-ES"/>
    </w:rPr>
  </w:style>
  <w:style w:type="paragraph" w:styleId="Prrafodelista">
    <w:name w:val="List Paragraph"/>
    <w:basedOn w:val="Normal"/>
    <w:pPr>
      <w:ind w:left="720"/>
    </w:pPr>
  </w:style>
  <w:style w:type="character" w:customStyle="1" w:styleId="Ttulo2Car">
    <w:name w:val="Título 2 Car"/>
    <w:basedOn w:val="Fuentedeprrafopredeter"/>
    <w:rPr>
      <w:rFonts w:ascii="Calibri Light" w:eastAsia="Times New Roman" w:hAnsi="Calibri Light" w:cs="Times New Roman"/>
      <w:color w:val="2F5496"/>
      <w:sz w:val="26"/>
      <w:szCs w:val="26"/>
    </w:rPr>
  </w:style>
  <w:style w:type="character" w:styleId="nfasis">
    <w:name w:val="Emphasis"/>
    <w:basedOn w:val="Fuentedeprrafopredete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372471">
      <w:bodyDiv w:val="1"/>
      <w:marLeft w:val="0"/>
      <w:marRight w:val="0"/>
      <w:marTop w:val="0"/>
      <w:marBottom w:val="0"/>
      <w:divBdr>
        <w:top w:val="none" w:sz="0" w:space="0" w:color="auto"/>
        <w:left w:val="none" w:sz="0" w:space="0" w:color="auto"/>
        <w:bottom w:val="none" w:sz="0" w:space="0" w:color="auto"/>
        <w:right w:val="none" w:sz="0" w:space="0" w:color="auto"/>
      </w:divBdr>
    </w:div>
    <w:div w:id="1468620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oe.es/buscar/pdf/2010/BOE-A-2010-14621-consolidado.pdf" TargetMode="External"/><Relationship Id="rId18" Type="http://schemas.openxmlformats.org/officeDocument/2006/relationships/hyperlink" Target="https://www.itccanarias.org/web/images/itc/TR-ECO-Certificacin_2019-4_Aprobacin_Cuentas_Anuales_JG_14-05-2019.pdf" TargetMode="External"/><Relationship Id="rId26" Type="http://schemas.openxmlformats.org/officeDocument/2006/relationships/hyperlink" Target="https://www.itccanarias.org/web/images/itc/TR-ECO-Cuentas_de_prdidas_y_ganancias_2019.ods" TargetMode="External"/><Relationship Id="rId3" Type="http://schemas.openxmlformats.org/officeDocument/2006/relationships/settings" Target="settings.xml"/><Relationship Id="rId21" Type="http://schemas.openxmlformats.org/officeDocument/2006/relationships/hyperlink" Target="https://www.itccanarias.org/web/images/itc/TR-ECO-Cuentas_de_prdidas_y_ganancias_2017.xlsx" TargetMode="External"/><Relationship Id="rId34" Type="http://schemas.openxmlformats.org/officeDocument/2006/relationships/fontTable" Target="fontTable.xml"/><Relationship Id="rId7" Type="http://schemas.openxmlformats.org/officeDocument/2006/relationships/hyperlink" Target="https://www.gobiernodecanarias.org/ece/introduccion/index.html" TargetMode="External"/><Relationship Id="rId12" Type="http://schemas.openxmlformats.org/officeDocument/2006/relationships/hyperlink" Target="https://www.itccanarias.org/web/images/itc/TR-ECO-Presupuesto_ITC_2020.pdf" TargetMode="External"/><Relationship Id="rId17" Type="http://schemas.openxmlformats.org/officeDocument/2006/relationships/hyperlink" Target="https://www.itccanarias.org/web/images/itc/ITC-2018_cuentas.pdf" TargetMode="External"/><Relationship Id="rId25" Type="http://schemas.openxmlformats.org/officeDocument/2006/relationships/hyperlink" Target="https://www.itccanarias.org/web/images/itc/TR-ECO-Cuentas_de_prdidas_y_ganancias_2019.xlsx"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ccanarias.org/web/images/itc/TR-ECO-Certificacin_2018-5_Aprobacin_CCAA_2017_JGOU_03-05-2018.pdf" TargetMode="External"/><Relationship Id="rId20" Type="http://schemas.openxmlformats.org/officeDocument/2006/relationships/hyperlink" Target="https://www.itccanarias.org/web/images/itc/TR-ECO-Certificacin_2020-Certificado_Aprobacin_de_Cuentas_ITC.pdf"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ccanarias.org/web/images/itc/Presupuesto_ITC_2019.pdf" TargetMode="External"/><Relationship Id="rId24" Type="http://schemas.openxmlformats.org/officeDocument/2006/relationships/hyperlink" Target="https://www.itccanarias.org/web/images/itc/TR-ECO-Cuentas_de_prdidas_y_ganancias_2018.ods" TargetMode="External"/><Relationship Id="rId32" Type="http://schemas.openxmlformats.org/officeDocument/2006/relationships/hyperlink" Target="https://www.itccanarias.org/web/images/itc/TR-ECO-PORCENTAJE_DEL_GASTO_DE_PERSONAL_CON_Y_SIN_AMORTIZACIN_PARA_LOS_EJERCICIOS_2017_Y_2018.ods" TargetMode="External"/><Relationship Id="rId5" Type="http://schemas.openxmlformats.org/officeDocument/2006/relationships/footnotes" Target="footnotes.xml"/><Relationship Id="rId15" Type="http://schemas.openxmlformats.org/officeDocument/2006/relationships/hyperlink" Target="https://www.itccanarias.org/web/images/itc/ITC-2017_cuentas.pdf" TargetMode="External"/><Relationship Id="rId23" Type="http://schemas.openxmlformats.org/officeDocument/2006/relationships/hyperlink" Target="https://www.itccanarias.org/web/images/itc/TR-ECO-Cuentas_de_prdidas_y_ganancias_2018.xlsx" TargetMode="External"/><Relationship Id="rId28" Type="http://schemas.openxmlformats.org/officeDocument/2006/relationships/hyperlink" Target="https://www.itccanarias.org/web/images/itc/TR-ECO-Informe_de_Fiscalizacin_Audiencia_de_Cuentas_2018.pdf" TargetMode="External"/><Relationship Id="rId10" Type="http://schemas.openxmlformats.org/officeDocument/2006/relationships/hyperlink" Target="https://www.itccanarias.org/web/images/itc/Presupuesto_ITC_2018.pdf" TargetMode="External"/><Relationship Id="rId19" Type="http://schemas.openxmlformats.org/officeDocument/2006/relationships/hyperlink" Target="https://www.itccanarias.org/web/images/itc/TR-ECO-ITC_2019_cuentas.pdf" TargetMode="External"/><Relationship Id="rId31" Type="http://schemas.openxmlformats.org/officeDocument/2006/relationships/hyperlink" Target="https://www.itccanarias.org/web/images/itc/TR-ECO-PORCENTAJE_DEL_GASTO_DE_PERSONAL_CON_Y_SIN_AMORTIZACIN_PARA_LOS_EJERCICIOS_2017_Y_2018.xlsx" TargetMode="External"/><Relationship Id="rId4" Type="http://schemas.openxmlformats.org/officeDocument/2006/relationships/webSettings" Target="webSettings.xml"/><Relationship Id="rId9" Type="http://schemas.openxmlformats.org/officeDocument/2006/relationships/hyperlink" Target="https://www.itccanarias.org/web/images/itc/Presupuesto_ITC_2017.pdf" TargetMode="External"/><Relationship Id="rId14" Type="http://schemas.openxmlformats.org/officeDocument/2006/relationships/hyperlink" Target="https://www.itccanarias.org/web/images/itc/ITC-2016_cuentas.pdf" TargetMode="External"/><Relationship Id="rId22" Type="http://schemas.openxmlformats.org/officeDocument/2006/relationships/hyperlink" Target="https://www.itccanarias.org/web/images/itc/TR-ECO-Cuentas_de_prdidas_y_ganancias_2017.ods" TargetMode="External"/><Relationship Id="rId27" Type="http://schemas.openxmlformats.org/officeDocument/2006/relationships/hyperlink" Target="https://www.itccanarias.org/web/images/itc/TR-ECO-Informe_de_Fiscalizacin_Audiencia_de_Cuentas_2017.pdf" TargetMode="Externa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hyperlink" Target="http://www.gobiernodecanarias.org/hacienda/dgpla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1353</Words>
  <Characters>7444</Characters>
  <Application>Microsoft Office Word</Application>
  <DocSecurity>0</DocSecurity>
  <Lines>62</Lines>
  <Paragraphs>17</Paragraphs>
  <ScaleCrop>false</ScaleCrop>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rgarcia@itccanarias.org</dc:creator>
  <dc:description/>
  <cp:lastModifiedBy>rgarcia@itccanarias.org</cp:lastModifiedBy>
  <cp:revision>3</cp:revision>
  <dcterms:created xsi:type="dcterms:W3CDTF">2020-07-06T10:47:00Z</dcterms:created>
  <dcterms:modified xsi:type="dcterms:W3CDTF">2020-07-06T10:49:00Z</dcterms:modified>
</cp:coreProperties>
</file>