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4A38E" w14:textId="77777777" w:rsidR="00932B1C" w:rsidRPr="00F56ADE" w:rsidRDefault="00932B1C" w:rsidP="00932B1C">
      <w:pPr>
        <w:jc w:val="center"/>
        <w:rPr>
          <w:rFonts w:ascii="Trebuchet MS" w:hAnsi="Trebuchet MS" w:cs="Trebuchet MS"/>
          <w:sz w:val="28"/>
          <w:szCs w:val="28"/>
        </w:rPr>
      </w:pPr>
      <w:bookmarkStart w:id="0" w:name="_GoBack"/>
      <w:bookmarkEnd w:id="0"/>
    </w:p>
    <w:p w14:paraId="78132F83" w14:textId="77777777" w:rsidR="00932B1C" w:rsidRPr="00F56ADE" w:rsidRDefault="00932B1C" w:rsidP="00932B1C">
      <w:pPr>
        <w:jc w:val="center"/>
        <w:rPr>
          <w:rFonts w:ascii="Trebuchet MS" w:hAnsi="Trebuchet MS" w:cs="Trebuchet MS"/>
          <w:sz w:val="28"/>
          <w:szCs w:val="28"/>
        </w:rPr>
      </w:pPr>
    </w:p>
    <w:p w14:paraId="1312A5E2" w14:textId="77777777" w:rsidR="00932B1C" w:rsidRPr="00F56ADE" w:rsidRDefault="00932B1C" w:rsidP="00932B1C">
      <w:pPr>
        <w:jc w:val="center"/>
        <w:rPr>
          <w:rFonts w:ascii="Trebuchet MS" w:hAnsi="Trebuchet MS" w:cs="Trebuchet MS"/>
          <w:sz w:val="28"/>
          <w:szCs w:val="28"/>
        </w:rPr>
      </w:pPr>
    </w:p>
    <w:p w14:paraId="4D729B27" w14:textId="77777777" w:rsidR="00932B1C" w:rsidRPr="00F56ADE" w:rsidRDefault="00932B1C" w:rsidP="00932B1C">
      <w:pPr>
        <w:jc w:val="center"/>
        <w:rPr>
          <w:rFonts w:ascii="Trebuchet MS" w:hAnsi="Trebuchet MS" w:cs="Trebuchet MS"/>
          <w:sz w:val="28"/>
          <w:szCs w:val="28"/>
        </w:rPr>
      </w:pPr>
    </w:p>
    <w:p w14:paraId="40B70F05" w14:textId="77777777" w:rsidR="00932B1C" w:rsidRPr="00F56ADE" w:rsidRDefault="00932B1C" w:rsidP="00932B1C">
      <w:pPr>
        <w:jc w:val="center"/>
        <w:rPr>
          <w:rFonts w:ascii="Trebuchet MS" w:hAnsi="Trebuchet MS" w:cs="Trebuchet MS"/>
          <w:sz w:val="28"/>
          <w:szCs w:val="28"/>
        </w:rPr>
      </w:pPr>
    </w:p>
    <w:p w14:paraId="49C80337" w14:textId="77777777" w:rsidR="00932B1C" w:rsidRPr="00F56ADE" w:rsidRDefault="00932B1C" w:rsidP="00932B1C">
      <w:pPr>
        <w:jc w:val="center"/>
        <w:rPr>
          <w:rFonts w:ascii="Trebuchet MS" w:hAnsi="Trebuchet MS" w:cs="Trebuchet MS"/>
          <w:sz w:val="28"/>
          <w:szCs w:val="28"/>
        </w:rPr>
      </w:pPr>
    </w:p>
    <w:p w14:paraId="19302B00" w14:textId="77777777" w:rsidR="00932B1C" w:rsidRPr="00F56ADE" w:rsidRDefault="00932B1C" w:rsidP="00932B1C">
      <w:pPr>
        <w:jc w:val="center"/>
        <w:rPr>
          <w:rFonts w:ascii="Trebuchet MS" w:hAnsi="Trebuchet MS" w:cs="Trebuchet MS"/>
          <w:sz w:val="28"/>
          <w:szCs w:val="28"/>
        </w:rPr>
      </w:pPr>
    </w:p>
    <w:p w14:paraId="67EE668E" w14:textId="77777777" w:rsidR="00932B1C" w:rsidRPr="00F56ADE" w:rsidRDefault="00932B1C" w:rsidP="00932B1C">
      <w:pPr>
        <w:jc w:val="center"/>
        <w:rPr>
          <w:rFonts w:ascii="Trebuchet MS" w:hAnsi="Trebuchet MS" w:cs="Trebuchet MS"/>
          <w:sz w:val="28"/>
          <w:szCs w:val="28"/>
        </w:rPr>
      </w:pPr>
    </w:p>
    <w:p w14:paraId="3FE14155" w14:textId="77777777" w:rsidR="00932B1C" w:rsidRPr="00F56ADE" w:rsidRDefault="00D76C6C" w:rsidP="00850B72">
      <w:pPr>
        <w:tabs>
          <w:tab w:val="left" w:pos="7588"/>
        </w:tabs>
        <w:rPr>
          <w:rFonts w:ascii="Trebuchet MS" w:hAnsi="Trebuchet MS" w:cs="Trebuchet MS"/>
          <w:sz w:val="28"/>
          <w:szCs w:val="28"/>
        </w:rPr>
      </w:pPr>
      <w:r>
        <w:rPr>
          <w:rFonts w:ascii="Trebuchet MS" w:hAnsi="Trebuchet MS" w:cs="Trebuchet MS"/>
          <w:sz w:val="28"/>
          <w:szCs w:val="28"/>
        </w:rPr>
        <w:tab/>
      </w:r>
    </w:p>
    <w:tbl>
      <w:tblPr>
        <w:tblW w:w="8647" w:type="dxa"/>
        <w:tblInd w:w="39" w:type="dxa"/>
        <w:tblLayout w:type="fixed"/>
        <w:tblCellMar>
          <w:left w:w="39" w:type="dxa"/>
          <w:right w:w="39" w:type="dxa"/>
        </w:tblCellMar>
        <w:tblLook w:val="0000" w:firstRow="0" w:lastRow="0" w:firstColumn="0" w:lastColumn="0" w:noHBand="0" w:noVBand="0"/>
      </w:tblPr>
      <w:tblGrid>
        <w:gridCol w:w="3686"/>
        <w:gridCol w:w="4961"/>
      </w:tblGrid>
      <w:tr w:rsidR="00F56ADE" w:rsidRPr="00F56ADE" w14:paraId="60375F8D" w14:textId="77777777" w:rsidTr="00932B1C">
        <w:tc>
          <w:tcPr>
            <w:tcW w:w="3686" w:type="dxa"/>
            <w:tcBorders>
              <w:top w:val="nil"/>
              <w:left w:val="nil"/>
              <w:bottom w:val="nil"/>
              <w:right w:val="nil"/>
            </w:tcBorders>
          </w:tcPr>
          <w:p w14:paraId="3F943B5C" w14:textId="77777777" w:rsidR="00932B1C" w:rsidRPr="00F56ADE" w:rsidRDefault="00932B1C" w:rsidP="00932B1C">
            <w:pPr>
              <w:rPr>
                <w:rFonts w:ascii="Trebuchet MS" w:eastAsiaTheme="minorEastAsia" w:hAnsi="Trebuchet MS" w:cs="Trebuchet MS"/>
                <w:sz w:val="28"/>
                <w:szCs w:val="28"/>
              </w:rPr>
            </w:pPr>
          </w:p>
        </w:tc>
        <w:tc>
          <w:tcPr>
            <w:tcW w:w="4961" w:type="dxa"/>
            <w:tcBorders>
              <w:top w:val="nil"/>
              <w:left w:val="nil"/>
              <w:bottom w:val="nil"/>
              <w:right w:val="nil"/>
            </w:tcBorders>
          </w:tcPr>
          <w:p w14:paraId="34B61E53" w14:textId="77777777" w:rsidR="00932B1C" w:rsidRPr="00F56ADE" w:rsidRDefault="00932B1C" w:rsidP="00932B1C">
            <w:pPr>
              <w:rPr>
                <w:rFonts w:ascii="Trebuchet MS" w:eastAsiaTheme="minorEastAsia" w:hAnsi="Trebuchet MS" w:cs="Trebuchet MS"/>
                <w:b/>
                <w:bCs/>
                <w:sz w:val="28"/>
                <w:szCs w:val="28"/>
              </w:rPr>
            </w:pPr>
            <w:r w:rsidRPr="00F56ADE">
              <w:rPr>
                <w:rFonts w:ascii="Trebuchet MS" w:eastAsiaTheme="minorEastAsia" w:hAnsi="Trebuchet MS" w:cs="Trebuchet MS"/>
                <w:b/>
                <w:bCs/>
                <w:sz w:val="28"/>
                <w:szCs w:val="28"/>
              </w:rPr>
              <w:t>INSTITUTO TECNOLÓGICO DE CANARIAS, S.A.</w:t>
            </w:r>
          </w:p>
          <w:p w14:paraId="49B63131" w14:textId="77777777" w:rsidR="00932B1C" w:rsidRPr="00F56ADE" w:rsidRDefault="00932B1C" w:rsidP="00932B1C">
            <w:pPr>
              <w:rPr>
                <w:rFonts w:ascii="Trebuchet MS" w:eastAsiaTheme="minorEastAsia" w:hAnsi="Trebuchet MS" w:cs="Trebuchet MS"/>
                <w:b/>
                <w:bCs/>
                <w:sz w:val="28"/>
                <w:szCs w:val="28"/>
              </w:rPr>
            </w:pPr>
          </w:p>
          <w:p w14:paraId="6D89F2E0" w14:textId="77777777" w:rsidR="00932B1C" w:rsidRPr="00F56ADE" w:rsidRDefault="00932B1C" w:rsidP="006303D2">
            <w:pPr>
              <w:jc w:val="both"/>
              <w:rPr>
                <w:rFonts w:ascii="Trebuchet MS" w:eastAsiaTheme="minorEastAsia" w:hAnsi="Trebuchet MS" w:cs="Trebuchet MS"/>
                <w:sz w:val="28"/>
                <w:szCs w:val="28"/>
              </w:rPr>
            </w:pPr>
            <w:r w:rsidRPr="00F56ADE">
              <w:rPr>
                <w:rFonts w:ascii="Trebuchet MS" w:eastAsiaTheme="minorEastAsia" w:hAnsi="Trebuchet MS" w:cs="Trebuchet MS"/>
                <w:sz w:val="28"/>
                <w:szCs w:val="28"/>
              </w:rPr>
              <w:t xml:space="preserve">Cuentas Anuales e Informe de Gestión correspondientes al </w:t>
            </w:r>
            <w:r w:rsidR="00B1690F" w:rsidRPr="00F56ADE">
              <w:rPr>
                <w:rFonts w:ascii="Trebuchet MS" w:eastAsiaTheme="minorEastAsia" w:hAnsi="Trebuchet MS" w:cs="Trebuchet MS"/>
                <w:sz w:val="28"/>
                <w:szCs w:val="28"/>
              </w:rPr>
              <w:t>ejercicio 201</w:t>
            </w:r>
            <w:r w:rsidR="006303D2">
              <w:rPr>
                <w:rFonts w:ascii="Trebuchet MS" w:eastAsiaTheme="minorEastAsia" w:hAnsi="Trebuchet MS" w:cs="Trebuchet MS"/>
                <w:sz w:val="28"/>
                <w:szCs w:val="28"/>
              </w:rPr>
              <w:t>9</w:t>
            </w:r>
            <w:r w:rsidRPr="00F56ADE">
              <w:rPr>
                <w:rFonts w:ascii="Trebuchet MS" w:eastAsiaTheme="minorEastAsia" w:hAnsi="Trebuchet MS" w:cs="Trebuchet MS"/>
                <w:sz w:val="28"/>
                <w:szCs w:val="28"/>
              </w:rPr>
              <w:t xml:space="preserve"> junto con el Informe de Auditoría de Cuentas Anuales</w:t>
            </w:r>
          </w:p>
        </w:tc>
      </w:tr>
    </w:tbl>
    <w:p w14:paraId="47599EE1" w14:textId="77777777" w:rsidR="000E7DB0" w:rsidRPr="00F56ADE" w:rsidRDefault="000E7DB0" w:rsidP="000E7DB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Narrow" w:hAnsi="Arial Narrow" w:cs="Arial"/>
          <w:b/>
          <w:snapToGrid w:val="0"/>
          <w:color w:val="FF0000"/>
          <w:sz w:val="24"/>
          <w:szCs w:val="24"/>
          <w:lang w:eastAsia="es-ES"/>
        </w:rPr>
      </w:pPr>
    </w:p>
    <w:p w14:paraId="543104D7" w14:textId="77777777" w:rsidR="00932B1C" w:rsidRPr="00F56ADE" w:rsidRDefault="00932B1C">
      <w:pPr>
        <w:rPr>
          <w:rFonts w:ascii="Arial Narrow" w:hAnsi="Arial Narrow" w:cs="Arial"/>
          <w:b/>
          <w:snapToGrid w:val="0"/>
          <w:color w:val="FF0000"/>
          <w:sz w:val="24"/>
          <w:szCs w:val="24"/>
          <w:lang w:eastAsia="es-ES"/>
        </w:rPr>
      </w:pPr>
      <w:r w:rsidRPr="00F56ADE">
        <w:rPr>
          <w:rFonts w:ascii="Arial Narrow" w:hAnsi="Arial Narrow" w:cs="Arial"/>
          <w:b/>
          <w:snapToGrid w:val="0"/>
          <w:color w:val="FF0000"/>
          <w:sz w:val="24"/>
          <w:szCs w:val="24"/>
          <w:lang w:eastAsia="es-ES"/>
        </w:rPr>
        <w:br w:type="page"/>
      </w:r>
    </w:p>
    <w:p w14:paraId="7793838B" w14:textId="77777777" w:rsidR="00932B1C" w:rsidRPr="00F56ADE" w:rsidRDefault="00932B1C" w:rsidP="00932B1C">
      <w:pPr>
        <w:jc w:val="center"/>
        <w:rPr>
          <w:rFonts w:ascii="Trebuchet MS" w:hAnsi="Trebuchet MS" w:cs="Trebuchet MS"/>
          <w:color w:val="FF0000"/>
          <w:sz w:val="28"/>
          <w:szCs w:val="28"/>
        </w:rPr>
      </w:pPr>
    </w:p>
    <w:p w14:paraId="712A6AB9" w14:textId="196631CE" w:rsidR="00932B1C" w:rsidRDefault="00932B1C" w:rsidP="00932B1C">
      <w:pPr>
        <w:jc w:val="center"/>
        <w:rPr>
          <w:rFonts w:ascii="Trebuchet MS" w:hAnsi="Trebuchet MS" w:cs="Trebuchet MS"/>
          <w:color w:val="FF0000"/>
          <w:sz w:val="28"/>
          <w:szCs w:val="28"/>
        </w:rPr>
      </w:pPr>
    </w:p>
    <w:p w14:paraId="009170ED" w14:textId="66A5D357" w:rsidR="009C5E01" w:rsidRDefault="009C5E01" w:rsidP="00932B1C">
      <w:pPr>
        <w:jc w:val="center"/>
        <w:rPr>
          <w:rFonts w:ascii="Trebuchet MS" w:hAnsi="Trebuchet MS" w:cs="Trebuchet MS"/>
          <w:color w:val="FF0000"/>
          <w:sz w:val="28"/>
          <w:szCs w:val="28"/>
        </w:rPr>
      </w:pPr>
    </w:p>
    <w:p w14:paraId="02A9A6FF" w14:textId="41784347" w:rsidR="009C5E01" w:rsidRDefault="009C5E01" w:rsidP="00932B1C">
      <w:pPr>
        <w:jc w:val="center"/>
        <w:rPr>
          <w:rFonts w:ascii="Trebuchet MS" w:hAnsi="Trebuchet MS" w:cs="Trebuchet MS"/>
          <w:color w:val="FF0000"/>
          <w:sz w:val="28"/>
          <w:szCs w:val="28"/>
        </w:rPr>
      </w:pPr>
    </w:p>
    <w:p w14:paraId="3DB9CEF1" w14:textId="1C44BD5C" w:rsidR="009C5E01" w:rsidRDefault="009C5E01" w:rsidP="00932B1C">
      <w:pPr>
        <w:jc w:val="center"/>
        <w:rPr>
          <w:rFonts w:ascii="Trebuchet MS" w:hAnsi="Trebuchet MS" w:cs="Trebuchet MS"/>
          <w:color w:val="FF0000"/>
          <w:sz w:val="28"/>
          <w:szCs w:val="28"/>
        </w:rPr>
      </w:pPr>
    </w:p>
    <w:p w14:paraId="142122AE" w14:textId="1B7951EA" w:rsidR="009C5E01" w:rsidRDefault="009C5E01" w:rsidP="00932B1C">
      <w:pPr>
        <w:jc w:val="center"/>
        <w:rPr>
          <w:rFonts w:ascii="Trebuchet MS" w:hAnsi="Trebuchet MS" w:cs="Trebuchet MS"/>
          <w:color w:val="FF0000"/>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087"/>
      </w:tblGrid>
      <w:tr w:rsidR="00932B1C" w:rsidRPr="00F56ADE" w14:paraId="56322F2C" w14:textId="77777777" w:rsidTr="00932B1C">
        <w:trPr>
          <w:jc w:val="center"/>
        </w:trPr>
        <w:tc>
          <w:tcPr>
            <w:tcW w:w="7087" w:type="dxa"/>
            <w:tcBorders>
              <w:top w:val="nil"/>
              <w:left w:val="nil"/>
              <w:bottom w:val="nil"/>
              <w:right w:val="nil"/>
            </w:tcBorders>
            <w:tcMar>
              <w:left w:w="39" w:type="dxa"/>
              <w:right w:w="39" w:type="dxa"/>
            </w:tcMar>
          </w:tcPr>
          <w:p w14:paraId="18D416BF" w14:textId="77777777" w:rsidR="009C5E01" w:rsidRDefault="009C5E01" w:rsidP="00932B1C">
            <w:pPr>
              <w:jc w:val="center"/>
              <w:rPr>
                <w:rFonts w:ascii="Trebuchet MS" w:eastAsiaTheme="minorEastAsia" w:hAnsi="Trebuchet MS" w:cs="Trebuchet MS"/>
                <w:b/>
                <w:bCs/>
                <w:sz w:val="28"/>
                <w:szCs w:val="28"/>
              </w:rPr>
            </w:pPr>
          </w:p>
          <w:p w14:paraId="41A5A2A8" w14:textId="306E76E6" w:rsidR="00932B1C" w:rsidRPr="00F56ADE" w:rsidRDefault="00932B1C" w:rsidP="00932B1C">
            <w:pPr>
              <w:jc w:val="center"/>
              <w:rPr>
                <w:rFonts w:ascii="Trebuchet MS" w:eastAsiaTheme="minorEastAsia" w:hAnsi="Trebuchet MS" w:cs="Trebuchet MS"/>
                <w:b/>
                <w:bCs/>
                <w:sz w:val="28"/>
                <w:szCs w:val="28"/>
              </w:rPr>
            </w:pPr>
            <w:r w:rsidRPr="00F56ADE">
              <w:rPr>
                <w:rFonts w:ascii="Trebuchet MS" w:eastAsiaTheme="minorEastAsia" w:hAnsi="Trebuchet MS" w:cs="Trebuchet MS"/>
                <w:b/>
                <w:bCs/>
                <w:sz w:val="28"/>
                <w:szCs w:val="28"/>
              </w:rPr>
              <w:t>INSTITUTO TECNOLÓGICO DE CANARIAS, S.A.</w:t>
            </w:r>
          </w:p>
          <w:p w14:paraId="0A5DCF1E" w14:textId="77777777" w:rsidR="00932B1C" w:rsidRPr="00F56ADE" w:rsidRDefault="00932B1C" w:rsidP="00932B1C">
            <w:pPr>
              <w:jc w:val="center"/>
              <w:rPr>
                <w:rFonts w:ascii="Trebuchet MS" w:eastAsiaTheme="minorEastAsia" w:hAnsi="Trebuchet MS" w:cs="Trebuchet MS"/>
                <w:b/>
                <w:bCs/>
                <w:sz w:val="28"/>
                <w:szCs w:val="28"/>
              </w:rPr>
            </w:pPr>
          </w:p>
          <w:p w14:paraId="4BDF7256" w14:textId="77777777" w:rsidR="00932B1C" w:rsidRPr="00F56ADE" w:rsidRDefault="00932B1C" w:rsidP="00FC2576">
            <w:pPr>
              <w:jc w:val="center"/>
              <w:rPr>
                <w:rFonts w:ascii="Trebuchet MS" w:eastAsiaTheme="minorEastAsia" w:hAnsi="Trebuchet MS" w:cs="Trebuchet MS"/>
                <w:sz w:val="28"/>
                <w:szCs w:val="28"/>
              </w:rPr>
            </w:pPr>
            <w:r w:rsidRPr="00F56ADE">
              <w:rPr>
                <w:rFonts w:ascii="Trebuchet MS" w:eastAsiaTheme="minorEastAsia" w:hAnsi="Trebuchet MS" w:cs="Trebuchet MS"/>
                <w:sz w:val="28"/>
                <w:szCs w:val="28"/>
              </w:rPr>
              <w:t xml:space="preserve">Cuentas Anuales e Informe de Gestión correspondientes al </w:t>
            </w:r>
            <w:r w:rsidR="00B1690F" w:rsidRPr="00F56ADE">
              <w:rPr>
                <w:rFonts w:ascii="Trebuchet MS" w:eastAsiaTheme="minorEastAsia" w:hAnsi="Trebuchet MS" w:cs="Trebuchet MS"/>
                <w:sz w:val="28"/>
                <w:szCs w:val="28"/>
              </w:rPr>
              <w:t>ejercicio 201</w:t>
            </w:r>
            <w:r w:rsidR="006303D2">
              <w:rPr>
                <w:rFonts w:ascii="Trebuchet MS" w:eastAsiaTheme="minorEastAsia" w:hAnsi="Trebuchet MS" w:cs="Trebuchet MS"/>
                <w:sz w:val="28"/>
                <w:szCs w:val="28"/>
              </w:rPr>
              <w:t>9</w:t>
            </w:r>
            <w:r w:rsidRPr="00F56ADE">
              <w:rPr>
                <w:rFonts w:ascii="Trebuchet MS" w:eastAsiaTheme="minorEastAsia" w:hAnsi="Trebuchet MS" w:cs="Trebuchet MS"/>
                <w:sz w:val="28"/>
                <w:szCs w:val="28"/>
              </w:rPr>
              <w:t xml:space="preserve"> junto con el Informe de Auditoría de Cuentas Anuales</w:t>
            </w:r>
          </w:p>
        </w:tc>
      </w:tr>
    </w:tbl>
    <w:p w14:paraId="5E489455" w14:textId="77777777" w:rsidR="00932B1C" w:rsidRPr="00F56ADE" w:rsidRDefault="00932B1C" w:rsidP="00932B1C">
      <w:pPr>
        <w:jc w:val="both"/>
        <w:rPr>
          <w:rFonts w:ascii="Trebuchet MS" w:hAnsi="Trebuchet MS" w:cs="Trebuchet MS"/>
          <w:sz w:val="20"/>
        </w:rPr>
      </w:pPr>
    </w:p>
    <w:p w14:paraId="216F698E" w14:textId="77777777" w:rsidR="00932B1C" w:rsidRPr="00F56ADE" w:rsidRDefault="00932B1C" w:rsidP="00932B1C">
      <w:pPr>
        <w:jc w:val="both"/>
        <w:rPr>
          <w:rFonts w:ascii="Trebuchet MS" w:hAnsi="Trebuchet MS" w:cs="Trebuchet MS"/>
          <w:sz w:val="20"/>
        </w:rPr>
      </w:pPr>
    </w:p>
    <w:p w14:paraId="4A313CE9" w14:textId="77777777" w:rsidR="00932B1C" w:rsidRPr="00F56ADE" w:rsidRDefault="00932B1C" w:rsidP="00932B1C">
      <w:pPr>
        <w:jc w:val="both"/>
        <w:rPr>
          <w:rFonts w:ascii="Trebuchet MS" w:hAnsi="Trebuchet MS" w:cs="Trebuchet MS"/>
          <w:sz w:val="20"/>
        </w:rPr>
      </w:pPr>
    </w:p>
    <w:tbl>
      <w:tblPr>
        <w:tblW w:w="9070" w:type="dxa"/>
        <w:tblInd w:w="39" w:type="dxa"/>
        <w:tblBorders>
          <w:left w:val="single" w:sz="8" w:space="0" w:color="000000"/>
          <w:right w:val="single" w:sz="8" w:space="0" w:color="000000"/>
        </w:tblBorders>
        <w:tblLayout w:type="fixed"/>
        <w:tblCellMar>
          <w:left w:w="39" w:type="dxa"/>
          <w:right w:w="39" w:type="dxa"/>
        </w:tblCellMar>
        <w:tblLook w:val="0000" w:firstRow="0" w:lastRow="0" w:firstColumn="0" w:lastColumn="0" w:noHBand="0" w:noVBand="0"/>
      </w:tblPr>
      <w:tblGrid>
        <w:gridCol w:w="283"/>
        <w:gridCol w:w="8787"/>
      </w:tblGrid>
      <w:tr w:rsidR="00F56ADE" w:rsidRPr="00F56ADE" w14:paraId="24C79AF9" w14:textId="77777777" w:rsidTr="00600EFD">
        <w:tc>
          <w:tcPr>
            <w:tcW w:w="283" w:type="dxa"/>
            <w:tcBorders>
              <w:top w:val="single" w:sz="8" w:space="0" w:color="000000"/>
              <w:bottom w:val="single" w:sz="8" w:space="0" w:color="000000"/>
              <w:right w:val="nil"/>
            </w:tcBorders>
            <w:shd w:val="clear" w:color="auto" w:fill="E0E0E0"/>
          </w:tcPr>
          <w:p w14:paraId="5DFA85B1" w14:textId="77777777" w:rsidR="00932B1C" w:rsidRPr="00F56ADE" w:rsidRDefault="00932B1C" w:rsidP="00932B1C">
            <w:pPr>
              <w:jc w:val="both"/>
              <w:rPr>
                <w:rFonts w:ascii="Trebuchet MS" w:eastAsiaTheme="minorEastAsia" w:hAnsi="Trebuchet MS" w:cs="Trebuchet MS"/>
                <w:sz w:val="20"/>
              </w:rPr>
            </w:pPr>
          </w:p>
          <w:p w14:paraId="6EE7C957" w14:textId="77777777" w:rsidR="00932B1C" w:rsidRPr="00F56ADE" w:rsidRDefault="00932B1C" w:rsidP="00932B1C">
            <w:pPr>
              <w:jc w:val="both"/>
              <w:rPr>
                <w:rFonts w:ascii="Trebuchet MS" w:eastAsiaTheme="minorEastAsia" w:hAnsi="Trebuchet MS" w:cs="Trebuchet MS"/>
                <w:sz w:val="20"/>
              </w:rPr>
            </w:pPr>
          </w:p>
        </w:tc>
        <w:tc>
          <w:tcPr>
            <w:tcW w:w="8787" w:type="dxa"/>
            <w:tcBorders>
              <w:top w:val="single" w:sz="8" w:space="0" w:color="000000"/>
              <w:left w:val="nil"/>
              <w:bottom w:val="single" w:sz="8" w:space="0" w:color="000000"/>
            </w:tcBorders>
            <w:shd w:val="clear" w:color="auto" w:fill="E0E0E0"/>
          </w:tcPr>
          <w:p w14:paraId="4D23F9FA" w14:textId="77777777" w:rsidR="00932B1C" w:rsidRPr="00F56ADE" w:rsidRDefault="00932B1C" w:rsidP="00932B1C">
            <w:pPr>
              <w:ind w:right="90"/>
              <w:rPr>
                <w:rFonts w:ascii="Trebuchet MS" w:eastAsiaTheme="minorEastAsia" w:hAnsi="Trebuchet MS" w:cs="Trebuchet MS"/>
                <w:sz w:val="20"/>
              </w:rPr>
            </w:pPr>
          </w:p>
          <w:p w14:paraId="7839D0E5" w14:textId="77777777" w:rsidR="00932B1C" w:rsidRPr="00F56ADE" w:rsidRDefault="00932B1C" w:rsidP="00932B1C">
            <w:pPr>
              <w:ind w:right="90"/>
              <w:rPr>
                <w:rFonts w:ascii="Trebuchet MS" w:eastAsiaTheme="minorEastAsia" w:hAnsi="Trebuchet MS" w:cs="Trebuchet MS"/>
                <w:sz w:val="20"/>
              </w:rPr>
            </w:pPr>
          </w:p>
          <w:p w14:paraId="5D0FE2AB" w14:textId="77777777" w:rsidR="00932B1C" w:rsidRPr="00F56ADE" w:rsidRDefault="00932B1C" w:rsidP="00932B1C">
            <w:pPr>
              <w:ind w:right="90"/>
              <w:rPr>
                <w:rFonts w:ascii="Trebuchet MS" w:eastAsiaTheme="minorEastAsia" w:hAnsi="Trebuchet MS" w:cs="Trebuchet MS"/>
                <w:b/>
                <w:bCs/>
                <w:sz w:val="20"/>
              </w:rPr>
            </w:pPr>
            <w:r w:rsidRPr="00F56ADE">
              <w:rPr>
                <w:rFonts w:ascii="Trebuchet MS" w:eastAsiaTheme="minorEastAsia" w:hAnsi="Trebuchet MS" w:cs="Trebuchet MS"/>
                <w:b/>
                <w:bCs/>
                <w:sz w:val="20"/>
              </w:rPr>
              <w:t>INFORME DE AUDITORÍA DE CUENTAS ANUALES</w:t>
            </w:r>
          </w:p>
          <w:p w14:paraId="45778F2A" w14:textId="77777777" w:rsidR="00932B1C" w:rsidRPr="00F56ADE" w:rsidRDefault="00932B1C" w:rsidP="00932B1C">
            <w:pPr>
              <w:ind w:right="90"/>
              <w:rPr>
                <w:rFonts w:ascii="Trebuchet MS" w:eastAsiaTheme="minorEastAsia" w:hAnsi="Trebuchet MS" w:cs="Trebuchet MS"/>
                <w:sz w:val="20"/>
              </w:rPr>
            </w:pPr>
          </w:p>
          <w:p w14:paraId="16BC1E52" w14:textId="77777777" w:rsidR="00932B1C" w:rsidRPr="00F56ADE" w:rsidRDefault="00932B1C" w:rsidP="00932B1C">
            <w:pPr>
              <w:ind w:right="90"/>
              <w:rPr>
                <w:rFonts w:ascii="Trebuchet MS" w:eastAsiaTheme="minorEastAsia" w:hAnsi="Trebuchet MS" w:cs="Trebuchet MS"/>
                <w:b/>
                <w:bCs/>
                <w:sz w:val="20"/>
              </w:rPr>
            </w:pPr>
            <w:r w:rsidRPr="00F56ADE">
              <w:rPr>
                <w:rFonts w:ascii="Trebuchet MS" w:eastAsiaTheme="minorEastAsia" w:hAnsi="Trebuchet MS" w:cs="Trebuchet MS"/>
                <w:b/>
                <w:bCs/>
                <w:sz w:val="20"/>
              </w:rPr>
              <w:t xml:space="preserve">CUENTAS ANUALES CORRESPONDIENTES AL </w:t>
            </w:r>
            <w:r w:rsidR="0053472C">
              <w:rPr>
                <w:rFonts w:ascii="Trebuchet MS" w:eastAsiaTheme="minorEastAsia" w:hAnsi="Trebuchet MS" w:cs="Trebuchet MS"/>
                <w:b/>
                <w:bCs/>
                <w:sz w:val="20"/>
              </w:rPr>
              <w:t>EJERCICIO 201</w:t>
            </w:r>
            <w:r w:rsidR="006303D2">
              <w:rPr>
                <w:rFonts w:ascii="Trebuchet MS" w:eastAsiaTheme="minorEastAsia" w:hAnsi="Trebuchet MS" w:cs="Trebuchet MS"/>
                <w:b/>
                <w:bCs/>
                <w:sz w:val="20"/>
              </w:rPr>
              <w:t>9</w:t>
            </w:r>
          </w:p>
          <w:p w14:paraId="49E3DE05" w14:textId="77777777" w:rsidR="00932B1C" w:rsidRPr="00F56ADE" w:rsidRDefault="00932B1C" w:rsidP="00932B1C">
            <w:pPr>
              <w:ind w:right="90"/>
              <w:rPr>
                <w:rFonts w:ascii="Trebuchet MS" w:eastAsiaTheme="minorEastAsia" w:hAnsi="Trebuchet MS" w:cs="Trebuchet MS"/>
                <w:b/>
                <w:bCs/>
                <w:sz w:val="20"/>
              </w:rPr>
            </w:pPr>
          </w:p>
          <w:p w14:paraId="45C9426E" w14:textId="77777777" w:rsidR="00932B1C" w:rsidRPr="00F56ADE" w:rsidRDefault="00932B1C" w:rsidP="00932B1C">
            <w:pPr>
              <w:tabs>
                <w:tab w:val="left" w:pos="170"/>
              </w:tabs>
              <w:ind w:right="90"/>
              <w:rPr>
                <w:rFonts w:ascii="Trebuchet MS" w:eastAsiaTheme="minorEastAsia" w:hAnsi="Trebuchet MS" w:cs="Trebuchet MS"/>
                <w:sz w:val="20"/>
              </w:rPr>
            </w:pPr>
            <w:r w:rsidRPr="00F56ADE">
              <w:rPr>
                <w:rFonts w:ascii="Trebuchet MS" w:eastAsiaTheme="minorEastAsia" w:hAnsi="Trebuchet MS" w:cs="Trebuchet MS"/>
                <w:sz w:val="20"/>
              </w:rPr>
              <w:tab/>
              <w:t xml:space="preserve">Balances al </w:t>
            </w:r>
            <w:r w:rsidR="00B1690F" w:rsidRPr="00F56ADE">
              <w:rPr>
                <w:rFonts w:ascii="Trebuchet MS" w:eastAsiaTheme="minorEastAsia" w:hAnsi="Trebuchet MS" w:cs="Trebuchet MS"/>
                <w:sz w:val="20"/>
              </w:rPr>
              <w:t>31 de diciembre de 201</w:t>
            </w:r>
            <w:r w:rsidR="006303D2">
              <w:rPr>
                <w:rFonts w:ascii="Trebuchet MS" w:eastAsiaTheme="minorEastAsia" w:hAnsi="Trebuchet MS" w:cs="Trebuchet MS"/>
                <w:sz w:val="20"/>
              </w:rPr>
              <w:t>9</w:t>
            </w:r>
            <w:r w:rsidR="00B1690F" w:rsidRPr="00F56ADE">
              <w:rPr>
                <w:rFonts w:ascii="Trebuchet MS" w:eastAsiaTheme="minorEastAsia" w:hAnsi="Trebuchet MS" w:cs="Trebuchet MS"/>
                <w:sz w:val="20"/>
              </w:rPr>
              <w:t xml:space="preserve"> y de 201</w:t>
            </w:r>
            <w:r w:rsidR="006303D2">
              <w:rPr>
                <w:rFonts w:ascii="Trebuchet MS" w:eastAsiaTheme="minorEastAsia" w:hAnsi="Trebuchet MS" w:cs="Trebuchet MS"/>
                <w:sz w:val="20"/>
              </w:rPr>
              <w:t>8</w:t>
            </w:r>
          </w:p>
          <w:p w14:paraId="55063CEB" w14:textId="77777777" w:rsidR="00932B1C" w:rsidRPr="00F56ADE" w:rsidRDefault="00932B1C" w:rsidP="00932B1C">
            <w:pPr>
              <w:tabs>
                <w:tab w:val="left" w:pos="170"/>
              </w:tabs>
              <w:ind w:right="90"/>
              <w:rPr>
                <w:rFonts w:ascii="Trebuchet MS" w:eastAsiaTheme="minorEastAsia" w:hAnsi="Trebuchet MS" w:cs="Trebuchet MS"/>
                <w:sz w:val="20"/>
              </w:rPr>
            </w:pPr>
            <w:r w:rsidRPr="00F56ADE">
              <w:rPr>
                <w:rFonts w:ascii="Trebuchet MS" w:eastAsiaTheme="minorEastAsia" w:hAnsi="Trebuchet MS" w:cs="Trebuchet MS"/>
                <w:sz w:val="20"/>
              </w:rPr>
              <w:tab/>
              <w:t xml:space="preserve">Cuentas de Pérdidas y Ganancias correspondientes a los </w:t>
            </w:r>
            <w:r w:rsidR="00B1690F" w:rsidRPr="00F56ADE">
              <w:rPr>
                <w:rFonts w:ascii="Trebuchet MS" w:eastAsiaTheme="minorEastAsia" w:hAnsi="Trebuchet MS" w:cs="Trebuchet MS"/>
                <w:sz w:val="20"/>
              </w:rPr>
              <w:t xml:space="preserve">ejercicios </w:t>
            </w:r>
            <w:r w:rsidR="006303D2" w:rsidRPr="006303D2">
              <w:rPr>
                <w:rFonts w:ascii="Trebuchet MS" w:eastAsiaTheme="minorEastAsia" w:hAnsi="Trebuchet MS" w:cs="Trebuchet MS"/>
                <w:sz w:val="20"/>
              </w:rPr>
              <w:t>2019 y de 2018</w:t>
            </w:r>
          </w:p>
          <w:p w14:paraId="6B5BDDBB" w14:textId="77777777" w:rsidR="00932B1C" w:rsidRPr="00F56ADE" w:rsidRDefault="00932B1C" w:rsidP="00932B1C">
            <w:pPr>
              <w:tabs>
                <w:tab w:val="left" w:pos="170"/>
              </w:tabs>
              <w:ind w:right="90"/>
              <w:rPr>
                <w:rFonts w:ascii="Trebuchet MS" w:eastAsiaTheme="minorEastAsia" w:hAnsi="Trebuchet MS" w:cs="Trebuchet MS"/>
                <w:sz w:val="20"/>
              </w:rPr>
            </w:pPr>
            <w:r w:rsidRPr="00F56ADE">
              <w:rPr>
                <w:rFonts w:ascii="Trebuchet MS" w:eastAsiaTheme="minorEastAsia" w:hAnsi="Trebuchet MS" w:cs="Trebuchet MS"/>
                <w:sz w:val="20"/>
              </w:rPr>
              <w:tab/>
              <w:t xml:space="preserve">Estado de Cambios en el Patrimonio Neto correspondiente a los </w:t>
            </w:r>
            <w:r w:rsidR="00B1690F" w:rsidRPr="00F56ADE">
              <w:rPr>
                <w:rFonts w:ascii="Trebuchet MS" w:eastAsiaTheme="minorEastAsia" w:hAnsi="Trebuchet MS" w:cs="Trebuchet MS"/>
                <w:sz w:val="20"/>
              </w:rPr>
              <w:t xml:space="preserve">ejercicios </w:t>
            </w:r>
            <w:r w:rsidR="006303D2" w:rsidRPr="006303D2">
              <w:rPr>
                <w:rFonts w:ascii="Trebuchet MS" w:eastAsiaTheme="minorEastAsia" w:hAnsi="Trebuchet MS" w:cs="Trebuchet MS"/>
                <w:sz w:val="20"/>
              </w:rPr>
              <w:t>2019 y de 2018</w:t>
            </w:r>
            <w:r w:rsidRPr="00F56ADE">
              <w:rPr>
                <w:rFonts w:ascii="Trebuchet MS" w:eastAsiaTheme="minorEastAsia" w:hAnsi="Trebuchet MS" w:cs="Trebuchet MS"/>
                <w:sz w:val="20"/>
              </w:rPr>
              <w:tab/>
              <w:t xml:space="preserve">Estados de Flujos de Efectivo correspondientes a los </w:t>
            </w:r>
            <w:r w:rsidR="00F56ADE">
              <w:rPr>
                <w:rFonts w:ascii="Trebuchet MS" w:eastAsiaTheme="minorEastAsia" w:hAnsi="Trebuchet MS" w:cs="Trebuchet MS"/>
                <w:sz w:val="20"/>
              </w:rPr>
              <w:t xml:space="preserve">ejercicios </w:t>
            </w:r>
            <w:r w:rsidR="006303D2" w:rsidRPr="006303D2">
              <w:rPr>
                <w:rFonts w:ascii="Trebuchet MS" w:eastAsiaTheme="minorEastAsia" w:hAnsi="Trebuchet MS" w:cs="Trebuchet MS"/>
                <w:sz w:val="20"/>
              </w:rPr>
              <w:t>2019 y de 2018</w:t>
            </w:r>
          </w:p>
          <w:p w14:paraId="3E565162" w14:textId="77777777" w:rsidR="00932B1C" w:rsidRPr="00F56ADE" w:rsidRDefault="00932B1C" w:rsidP="00932B1C">
            <w:pPr>
              <w:tabs>
                <w:tab w:val="left" w:pos="170"/>
              </w:tabs>
              <w:ind w:right="90"/>
              <w:rPr>
                <w:rFonts w:ascii="Trebuchet MS" w:eastAsiaTheme="minorEastAsia" w:hAnsi="Trebuchet MS" w:cs="Trebuchet MS"/>
                <w:sz w:val="20"/>
              </w:rPr>
            </w:pPr>
            <w:r w:rsidRPr="00F56ADE">
              <w:rPr>
                <w:rFonts w:ascii="Trebuchet MS" w:eastAsiaTheme="minorEastAsia" w:hAnsi="Trebuchet MS" w:cs="Trebuchet MS"/>
                <w:sz w:val="20"/>
              </w:rPr>
              <w:tab/>
              <w:t xml:space="preserve">Memoria del </w:t>
            </w:r>
            <w:r w:rsidR="00F56ADE">
              <w:rPr>
                <w:rFonts w:ascii="Trebuchet MS" w:eastAsiaTheme="minorEastAsia" w:hAnsi="Trebuchet MS" w:cs="Trebuchet MS"/>
                <w:sz w:val="20"/>
              </w:rPr>
              <w:t>ejercicio 201</w:t>
            </w:r>
            <w:r w:rsidR="006303D2">
              <w:rPr>
                <w:rFonts w:ascii="Trebuchet MS" w:eastAsiaTheme="minorEastAsia" w:hAnsi="Trebuchet MS" w:cs="Trebuchet MS"/>
                <w:sz w:val="20"/>
              </w:rPr>
              <w:t>9</w:t>
            </w:r>
          </w:p>
          <w:p w14:paraId="107CFF96" w14:textId="77777777" w:rsidR="00932B1C" w:rsidRPr="00F56ADE" w:rsidRDefault="00932B1C" w:rsidP="00932B1C">
            <w:pPr>
              <w:ind w:right="90"/>
              <w:rPr>
                <w:rFonts w:ascii="Trebuchet MS" w:eastAsiaTheme="minorEastAsia" w:hAnsi="Trebuchet MS" w:cs="Trebuchet MS"/>
                <w:sz w:val="20"/>
              </w:rPr>
            </w:pPr>
          </w:p>
          <w:p w14:paraId="2665CEF2" w14:textId="77777777" w:rsidR="00932B1C" w:rsidRPr="00F56ADE" w:rsidRDefault="00932B1C" w:rsidP="00932B1C">
            <w:pPr>
              <w:ind w:right="90"/>
              <w:rPr>
                <w:rFonts w:ascii="Trebuchet MS" w:eastAsiaTheme="minorEastAsia" w:hAnsi="Trebuchet MS" w:cs="Trebuchet MS"/>
                <w:sz w:val="20"/>
              </w:rPr>
            </w:pPr>
            <w:r w:rsidRPr="00F56ADE">
              <w:rPr>
                <w:rFonts w:ascii="Trebuchet MS" w:eastAsiaTheme="minorEastAsia" w:hAnsi="Trebuchet MS" w:cs="Trebuchet MS"/>
                <w:b/>
                <w:bCs/>
                <w:sz w:val="20"/>
              </w:rPr>
              <w:t xml:space="preserve">INFORME DE GESTIÓN CORRESPONDIENTE AL </w:t>
            </w:r>
            <w:r w:rsidR="00F56ADE">
              <w:rPr>
                <w:rFonts w:ascii="Trebuchet MS" w:eastAsiaTheme="minorEastAsia" w:hAnsi="Trebuchet MS" w:cs="Trebuchet MS"/>
                <w:b/>
                <w:bCs/>
                <w:sz w:val="20"/>
              </w:rPr>
              <w:t>EJERCICIO 201</w:t>
            </w:r>
            <w:r w:rsidR="006303D2">
              <w:rPr>
                <w:rFonts w:ascii="Trebuchet MS" w:eastAsiaTheme="minorEastAsia" w:hAnsi="Trebuchet MS" w:cs="Trebuchet MS"/>
                <w:sz w:val="20"/>
              </w:rPr>
              <w:t>9</w:t>
            </w:r>
          </w:p>
          <w:p w14:paraId="2AC0EF42" w14:textId="77777777" w:rsidR="00932B1C" w:rsidRPr="00F56ADE" w:rsidRDefault="00932B1C" w:rsidP="00932B1C">
            <w:pPr>
              <w:ind w:right="90"/>
              <w:rPr>
                <w:rFonts w:ascii="Trebuchet MS" w:eastAsiaTheme="minorEastAsia" w:hAnsi="Trebuchet MS" w:cs="Trebuchet MS"/>
                <w:sz w:val="20"/>
              </w:rPr>
            </w:pPr>
          </w:p>
          <w:p w14:paraId="46A78C8B" w14:textId="77777777" w:rsidR="00932B1C" w:rsidRPr="00F56ADE" w:rsidRDefault="00932B1C" w:rsidP="00932B1C">
            <w:pPr>
              <w:ind w:right="90"/>
              <w:rPr>
                <w:rFonts w:ascii="Trebuchet MS" w:eastAsiaTheme="minorEastAsia" w:hAnsi="Trebuchet MS" w:cs="Trebuchet MS"/>
                <w:sz w:val="20"/>
              </w:rPr>
            </w:pPr>
          </w:p>
        </w:tc>
      </w:tr>
    </w:tbl>
    <w:p w14:paraId="7F9775C1" w14:textId="77777777" w:rsidR="00600EFD" w:rsidRPr="00F56ADE" w:rsidRDefault="00600EFD" w:rsidP="00600EFD">
      <w:pPr>
        <w:rPr>
          <w:rFonts w:ascii="Arial Narrow" w:hAnsi="Arial Narrow" w:cs="Arial"/>
          <w:b/>
          <w:snapToGrid w:val="0"/>
          <w:color w:val="FF0000"/>
          <w:sz w:val="24"/>
          <w:szCs w:val="24"/>
          <w:lang w:eastAsia="es-ES"/>
        </w:rPr>
      </w:pPr>
      <w:r w:rsidRPr="00F56ADE">
        <w:rPr>
          <w:rFonts w:ascii="Arial Narrow" w:hAnsi="Arial Narrow" w:cs="Arial"/>
          <w:b/>
          <w:snapToGrid w:val="0"/>
          <w:color w:val="FF0000"/>
          <w:sz w:val="24"/>
          <w:szCs w:val="24"/>
          <w:lang w:eastAsia="es-ES"/>
        </w:rPr>
        <w:br w:type="page"/>
      </w:r>
    </w:p>
    <w:p w14:paraId="5B35AC4B" w14:textId="77777777" w:rsidR="00932B1C" w:rsidRPr="00F56ADE" w:rsidRDefault="00932B1C" w:rsidP="00932B1C">
      <w:pPr>
        <w:jc w:val="both"/>
        <w:rPr>
          <w:rFonts w:ascii="Trebuchet MS" w:hAnsi="Trebuchet MS" w:cs="Trebuchet MS"/>
          <w:sz w:val="28"/>
          <w:szCs w:val="28"/>
        </w:rPr>
      </w:pPr>
    </w:p>
    <w:p w14:paraId="351F9CD4" w14:textId="77777777" w:rsidR="00932B1C" w:rsidRPr="00F56ADE" w:rsidRDefault="00932B1C" w:rsidP="00932B1C">
      <w:pPr>
        <w:jc w:val="both"/>
        <w:rPr>
          <w:rFonts w:ascii="Trebuchet MS" w:hAnsi="Trebuchet MS" w:cs="Trebuchet MS"/>
          <w:sz w:val="28"/>
          <w:szCs w:val="28"/>
        </w:rPr>
      </w:pPr>
    </w:p>
    <w:p w14:paraId="18D033DB" w14:textId="77777777" w:rsidR="00932B1C" w:rsidRPr="00F56ADE" w:rsidRDefault="00932B1C" w:rsidP="00932B1C">
      <w:pPr>
        <w:jc w:val="both"/>
        <w:rPr>
          <w:rFonts w:ascii="Trebuchet MS" w:hAnsi="Trebuchet MS" w:cs="Trebuchet MS"/>
          <w:sz w:val="28"/>
          <w:szCs w:val="28"/>
        </w:rPr>
      </w:pPr>
    </w:p>
    <w:p w14:paraId="06620CF0" w14:textId="172F3060" w:rsidR="00932B1C" w:rsidRDefault="00932B1C" w:rsidP="00932B1C">
      <w:pPr>
        <w:jc w:val="both"/>
        <w:rPr>
          <w:rFonts w:ascii="Trebuchet MS" w:hAnsi="Trebuchet MS" w:cs="Trebuchet MS"/>
          <w:sz w:val="28"/>
          <w:szCs w:val="28"/>
        </w:rPr>
      </w:pPr>
    </w:p>
    <w:p w14:paraId="085F9C9C" w14:textId="5707B5F5" w:rsidR="009C5E01" w:rsidRDefault="009C5E01" w:rsidP="00932B1C">
      <w:pPr>
        <w:jc w:val="both"/>
        <w:rPr>
          <w:rFonts w:ascii="Trebuchet MS" w:hAnsi="Trebuchet MS" w:cs="Trebuchet MS"/>
          <w:sz w:val="28"/>
          <w:szCs w:val="28"/>
        </w:rPr>
      </w:pPr>
    </w:p>
    <w:p w14:paraId="5DDC5510" w14:textId="68B83794" w:rsidR="009C5E01" w:rsidRDefault="009C5E01" w:rsidP="00932B1C">
      <w:pPr>
        <w:jc w:val="both"/>
        <w:rPr>
          <w:rFonts w:ascii="Trebuchet MS" w:hAnsi="Trebuchet MS" w:cs="Trebuchet MS"/>
          <w:sz w:val="28"/>
          <w:szCs w:val="28"/>
        </w:rPr>
      </w:pPr>
    </w:p>
    <w:p w14:paraId="6A2534FB" w14:textId="77777777" w:rsidR="009C5E01" w:rsidRPr="00F56ADE" w:rsidRDefault="009C5E01" w:rsidP="00932B1C">
      <w:pPr>
        <w:jc w:val="both"/>
        <w:rPr>
          <w:rFonts w:ascii="Trebuchet MS" w:hAnsi="Trebuchet MS" w:cs="Trebuchet MS"/>
          <w:sz w:val="28"/>
          <w:szCs w:val="28"/>
        </w:rPr>
      </w:pPr>
    </w:p>
    <w:p w14:paraId="7A970563" w14:textId="77777777" w:rsidR="00932B1C" w:rsidRPr="00F56ADE" w:rsidRDefault="00932B1C" w:rsidP="00932B1C">
      <w:pPr>
        <w:jc w:val="both"/>
        <w:rPr>
          <w:rFonts w:ascii="Trebuchet MS" w:hAnsi="Trebuchet MS" w:cs="Trebuchet MS"/>
          <w:sz w:val="28"/>
          <w:szCs w:val="28"/>
        </w:rPr>
      </w:pPr>
    </w:p>
    <w:p w14:paraId="0EB69BA2" w14:textId="77777777" w:rsidR="00932B1C" w:rsidRPr="00F56ADE" w:rsidRDefault="00932B1C" w:rsidP="00932B1C">
      <w:pPr>
        <w:jc w:val="both"/>
        <w:rPr>
          <w:rFonts w:ascii="Trebuchet MS" w:hAnsi="Trebuchet MS" w:cs="Trebuchet MS"/>
          <w:sz w:val="28"/>
          <w:szCs w:val="28"/>
        </w:rPr>
      </w:pPr>
    </w:p>
    <w:tbl>
      <w:tblPr>
        <w:tblW w:w="0" w:type="auto"/>
        <w:tblInd w:w="39" w:type="dxa"/>
        <w:tblBorders>
          <w:left w:val="single" w:sz="8" w:space="0" w:color="000000"/>
          <w:right w:val="single" w:sz="8" w:space="0" w:color="000000"/>
        </w:tblBorders>
        <w:tblLayout w:type="fixed"/>
        <w:tblCellMar>
          <w:left w:w="39" w:type="dxa"/>
          <w:right w:w="39" w:type="dxa"/>
        </w:tblCellMar>
        <w:tblLook w:val="0000" w:firstRow="0" w:lastRow="0" w:firstColumn="0" w:lastColumn="0" w:noHBand="0" w:noVBand="0"/>
      </w:tblPr>
      <w:tblGrid>
        <w:gridCol w:w="9070"/>
      </w:tblGrid>
      <w:tr w:rsidR="00F56ADE" w:rsidRPr="00F56ADE" w14:paraId="4D046074" w14:textId="77777777" w:rsidTr="00932B1C">
        <w:tc>
          <w:tcPr>
            <w:tcW w:w="9070" w:type="dxa"/>
            <w:tcBorders>
              <w:top w:val="single" w:sz="8" w:space="0" w:color="000000"/>
              <w:bottom w:val="single" w:sz="8" w:space="0" w:color="000000"/>
            </w:tcBorders>
            <w:shd w:val="clear" w:color="auto" w:fill="E0E0E0"/>
          </w:tcPr>
          <w:p w14:paraId="0E7D424A" w14:textId="77777777" w:rsidR="00932B1C" w:rsidRPr="00F56ADE" w:rsidRDefault="00932B1C" w:rsidP="00932B1C">
            <w:pPr>
              <w:jc w:val="center"/>
              <w:rPr>
                <w:rFonts w:ascii="Trebuchet MS" w:eastAsiaTheme="minorEastAsia" w:hAnsi="Trebuchet MS" w:cs="Trebuchet MS"/>
                <w:sz w:val="28"/>
                <w:szCs w:val="28"/>
              </w:rPr>
            </w:pPr>
          </w:p>
          <w:p w14:paraId="7664B957" w14:textId="77777777" w:rsidR="00932B1C" w:rsidRPr="00F56ADE" w:rsidRDefault="00932B1C" w:rsidP="00932B1C">
            <w:pPr>
              <w:jc w:val="center"/>
              <w:rPr>
                <w:rFonts w:ascii="Trebuchet MS" w:eastAsiaTheme="minorEastAsia" w:hAnsi="Trebuchet MS" w:cs="Trebuchet MS"/>
                <w:b/>
                <w:bCs/>
                <w:sz w:val="28"/>
                <w:szCs w:val="28"/>
              </w:rPr>
            </w:pPr>
            <w:r w:rsidRPr="00F56ADE">
              <w:rPr>
                <w:rFonts w:ascii="Trebuchet MS" w:eastAsiaTheme="minorEastAsia" w:hAnsi="Trebuchet MS" w:cs="Trebuchet MS"/>
                <w:b/>
                <w:bCs/>
                <w:sz w:val="28"/>
                <w:szCs w:val="28"/>
              </w:rPr>
              <w:t>INSTITUTO TECNOLÓGICO DE CANARIAS, S.A.</w:t>
            </w:r>
          </w:p>
          <w:p w14:paraId="1127421C" w14:textId="77777777" w:rsidR="00932B1C" w:rsidRPr="00F56ADE" w:rsidRDefault="00932B1C" w:rsidP="00932B1C">
            <w:pPr>
              <w:jc w:val="center"/>
              <w:rPr>
                <w:rFonts w:ascii="Trebuchet MS" w:eastAsiaTheme="minorEastAsia" w:hAnsi="Trebuchet MS" w:cs="Trebuchet MS"/>
                <w:sz w:val="28"/>
                <w:szCs w:val="28"/>
              </w:rPr>
            </w:pPr>
          </w:p>
          <w:p w14:paraId="2A1FD742" w14:textId="77777777" w:rsidR="00932B1C" w:rsidRPr="00F56ADE" w:rsidRDefault="00932B1C" w:rsidP="00932B1C">
            <w:pPr>
              <w:jc w:val="center"/>
              <w:rPr>
                <w:rFonts w:ascii="Trebuchet MS" w:eastAsiaTheme="minorEastAsia" w:hAnsi="Trebuchet MS" w:cs="Trebuchet MS"/>
                <w:sz w:val="28"/>
                <w:szCs w:val="28"/>
              </w:rPr>
            </w:pPr>
            <w:r w:rsidRPr="00F56ADE">
              <w:rPr>
                <w:rFonts w:ascii="Trebuchet MS" w:eastAsiaTheme="minorEastAsia" w:hAnsi="Trebuchet MS" w:cs="Trebuchet MS"/>
                <w:sz w:val="28"/>
                <w:szCs w:val="28"/>
              </w:rPr>
              <w:t>Informe de Auditoría de Cuentas Anuales</w:t>
            </w:r>
          </w:p>
          <w:p w14:paraId="2291C377" w14:textId="77777777" w:rsidR="00932B1C" w:rsidRPr="00F56ADE" w:rsidRDefault="00932B1C" w:rsidP="00932B1C">
            <w:pPr>
              <w:jc w:val="center"/>
              <w:rPr>
                <w:rFonts w:ascii="Trebuchet MS" w:eastAsiaTheme="minorEastAsia" w:hAnsi="Trebuchet MS" w:cs="Trebuchet MS"/>
                <w:b/>
                <w:bCs/>
                <w:sz w:val="28"/>
                <w:szCs w:val="28"/>
              </w:rPr>
            </w:pPr>
          </w:p>
        </w:tc>
      </w:tr>
    </w:tbl>
    <w:p w14:paraId="3BF53322" w14:textId="77777777" w:rsidR="00932B1C" w:rsidRPr="00F56ADE" w:rsidRDefault="00932B1C" w:rsidP="00932B1C">
      <w:pPr>
        <w:jc w:val="both"/>
        <w:rPr>
          <w:rFonts w:ascii="Trebuchet MS" w:hAnsi="Trebuchet MS" w:cs="Trebuchet MS"/>
          <w:sz w:val="20"/>
        </w:rPr>
      </w:pPr>
    </w:p>
    <w:p w14:paraId="48B775E5" w14:textId="77777777" w:rsidR="00932B1C" w:rsidRPr="00F56ADE" w:rsidRDefault="00932B1C" w:rsidP="00932B1C">
      <w:pPr>
        <w:jc w:val="both"/>
        <w:rPr>
          <w:rFonts w:ascii="Trebuchet MS" w:hAnsi="Trebuchet MS" w:cs="Trebuchet MS"/>
          <w:sz w:val="20"/>
        </w:rPr>
      </w:pPr>
    </w:p>
    <w:p w14:paraId="49FCA24E" w14:textId="77777777" w:rsidR="00600EFD" w:rsidRPr="00F56ADE" w:rsidRDefault="00600EFD" w:rsidP="00600EFD">
      <w:pPr>
        <w:rPr>
          <w:rFonts w:ascii="Arial Narrow" w:hAnsi="Arial Narrow" w:cs="Arial"/>
          <w:b/>
          <w:snapToGrid w:val="0"/>
          <w:color w:val="FF0000"/>
          <w:sz w:val="24"/>
          <w:szCs w:val="24"/>
          <w:lang w:eastAsia="es-ES"/>
        </w:rPr>
      </w:pPr>
      <w:r w:rsidRPr="00F56ADE">
        <w:rPr>
          <w:rFonts w:ascii="Arial Narrow" w:hAnsi="Arial Narrow" w:cs="Arial"/>
          <w:b/>
          <w:snapToGrid w:val="0"/>
          <w:color w:val="FF0000"/>
          <w:sz w:val="24"/>
          <w:szCs w:val="24"/>
          <w:lang w:eastAsia="es-ES"/>
        </w:rPr>
        <w:br w:type="page"/>
      </w:r>
    </w:p>
    <w:p w14:paraId="36B618A3" w14:textId="77777777" w:rsidR="00932B1C" w:rsidRPr="00F56ADE" w:rsidRDefault="00932B1C" w:rsidP="00932B1C">
      <w:pPr>
        <w:jc w:val="both"/>
        <w:rPr>
          <w:rFonts w:ascii="Times New Roman" w:hAnsi="Times New Roman"/>
          <w:sz w:val="24"/>
          <w:szCs w:val="24"/>
        </w:rPr>
      </w:pPr>
    </w:p>
    <w:p w14:paraId="02DBF278" w14:textId="77777777" w:rsidR="00932B1C" w:rsidRPr="00F56ADE" w:rsidRDefault="00932B1C" w:rsidP="00932B1C">
      <w:pPr>
        <w:jc w:val="both"/>
        <w:rPr>
          <w:rFonts w:ascii="Times New Roman" w:hAnsi="Times New Roman"/>
          <w:sz w:val="24"/>
          <w:szCs w:val="24"/>
        </w:rPr>
      </w:pPr>
    </w:p>
    <w:p w14:paraId="4AF1A37C" w14:textId="77777777" w:rsidR="00932B1C" w:rsidRPr="00F56ADE" w:rsidRDefault="00932B1C" w:rsidP="00932B1C">
      <w:pPr>
        <w:jc w:val="both"/>
        <w:rPr>
          <w:rFonts w:ascii="Times New Roman" w:hAnsi="Times New Roman"/>
          <w:sz w:val="24"/>
          <w:szCs w:val="24"/>
        </w:rPr>
      </w:pPr>
    </w:p>
    <w:p w14:paraId="3319A73D" w14:textId="77777777" w:rsidR="00932B1C" w:rsidRPr="00F56ADE" w:rsidRDefault="00932B1C" w:rsidP="00932B1C">
      <w:pPr>
        <w:jc w:val="both"/>
        <w:rPr>
          <w:rFonts w:ascii="Times New Roman" w:hAnsi="Times New Roman"/>
          <w:sz w:val="24"/>
          <w:szCs w:val="24"/>
        </w:rPr>
      </w:pPr>
    </w:p>
    <w:p w14:paraId="7A319BCF" w14:textId="632E9850" w:rsidR="00932B1C" w:rsidRDefault="00932B1C" w:rsidP="00932B1C">
      <w:pPr>
        <w:jc w:val="both"/>
        <w:rPr>
          <w:rFonts w:ascii="Times New Roman" w:hAnsi="Times New Roman"/>
          <w:sz w:val="24"/>
          <w:szCs w:val="24"/>
        </w:rPr>
      </w:pPr>
    </w:p>
    <w:p w14:paraId="0D9628D5" w14:textId="54A918D8" w:rsidR="00931B1C" w:rsidRDefault="00931B1C" w:rsidP="00932B1C">
      <w:pPr>
        <w:jc w:val="both"/>
        <w:rPr>
          <w:rFonts w:ascii="Times New Roman" w:hAnsi="Times New Roman"/>
          <w:sz w:val="24"/>
          <w:szCs w:val="24"/>
        </w:rPr>
      </w:pPr>
    </w:p>
    <w:p w14:paraId="762AE969" w14:textId="67496444" w:rsidR="00931B1C" w:rsidRDefault="00931B1C" w:rsidP="00932B1C">
      <w:pPr>
        <w:jc w:val="both"/>
        <w:rPr>
          <w:rFonts w:ascii="Times New Roman" w:hAnsi="Times New Roman"/>
          <w:sz w:val="24"/>
          <w:szCs w:val="24"/>
        </w:rPr>
      </w:pPr>
    </w:p>
    <w:p w14:paraId="570BDAC1" w14:textId="77777777" w:rsidR="009C5E01" w:rsidRDefault="009C5E01" w:rsidP="00932B1C">
      <w:pPr>
        <w:jc w:val="both"/>
        <w:rPr>
          <w:rFonts w:ascii="Times New Roman" w:hAnsi="Times New Roman"/>
          <w:sz w:val="24"/>
          <w:szCs w:val="24"/>
        </w:rPr>
      </w:pPr>
    </w:p>
    <w:p w14:paraId="7431B606" w14:textId="32210728" w:rsidR="00931B1C" w:rsidRDefault="00931B1C" w:rsidP="00932B1C">
      <w:pPr>
        <w:jc w:val="both"/>
        <w:rPr>
          <w:rFonts w:ascii="Times New Roman" w:hAnsi="Times New Roman"/>
          <w:sz w:val="24"/>
          <w:szCs w:val="24"/>
        </w:rPr>
      </w:pPr>
    </w:p>
    <w:p w14:paraId="381C507D" w14:textId="3148A5C6" w:rsidR="00931B1C" w:rsidRDefault="00931B1C" w:rsidP="00932B1C">
      <w:pPr>
        <w:jc w:val="both"/>
        <w:rPr>
          <w:rFonts w:ascii="Times New Roman" w:hAnsi="Times New Roman"/>
          <w:sz w:val="24"/>
          <w:szCs w:val="24"/>
        </w:rPr>
      </w:pPr>
    </w:p>
    <w:p w14:paraId="4B0C7904" w14:textId="77777777" w:rsidR="00931B1C" w:rsidRPr="00F56ADE" w:rsidRDefault="00931B1C" w:rsidP="00932B1C">
      <w:pPr>
        <w:jc w:val="both"/>
        <w:rPr>
          <w:rFonts w:ascii="Times New Roman" w:hAnsi="Times New Roman"/>
          <w:sz w:val="24"/>
          <w:szCs w:val="24"/>
        </w:rPr>
      </w:pPr>
    </w:p>
    <w:p w14:paraId="5C334D6F" w14:textId="77777777" w:rsidR="00932B1C" w:rsidRPr="00F56ADE" w:rsidRDefault="00932B1C" w:rsidP="00932B1C">
      <w:pPr>
        <w:jc w:val="both"/>
        <w:rPr>
          <w:rFonts w:ascii="Times New Roman" w:hAnsi="Times New Roman"/>
          <w:sz w:val="24"/>
          <w:szCs w:val="24"/>
        </w:rPr>
      </w:pPr>
    </w:p>
    <w:tbl>
      <w:tblPr>
        <w:tblW w:w="9072" w:type="dxa"/>
        <w:jc w:val="center"/>
        <w:tblBorders>
          <w:left w:val="single" w:sz="8" w:space="0" w:color="000000"/>
          <w:right w:val="single" w:sz="8" w:space="0" w:color="000000"/>
        </w:tblBorders>
        <w:tblLayout w:type="fixed"/>
        <w:tblCellMar>
          <w:left w:w="39" w:type="dxa"/>
          <w:right w:w="39" w:type="dxa"/>
        </w:tblCellMar>
        <w:tblLook w:val="0000" w:firstRow="0" w:lastRow="0" w:firstColumn="0" w:lastColumn="0" w:noHBand="0" w:noVBand="0"/>
      </w:tblPr>
      <w:tblGrid>
        <w:gridCol w:w="9072"/>
      </w:tblGrid>
      <w:tr w:rsidR="00F56ADE" w:rsidRPr="00F56ADE" w14:paraId="292FADC1" w14:textId="77777777" w:rsidTr="00932B1C">
        <w:trPr>
          <w:jc w:val="center"/>
        </w:trPr>
        <w:tc>
          <w:tcPr>
            <w:tcW w:w="9070" w:type="dxa"/>
            <w:tcBorders>
              <w:top w:val="single" w:sz="8" w:space="0" w:color="000000"/>
              <w:bottom w:val="single" w:sz="8" w:space="0" w:color="000000"/>
            </w:tcBorders>
            <w:shd w:val="clear" w:color="auto" w:fill="E0E0E0"/>
          </w:tcPr>
          <w:p w14:paraId="372E7145" w14:textId="77777777" w:rsidR="00932B1C" w:rsidRPr="00F56ADE" w:rsidRDefault="00932B1C" w:rsidP="00932B1C">
            <w:pPr>
              <w:jc w:val="center"/>
              <w:rPr>
                <w:rFonts w:ascii="Times New Roman" w:eastAsiaTheme="minorEastAsia" w:hAnsi="Times New Roman"/>
                <w:sz w:val="24"/>
                <w:szCs w:val="24"/>
              </w:rPr>
            </w:pPr>
          </w:p>
          <w:p w14:paraId="0BBC24A8" w14:textId="77777777" w:rsidR="00932B1C" w:rsidRPr="00F56ADE" w:rsidRDefault="00932B1C" w:rsidP="00932B1C">
            <w:pPr>
              <w:jc w:val="center"/>
              <w:rPr>
                <w:rFonts w:ascii="Arial Narrow" w:eastAsiaTheme="minorEastAsia" w:hAnsi="Arial Narrow"/>
                <w:b/>
                <w:bCs/>
                <w:sz w:val="24"/>
                <w:szCs w:val="24"/>
                <w:u w:val="single"/>
              </w:rPr>
            </w:pPr>
            <w:r w:rsidRPr="00F56ADE">
              <w:rPr>
                <w:rFonts w:ascii="Arial Narrow" w:eastAsiaTheme="minorEastAsia" w:hAnsi="Arial Narrow"/>
                <w:b/>
                <w:bCs/>
                <w:sz w:val="24"/>
                <w:szCs w:val="24"/>
                <w:u w:val="single"/>
              </w:rPr>
              <w:t>INSTITUTO TECNOLÓGICO DE CANARIAS, S.A.</w:t>
            </w:r>
          </w:p>
          <w:p w14:paraId="4BD70A89" w14:textId="77777777" w:rsidR="00932B1C" w:rsidRPr="00F56ADE" w:rsidRDefault="00932B1C" w:rsidP="00932B1C">
            <w:pPr>
              <w:jc w:val="center"/>
              <w:rPr>
                <w:rFonts w:ascii="Arial Narrow" w:eastAsiaTheme="minorEastAsia" w:hAnsi="Arial Narrow"/>
                <w:sz w:val="24"/>
                <w:szCs w:val="24"/>
              </w:rPr>
            </w:pPr>
          </w:p>
          <w:p w14:paraId="13BC0AE1" w14:textId="77777777" w:rsidR="00932B1C" w:rsidRPr="00F56ADE" w:rsidRDefault="00932B1C" w:rsidP="00932B1C">
            <w:pPr>
              <w:jc w:val="center"/>
              <w:rPr>
                <w:rFonts w:ascii="Arial Narrow" w:eastAsiaTheme="minorEastAsia" w:hAnsi="Arial Narrow"/>
                <w:b/>
                <w:bCs/>
                <w:sz w:val="24"/>
                <w:szCs w:val="24"/>
                <w:u w:val="single"/>
              </w:rPr>
            </w:pPr>
            <w:r w:rsidRPr="00F56ADE">
              <w:rPr>
                <w:rFonts w:ascii="Arial Narrow" w:eastAsiaTheme="minorEastAsia" w:hAnsi="Arial Narrow"/>
                <w:b/>
                <w:bCs/>
                <w:sz w:val="24"/>
                <w:szCs w:val="24"/>
                <w:u w:val="single"/>
              </w:rPr>
              <w:t xml:space="preserve">CUENTAS ANUALES CORRESPONDIENTES AL </w:t>
            </w:r>
            <w:r w:rsidR="00B1690F" w:rsidRPr="00F56ADE">
              <w:rPr>
                <w:rFonts w:ascii="Arial Narrow" w:eastAsiaTheme="minorEastAsia" w:hAnsi="Arial Narrow"/>
                <w:b/>
                <w:bCs/>
                <w:sz w:val="24"/>
                <w:szCs w:val="24"/>
                <w:u w:val="single"/>
              </w:rPr>
              <w:t>EJERCICIO 201</w:t>
            </w:r>
            <w:r w:rsidR="006303D2">
              <w:rPr>
                <w:rFonts w:ascii="Arial Narrow" w:eastAsiaTheme="minorEastAsia" w:hAnsi="Arial Narrow"/>
                <w:b/>
                <w:bCs/>
                <w:sz w:val="24"/>
                <w:szCs w:val="24"/>
                <w:u w:val="single"/>
              </w:rPr>
              <w:t>9</w:t>
            </w:r>
          </w:p>
          <w:p w14:paraId="2FFA1CCD" w14:textId="77777777" w:rsidR="00932B1C" w:rsidRPr="00F56ADE" w:rsidRDefault="00932B1C" w:rsidP="00932B1C">
            <w:pPr>
              <w:jc w:val="center"/>
              <w:rPr>
                <w:rFonts w:ascii="Times New Roman" w:eastAsiaTheme="minorEastAsia" w:hAnsi="Times New Roman"/>
                <w:sz w:val="24"/>
                <w:szCs w:val="24"/>
              </w:rPr>
            </w:pPr>
          </w:p>
        </w:tc>
      </w:tr>
    </w:tbl>
    <w:p w14:paraId="25299151" w14:textId="77777777" w:rsidR="00932B1C" w:rsidRPr="00F56ADE" w:rsidRDefault="00932B1C" w:rsidP="00932B1C">
      <w:pPr>
        <w:jc w:val="both"/>
        <w:rPr>
          <w:rFonts w:ascii="Times New Roman" w:hAnsi="Times New Roman"/>
          <w:sz w:val="24"/>
          <w:szCs w:val="24"/>
        </w:rPr>
      </w:pPr>
    </w:p>
    <w:p w14:paraId="46B89FDA" w14:textId="77777777" w:rsidR="00932B1C" w:rsidRPr="00F56ADE" w:rsidRDefault="00932B1C" w:rsidP="00932B1C">
      <w:pPr>
        <w:rPr>
          <w:rFonts w:ascii="Times New Roman" w:hAnsi="Times New Roman"/>
          <w:sz w:val="24"/>
          <w:szCs w:val="24"/>
        </w:rPr>
      </w:pPr>
    </w:p>
    <w:p w14:paraId="33D9365A" w14:textId="77777777" w:rsidR="00932B1C" w:rsidRPr="00F56ADE" w:rsidRDefault="00932B1C" w:rsidP="00932B1C">
      <w:pPr>
        <w:spacing w:line="220" w:lineRule="exact"/>
        <w:jc w:val="both"/>
        <w:rPr>
          <w:rFonts w:ascii="Times New Roman" w:hAnsi="Times New Roman"/>
          <w:sz w:val="24"/>
          <w:szCs w:val="24"/>
          <w:highlight w:val="yellow"/>
        </w:rPr>
      </w:pPr>
    </w:p>
    <w:p w14:paraId="2F06F177" w14:textId="77777777" w:rsidR="001E3D7D" w:rsidRPr="00F56ADE" w:rsidRDefault="001E3D7D" w:rsidP="000E7DB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Narrow" w:hAnsi="Arial Narrow" w:cs="Arial"/>
          <w:b/>
          <w:snapToGrid w:val="0"/>
          <w:sz w:val="24"/>
          <w:szCs w:val="24"/>
          <w:lang w:eastAsia="es-ES"/>
        </w:rPr>
      </w:pPr>
    </w:p>
    <w:p w14:paraId="2A9A3D7D" w14:textId="77777777" w:rsidR="00931B1C" w:rsidRPr="00F56ADE" w:rsidRDefault="00931B1C" w:rsidP="00931B1C">
      <w:pPr>
        <w:jc w:val="both"/>
        <w:rPr>
          <w:rFonts w:ascii="Trebuchet MS" w:hAnsi="Trebuchet MS" w:cs="Trebuchet MS"/>
          <w:sz w:val="20"/>
        </w:rPr>
      </w:pPr>
    </w:p>
    <w:p w14:paraId="7A35B99A" w14:textId="77777777" w:rsidR="00931B1C" w:rsidRPr="00F56ADE" w:rsidRDefault="00931B1C" w:rsidP="00931B1C">
      <w:pPr>
        <w:rPr>
          <w:rFonts w:ascii="Trebuchet MS" w:hAnsi="Trebuchet MS" w:cs="Trebuchet MS"/>
          <w:sz w:val="20"/>
        </w:rPr>
        <w:sectPr w:rsidR="00931B1C" w:rsidRPr="00F56ADE" w:rsidSect="004A1607">
          <w:headerReference w:type="default" r:id="rId8"/>
          <w:pgSz w:w="11907" w:h="16840" w:code="9"/>
          <w:pgMar w:top="1701" w:right="1134" w:bottom="1701" w:left="1701" w:header="1134" w:footer="1134" w:gutter="0"/>
          <w:cols w:space="720"/>
          <w:noEndnote/>
        </w:sectPr>
      </w:pPr>
    </w:p>
    <w:p w14:paraId="5AC3BBEC" w14:textId="03EEECAB" w:rsidR="00A47925" w:rsidRPr="00E66F44" w:rsidRDefault="00A47925" w:rsidP="00931B1C">
      <w:pPr>
        <w:jc w:val="center"/>
        <w:rPr>
          <w:rFonts w:ascii="Arial Narrow" w:hAnsi="Arial Narrow"/>
          <w:b/>
          <w:bCs/>
          <w:szCs w:val="22"/>
          <w:u w:val="single"/>
        </w:rPr>
      </w:pPr>
      <w:r w:rsidRPr="00E66F44">
        <w:rPr>
          <w:rFonts w:ascii="Arial Narrow" w:hAnsi="Arial Narrow"/>
          <w:b/>
          <w:bCs/>
          <w:szCs w:val="22"/>
          <w:u w:val="single"/>
        </w:rPr>
        <w:t>INSTITUTO TECNOLÓGICO DE CANARIAS, S.A.</w:t>
      </w:r>
    </w:p>
    <w:p w14:paraId="220D31F7" w14:textId="77777777" w:rsidR="00A47925" w:rsidRPr="00E66F44" w:rsidRDefault="00A47925" w:rsidP="00A47925">
      <w:pPr>
        <w:spacing w:line="240" w:lineRule="atLeast"/>
        <w:jc w:val="center"/>
        <w:rPr>
          <w:rFonts w:ascii="Arial Narrow" w:hAnsi="Arial Narrow"/>
          <w:b/>
          <w:bCs/>
          <w:szCs w:val="22"/>
          <w:u w:val="single"/>
        </w:rPr>
      </w:pPr>
      <w:r w:rsidRPr="00E66F44">
        <w:rPr>
          <w:rFonts w:ascii="Arial Narrow" w:hAnsi="Arial Narrow"/>
          <w:b/>
          <w:bCs/>
          <w:szCs w:val="22"/>
          <w:u w:val="single"/>
        </w:rPr>
        <w:t xml:space="preserve">BALANCES AL </w:t>
      </w:r>
      <w:r w:rsidR="00B1690F" w:rsidRPr="00E66F44">
        <w:rPr>
          <w:rFonts w:ascii="Arial Narrow" w:hAnsi="Arial Narrow"/>
          <w:b/>
          <w:bCs/>
          <w:szCs w:val="22"/>
          <w:u w:val="single"/>
        </w:rPr>
        <w:t>31 de diciembre de 201</w:t>
      </w:r>
      <w:r w:rsidR="006303D2">
        <w:rPr>
          <w:rFonts w:ascii="Arial Narrow" w:hAnsi="Arial Narrow"/>
          <w:b/>
          <w:bCs/>
          <w:szCs w:val="22"/>
          <w:u w:val="single"/>
        </w:rPr>
        <w:t>9</w:t>
      </w:r>
      <w:r w:rsidR="00B1690F" w:rsidRPr="00E66F44">
        <w:rPr>
          <w:rFonts w:ascii="Arial Narrow" w:hAnsi="Arial Narrow"/>
          <w:b/>
          <w:bCs/>
          <w:szCs w:val="22"/>
          <w:u w:val="single"/>
        </w:rPr>
        <w:t xml:space="preserve"> y de 201</w:t>
      </w:r>
      <w:r w:rsidR="006303D2">
        <w:rPr>
          <w:rFonts w:ascii="Arial Narrow" w:hAnsi="Arial Narrow"/>
          <w:b/>
          <w:bCs/>
          <w:szCs w:val="22"/>
          <w:u w:val="single"/>
        </w:rPr>
        <w:t>8</w:t>
      </w:r>
    </w:p>
    <w:p w14:paraId="6F42936A" w14:textId="77777777" w:rsidR="005A5E81" w:rsidRDefault="00A47925" w:rsidP="0074097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ind w:left="-284"/>
        <w:jc w:val="center"/>
        <w:outlineLvl w:val="0"/>
        <w:rPr>
          <w:rFonts w:ascii="Arial Narrow" w:hAnsi="Arial Narrow"/>
          <w:szCs w:val="22"/>
        </w:rPr>
      </w:pPr>
      <w:r w:rsidRPr="00E66F44">
        <w:rPr>
          <w:rFonts w:ascii="Arial Narrow" w:hAnsi="Arial Narrow"/>
          <w:szCs w:val="22"/>
        </w:rPr>
        <w:t>(Expresados en euros)</w:t>
      </w:r>
    </w:p>
    <w:p w14:paraId="681E3CAC" w14:textId="77777777" w:rsidR="008410BC" w:rsidRDefault="00ED5603" w:rsidP="00FF17FB">
      <w:pPr>
        <w:widowControl w:val="0"/>
        <w:tabs>
          <w:tab w:val="left" w:pos="426"/>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rFonts w:ascii="Times New Roman" w:hAnsi="Times New Roman"/>
          <w:b/>
          <w:snapToGrid w:val="0"/>
          <w:color w:val="FF0000"/>
          <w:sz w:val="20"/>
          <w:lang w:eastAsia="es-ES"/>
        </w:rPr>
      </w:pPr>
      <w:r w:rsidRPr="00ED5603">
        <w:rPr>
          <w:noProof/>
          <w:lang w:val="es-ES" w:eastAsia="es-ES"/>
        </w:rPr>
        <w:drawing>
          <wp:inline distT="0" distB="0" distL="0" distR="0" wp14:anchorId="244225A9" wp14:editId="18AB9ACA">
            <wp:extent cx="4768850" cy="734970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446" cy="7381448"/>
                    </a:xfrm>
                    <a:prstGeom prst="rect">
                      <a:avLst/>
                    </a:prstGeom>
                    <a:noFill/>
                    <a:ln>
                      <a:noFill/>
                    </a:ln>
                  </pic:spPr>
                </pic:pic>
              </a:graphicData>
            </a:graphic>
          </wp:inline>
        </w:drawing>
      </w:r>
    </w:p>
    <w:p w14:paraId="6B0A735D" w14:textId="77777777" w:rsidR="00DD368E" w:rsidRPr="00F56ADE" w:rsidRDefault="00A47925" w:rsidP="009B48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ind w:left="-142"/>
        <w:jc w:val="center"/>
        <w:outlineLvl w:val="0"/>
        <w:rPr>
          <w:rFonts w:ascii="Arial Narrow" w:hAnsi="Arial Narrow"/>
          <w:i/>
          <w:iCs/>
          <w:color w:val="FF0000"/>
          <w:sz w:val="20"/>
        </w:rPr>
      </w:pPr>
      <w:r w:rsidRPr="00F56ADE">
        <w:rPr>
          <w:rFonts w:ascii="Arial Narrow" w:hAnsi="Arial Narrow"/>
          <w:i/>
          <w:iCs/>
          <w:sz w:val="18"/>
          <w:szCs w:val="18"/>
        </w:rPr>
        <w:t>Las Cuentas Anuales de la Sociedad, que forman una sola unidad, comprenden estos Balances, las Cuentas de Pérdidas y Ganancias, el Estado de Cambios en el Patrimonio Neto, los Estados de Flujos de Efectivo adjuntos y la Memori</w:t>
      </w:r>
      <w:r w:rsidR="006654EB" w:rsidRPr="00F56ADE">
        <w:rPr>
          <w:rFonts w:ascii="Arial Narrow" w:hAnsi="Arial Narrow"/>
          <w:i/>
          <w:iCs/>
          <w:sz w:val="18"/>
          <w:szCs w:val="18"/>
        </w:rPr>
        <w:t xml:space="preserve">a Anual adjunta que consta de </w:t>
      </w:r>
      <w:r w:rsidR="009B4811">
        <w:rPr>
          <w:rFonts w:ascii="Arial Narrow" w:hAnsi="Arial Narrow"/>
          <w:i/>
          <w:iCs/>
          <w:sz w:val="18"/>
          <w:szCs w:val="18"/>
        </w:rPr>
        <w:t>19</w:t>
      </w:r>
      <w:r w:rsidRPr="00F56ADE">
        <w:rPr>
          <w:rFonts w:ascii="Arial Narrow" w:hAnsi="Arial Narrow"/>
          <w:i/>
          <w:iCs/>
          <w:sz w:val="18"/>
          <w:szCs w:val="18"/>
        </w:rPr>
        <w:t xml:space="preserve"> Notas.</w:t>
      </w:r>
      <w:r w:rsidR="0038118C" w:rsidRPr="00F56ADE">
        <w:rPr>
          <w:rFonts w:ascii="Arial" w:hAnsi="Arial" w:cs="Arial"/>
          <w:b/>
          <w:snapToGrid w:val="0"/>
          <w:color w:val="FF0000"/>
          <w:sz w:val="20"/>
          <w:lang w:eastAsia="es-ES"/>
        </w:rPr>
        <w:br w:type="page"/>
      </w:r>
    </w:p>
    <w:p w14:paraId="0AF8B1AC" w14:textId="77777777" w:rsidR="00A47925" w:rsidRPr="00E66F44" w:rsidRDefault="00A47925" w:rsidP="00A47925">
      <w:pPr>
        <w:jc w:val="center"/>
        <w:rPr>
          <w:rFonts w:ascii="Arial Narrow" w:hAnsi="Arial Narrow"/>
          <w:b/>
          <w:bCs/>
          <w:szCs w:val="22"/>
          <w:u w:val="single"/>
        </w:rPr>
      </w:pPr>
      <w:r w:rsidRPr="00E66F44">
        <w:rPr>
          <w:rFonts w:ascii="Arial Narrow" w:hAnsi="Arial Narrow"/>
          <w:b/>
          <w:bCs/>
          <w:szCs w:val="22"/>
          <w:u w:val="single"/>
        </w:rPr>
        <w:t>INSTITUTO TECNOLÓGICO DE CANARIAS, S.A.</w:t>
      </w:r>
    </w:p>
    <w:p w14:paraId="01C4C2C5" w14:textId="77777777" w:rsidR="00A47925" w:rsidRPr="00E66F44" w:rsidRDefault="00A47925" w:rsidP="00A47925">
      <w:pPr>
        <w:spacing w:line="240" w:lineRule="atLeast"/>
        <w:jc w:val="center"/>
        <w:rPr>
          <w:rFonts w:ascii="Arial Narrow" w:hAnsi="Arial Narrow"/>
          <w:b/>
          <w:bCs/>
          <w:szCs w:val="22"/>
          <w:u w:val="single"/>
        </w:rPr>
      </w:pPr>
      <w:r w:rsidRPr="00E66F44">
        <w:rPr>
          <w:rFonts w:ascii="Arial Narrow" w:hAnsi="Arial Narrow"/>
          <w:b/>
          <w:bCs/>
          <w:szCs w:val="22"/>
          <w:u w:val="single"/>
        </w:rPr>
        <w:t xml:space="preserve">BALANCES AL </w:t>
      </w:r>
      <w:r w:rsidR="00632120" w:rsidRPr="00E66F44">
        <w:rPr>
          <w:rFonts w:ascii="Arial Narrow" w:hAnsi="Arial Narrow"/>
          <w:b/>
          <w:bCs/>
          <w:szCs w:val="22"/>
          <w:u w:val="single"/>
        </w:rPr>
        <w:t>3</w:t>
      </w:r>
      <w:r w:rsidR="00ED3F97" w:rsidRPr="00E66F44">
        <w:rPr>
          <w:rFonts w:ascii="Arial Narrow" w:hAnsi="Arial Narrow"/>
          <w:b/>
          <w:bCs/>
          <w:szCs w:val="22"/>
          <w:u w:val="single"/>
        </w:rPr>
        <w:t>1 de diciembre de 201</w:t>
      </w:r>
      <w:r w:rsidR="006303D2">
        <w:rPr>
          <w:rFonts w:ascii="Arial Narrow" w:hAnsi="Arial Narrow"/>
          <w:b/>
          <w:bCs/>
          <w:szCs w:val="22"/>
          <w:u w:val="single"/>
        </w:rPr>
        <w:t>9</w:t>
      </w:r>
      <w:r w:rsidR="00ED3F97" w:rsidRPr="00E66F44">
        <w:rPr>
          <w:rFonts w:ascii="Arial Narrow" w:hAnsi="Arial Narrow"/>
          <w:b/>
          <w:bCs/>
          <w:szCs w:val="22"/>
          <w:u w:val="single"/>
        </w:rPr>
        <w:t xml:space="preserve"> y de 20</w:t>
      </w:r>
      <w:r w:rsidR="006303D2">
        <w:rPr>
          <w:rFonts w:ascii="Arial Narrow" w:hAnsi="Arial Narrow"/>
          <w:b/>
          <w:bCs/>
          <w:szCs w:val="22"/>
          <w:u w:val="single"/>
        </w:rPr>
        <w:t>18</w:t>
      </w:r>
    </w:p>
    <w:p w14:paraId="7470A447" w14:textId="77777777" w:rsidR="00A47925" w:rsidRPr="00E66F44" w:rsidRDefault="00A47925" w:rsidP="00A47925">
      <w:pPr>
        <w:spacing w:line="240" w:lineRule="atLeast"/>
        <w:jc w:val="center"/>
        <w:rPr>
          <w:rFonts w:ascii="Arial Narrow" w:hAnsi="Arial Narrow"/>
          <w:szCs w:val="22"/>
        </w:rPr>
      </w:pPr>
      <w:r w:rsidRPr="00E66F44">
        <w:rPr>
          <w:rFonts w:ascii="Arial Narrow" w:hAnsi="Arial Narrow"/>
          <w:szCs w:val="22"/>
        </w:rPr>
        <w:t>(Expresados en euros)</w:t>
      </w:r>
      <w:r w:rsidR="00695865" w:rsidRPr="00695865">
        <w:rPr>
          <w:noProof/>
          <w:lang w:val="es-ES" w:eastAsia="es-ES"/>
        </w:rPr>
        <w:t xml:space="preserve"> </w:t>
      </w:r>
      <w:r w:rsidR="00ED5603" w:rsidRPr="00ED5603">
        <w:rPr>
          <w:noProof/>
          <w:lang w:val="es-ES" w:eastAsia="es-ES"/>
        </w:rPr>
        <w:drawing>
          <wp:inline distT="0" distB="0" distL="0" distR="0" wp14:anchorId="6A2AAF49" wp14:editId="029378A3">
            <wp:extent cx="4709795" cy="722030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731" cy="7234008"/>
                    </a:xfrm>
                    <a:prstGeom prst="rect">
                      <a:avLst/>
                    </a:prstGeom>
                    <a:noFill/>
                    <a:ln>
                      <a:noFill/>
                    </a:ln>
                  </pic:spPr>
                </pic:pic>
              </a:graphicData>
            </a:graphic>
          </wp:inline>
        </w:drawing>
      </w:r>
    </w:p>
    <w:p w14:paraId="205B3826" w14:textId="77777777" w:rsidR="00C83245" w:rsidRPr="00F56ADE" w:rsidRDefault="00C83245" w:rsidP="00A4792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rFonts w:ascii="Arial Narrow" w:hAnsi="Arial Narrow"/>
          <w:i/>
          <w:iCs/>
          <w:color w:val="FF0000"/>
          <w:sz w:val="18"/>
          <w:szCs w:val="18"/>
        </w:rPr>
      </w:pPr>
    </w:p>
    <w:p w14:paraId="6685DA0D" w14:textId="77777777" w:rsidR="00A47925" w:rsidRPr="00727628" w:rsidRDefault="00A47925" w:rsidP="00293EB8">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rFonts w:ascii="Arial Narrow" w:hAnsi="Arial Narrow"/>
          <w:i/>
          <w:iCs/>
          <w:color w:val="FF0000"/>
          <w:sz w:val="16"/>
          <w:szCs w:val="16"/>
        </w:rPr>
      </w:pPr>
      <w:r w:rsidRPr="00727628">
        <w:rPr>
          <w:rFonts w:ascii="Arial Narrow" w:hAnsi="Arial Narrow"/>
          <w:i/>
          <w:iCs/>
          <w:sz w:val="16"/>
          <w:szCs w:val="16"/>
        </w:rPr>
        <w:t>Las Cuentas Anuales de la Sociedad, que forman una sola unidad, comprenden estos Balances, las Cuentas de Pérdidas y Ganancias, el Estado de Cambios en el Patrimonio Neto, los Estados de Flujos de Efectivo adjuntos y la Memori</w:t>
      </w:r>
      <w:r w:rsidR="006654EB" w:rsidRPr="00727628">
        <w:rPr>
          <w:rFonts w:ascii="Arial Narrow" w:hAnsi="Arial Narrow"/>
          <w:i/>
          <w:iCs/>
          <w:sz w:val="16"/>
          <w:szCs w:val="16"/>
        </w:rPr>
        <w:t xml:space="preserve">a Anual adjunta que </w:t>
      </w:r>
      <w:r w:rsidR="00293EB8" w:rsidRPr="00727628">
        <w:rPr>
          <w:rFonts w:ascii="Arial Narrow" w:hAnsi="Arial Narrow"/>
          <w:i/>
          <w:iCs/>
          <w:sz w:val="16"/>
          <w:szCs w:val="16"/>
        </w:rPr>
        <w:t>c</w:t>
      </w:r>
      <w:r w:rsidR="006654EB" w:rsidRPr="00727628">
        <w:rPr>
          <w:rFonts w:ascii="Arial Narrow" w:hAnsi="Arial Narrow"/>
          <w:i/>
          <w:iCs/>
          <w:sz w:val="16"/>
          <w:szCs w:val="16"/>
        </w:rPr>
        <w:t xml:space="preserve">onsta de </w:t>
      </w:r>
      <w:r w:rsidR="009B4811">
        <w:rPr>
          <w:rFonts w:ascii="Arial Narrow" w:hAnsi="Arial Narrow"/>
          <w:i/>
          <w:iCs/>
          <w:sz w:val="16"/>
          <w:szCs w:val="16"/>
        </w:rPr>
        <w:t>19</w:t>
      </w:r>
      <w:r w:rsidRPr="00727628">
        <w:rPr>
          <w:rFonts w:ascii="Arial Narrow" w:hAnsi="Arial Narrow"/>
          <w:i/>
          <w:iCs/>
          <w:sz w:val="16"/>
          <w:szCs w:val="16"/>
        </w:rPr>
        <w:t xml:space="preserve"> Notas.</w:t>
      </w:r>
      <w:r w:rsidRPr="00727628">
        <w:rPr>
          <w:rFonts w:ascii="Arial Narrow" w:hAnsi="Arial Narrow"/>
          <w:i/>
          <w:iCs/>
          <w:color w:val="FF0000"/>
          <w:sz w:val="16"/>
          <w:szCs w:val="16"/>
        </w:rPr>
        <w:br w:type="page"/>
      </w:r>
    </w:p>
    <w:p w14:paraId="380B132B" w14:textId="77777777" w:rsidR="00A47925" w:rsidRPr="00E66F44" w:rsidRDefault="00A47925" w:rsidP="00A47925">
      <w:pPr>
        <w:jc w:val="center"/>
        <w:rPr>
          <w:rFonts w:ascii="Arial Narrow" w:hAnsi="Arial Narrow"/>
          <w:b/>
          <w:bCs/>
          <w:szCs w:val="22"/>
          <w:u w:val="single"/>
        </w:rPr>
      </w:pPr>
      <w:r w:rsidRPr="00E66F44">
        <w:rPr>
          <w:rFonts w:ascii="Arial Narrow" w:hAnsi="Arial Narrow"/>
          <w:b/>
          <w:bCs/>
          <w:szCs w:val="22"/>
          <w:u w:val="single"/>
        </w:rPr>
        <w:t>INSTITUTO TECNOLÓGICO DE CANARIAS, S.A.</w:t>
      </w:r>
    </w:p>
    <w:p w14:paraId="1BEB286C" w14:textId="77777777" w:rsidR="00A47925" w:rsidRPr="00E66F44" w:rsidRDefault="00A47925" w:rsidP="00A47925">
      <w:pPr>
        <w:jc w:val="center"/>
        <w:rPr>
          <w:rFonts w:ascii="Arial Narrow" w:hAnsi="Arial Narrow"/>
          <w:b/>
          <w:bCs/>
          <w:szCs w:val="22"/>
          <w:u w:val="single"/>
        </w:rPr>
      </w:pPr>
      <w:r w:rsidRPr="00E66F44">
        <w:rPr>
          <w:rFonts w:ascii="Arial Narrow" w:hAnsi="Arial Narrow"/>
          <w:b/>
          <w:bCs/>
          <w:szCs w:val="22"/>
          <w:u w:val="single"/>
        </w:rPr>
        <w:t xml:space="preserve">CUENTA DE PÉRDIDAS Y GANANCIAS CORRESPONDIENTES A LOS </w:t>
      </w:r>
      <w:r w:rsidR="00ED3F97" w:rsidRPr="00E66F44">
        <w:rPr>
          <w:rFonts w:ascii="Arial Narrow" w:hAnsi="Arial Narrow"/>
          <w:b/>
          <w:bCs/>
          <w:szCs w:val="22"/>
          <w:u w:val="single"/>
        </w:rPr>
        <w:t>EJERCICIOS 201</w:t>
      </w:r>
      <w:r w:rsidR="006303D2">
        <w:rPr>
          <w:rFonts w:ascii="Arial Narrow" w:hAnsi="Arial Narrow"/>
          <w:b/>
          <w:bCs/>
          <w:szCs w:val="22"/>
          <w:u w:val="single"/>
        </w:rPr>
        <w:t>9</w:t>
      </w:r>
      <w:r w:rsidR="00ED3F97" w:rsidRPr="00E66F44">
        <w:rPr>
          <w:rFonts w:ascii="Arial Narrow" w:hAnsi="Arial Narrow"/>
          <w:b/>
          <w:bCs/>
          <w:szCs w:val="22"/>
          <w:u w:val="single"/>
        </w:rPr>
        <w:t xml:space="preserve"> Y 201</w:t>
      </w:r>
      <w:r w:rsidR="006303D2">
        <w:rPr>
          <w:rFonts w:ascii="Arial Narrow" w:hAnsi="Arial Narrow"/>
          <w:b/>
          <w:bCs/>
          <w:szCs w:val="22"/>
          <w:u w:val="single"/>
        </w:rPr>
        <w:t>8</w:t>
      </w:r>
    </w:p>
    <w:p w14:paraId="277A7BDF" w14:textId="77777777" w:rsidR="00A47925" w:rsidRDefault="00A47925" w:rsidP="00A47925">
      <w:pPr>
        <w:spacing w:line="240" w:lineRule="atLeast"/>
        <w:jc w:val="center"/>
        <w:rPr>
          <w:rFonts w:ascii="Arial Narrow" w:hAnsi="Arial Narrow"/>
          <w:szCs w:val="22"/>
        </w:rPr>
      </w:pPr>
      <w:r w:rsidRPr="00E66F44">
        <w:rPr>
          <w:rFonts w:ascii="Arial Narrow" w:hAnsi="Arial Narrow"/>
          <w:szCs w:val="22"/>
        </w:rPr>
        <w:t>(Expresadas en euros)</w:t>
      </w:r>
    </w:p>
    <w:p w14:paraId="20EEDC2D" w14:textId="77777777" w:rsidR="00695865" w:rsidRPr="00E66F44" w:rsidRDefault="00ED5603" w:rsidP="00A47925">
      <w:pPr>
        <w:spacing w:line="240" w:lineRule="atLeast"/>
        <w:jc w:val="center"/>
        <w:rPr>
          <w:rFonts w:ascii="Arial Narrow" w:hAnsi="Arial Narrow"/>
          <w:szCs w:val="22"/>
        </w:rPr>
      </w:pPr>
      <w:r w:rsidRPr="00ED5603">
        <w:rPr>
          <w:noProof/>
          <w:lang w:val="es-ES" w:eastAsia="es-ES"/>
        </w:rPr>
        <w:drawing>
          <wp:inline distT="0" distB="0" distL="0" distR="0" wp14:anchorId="02D97CDC" wp14:editId="6C97B4FF">
            <wp:extent cx="5393055" cy="72634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165" cy="7271671"/>
                    </a:xfrm>
                    <a:prstGeom prst="rect">
                      <a:avLst/>
                    </a:prstGeom>
                    <a:noFill/>
                    <a:ln>
                      <a:noFill/>
                    </a:ln>
                  </pic:spPr>
                </pic:pic>
              </a:graphicData>
            </a:graphic>
          </wp:inline>
        </w:drawing>
      </w:r>
    </w:p>
    <w:p w14:paraId="06816CBD" w14:textId="77777777" w:rsidR="009B4811" w:rsidRDefault="009B4811" w:rsidP="009B4811">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sz w:val="20"/>
        </w:rPr>
      </w:pPr>
    </w:p>
    <w:p w14:paraId="2E353F97" w14:textId="77777777" w:rsidR="00E6583B" w:rsidRPr="009B4811" w:rsidRDefault="008410BC" w:rsidP="009B4811">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rFonts w:ascii="Arial Narrow" w:hAnsi="Arial Narrow"/>
          <w:i/>
          <w:iCs/>
          <w:sz w:val="16"/>
          <w:szCs w:val="16"/>
        </w:rPr>
      </w:pPr>
      <w:r w:rsidRPr="009B4811">
        <w:rPr>
          <w:rFonts w:ascii="Arial Narrow" w:hAnsi="Arial Narrow"/>
          <w:i/>
          <w:iCs/>
          <w:sz w:val="16"/>
          <w:szCs w:val="16"/>
        </w:rPr>
        <w:t xml:space="preserve">Las Cuentas Anuales de la Sociedad, que forman una sola unidad, comprenden esto Estado de Cambios en el Patrimonio Neto, los Balances, las Cuenta de Pérdidas y Ganancias, el Estado de Flujos de Efectivo adjuntos y la Memoria Anual adjunta que consta de </w:t>
      </w:r>
      <w:r w:rsidR="009B4811" w:rsidRPr="009B4811">
        <w:rPr>
          <w:rFonts w:ascii="Arial Narrow" w:hAnsi="Arial Narrow"/>
          <w:i/>
          <w:iCs/>
          <w:sz w:val="16"/>
          <w:szCs w:val="16"/>
        </w:rPr>
        <w:t>19</w:t>
      </w:r>
      <w:r w:rsidRPr="009B4811">
        <w:rPr>
          <w:rFonts w:ascii="Arial Narrow" w:hAnsi="Arial Narrow"/>
          <w:i/>
          <w:iCs/>
          <w:sz w:val="16"/>
          <w:szCs w:val="16"/>
        </w:rPr>
        <w:t xml:space="preserve"> Notas.</w:t>
      </w:r>
      <w:r w:rsidR="00E6583B" w:rsidRPr="009B4811">
        <w:rPr>
          <w:rFonts w:ascii="Arial Narrow" w:hAnsi="Arial Narrow"/>
          <w:i/>
          <w:iCs/>
          <w:sz w:val="16"/>
          <w:szCs w:val="16"/>
        </w:rPr>
        <w:br w:type="page"/>
      </w:r>
    </w:p>
    <w:p w14:paraId="4BD54EC9" w14:textId="77777777" w:rsidR="008410BC" w:rsidRPr="00F56ADE" w:rsidRDefault="008410BC" w:rsidP="008410BC">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napToGrid w:val="0"/>
          <w:sz w:val="18"/>
          <w:szCs w:val="18"/>
          <w:lang w:eastAsia="es-ES"/>
        </w:rPr>
      </w:pPr>
    </w:p>
    <w:p w14:paraId="513C4112" w14:textId="77777777" w:rsidR="009426D9" w:rsidRPr="00E66F44" w:rsidRDefault="008410BC" w:rsidP="008410BC">
      <w:pPr>
        <w:ind w:left="2280" w:firstLine="57"/>
        <w:rPr>
          <w:rFonts w:ascii="Arial Narrow" w:hAnsi="Arial Narrow"/>
          <w:b/>
          <w:bCs/>
          <w:szCs w:val="22"/>
          <w:u w:val="single"/>
        </w:rPr>
      </w:pPr>
      <w:r w:rsidRPr="00E66F44">
        <w:rPr>
          <w:rFonts w:ascii="Arial Narrow" w:hAnsi="Arial Narrow"/>
          <w:b/>
          <w:bCs/>
          <w:szCs w:val="22"/>
          <w:u w:val="single"/>
        </w:rPr>
        <w:t>IN</w:t>
      </w:r>
      <w:r w:rsidR="009426D9" w:rsidRPr="00E66F44">
        <w:rPr>
          <w:rFonts w:ascii="Arial Narrow" w:hAnsi="Arial Narrow"/>
          <w:b/>
          <w:bCs/>
          <w:szCs w:val="22"/>
          <w:u w:val="single"/>
        </w:rPr>
        <w:t xml:space="preserve">STITUTO TECNOLÓGICO DE CANARIAS, S.A. </w:t>
      </w:r>
    </w:p>
    <w:p w14:paraId="0F993765" w14:textId="77777777" w:rsidR="009426D9" w:rsidRPr="00E66F44" w:rsidRDefault="009426D9" w:rsidP="009426D9">
      <w:pPr>
        <w:jc w:val="center"/>
        <w:rPr>
          <w:rFonts w:ascii="Arial Narrow" w:hAnsi="Arial Narrow"/>
          <w:b/>
          <w:bCs/>
          <w:szCs w:val="22"/>
          <w:u w:val="single"/>
        </w:rPr>
      </w:pPr>
      <w:r w:rsidRPr="00E66F44">
        <w:rPr>
          <w:rFonts w:ascii="Arial Narrow" w:hAnsi="Arial Narrow"/>
          <w:b/>
          <w:bCs/>
          <w:szCs w:val="22"/>
          <w:u w:val="single"/>
        </w:rPr>
        <w:t>ESTADO DE CAMBIOS EN EL PATRIMONIO NETO</w:t>
      </w:r>
    </w:p>
    <w:p w14:paraId="03EEC7BB" w14:textId="77777777" w:rsidR="009426D9" w:rsidRPr="00E66F44" w:rsidRDefault="009426D9" w:rsidP="009426D9">
      <w:pPr>
        <w:jc w:val="center"/>
        <w:rPr>
          <w:rFonts w:ascii="Arial Narrow" w:hAnsi="Arial Narrow"/>
          <w:b/>
          <w:bCs/>
          <w:szCs w:val="22"/>
          <w:u w:val="single"/>
        </w:rPr>
      </w:pPr>
    </w:p>
    <w:p w14:paraId="7A710096" w14:textId="77777777" w:rsidR="00DB7F33" w:rsidRPr="00E66F44" w:rsidRDefault="009426D9" w:rsidP="009C5E01">
      <w:pPr>
        <w:pStyle w:val="Prrafodelista"/>
        <w:numPr>
          <w:ilvl w:val="0"/>
          <w:numId w:val="12"/>
        </w:numPr>
        <w:jc w:val="center"/>
        <w:rPr>
          <w:rFonts w:ascii="Arial Narrow" w:hAnsi="Arial Narrow"/>
          <w:b/>
          <w:bCs/>
          <w:szCs w:val="22"/>
          <w:u w:val="single"/>
        </w:rPr>
      </w:pPr>
      <w:r w:rsidRPr="00E66F44">
        <w:rPr>
          <w:rFonts w:ascii="Arial Narrow" w:hAnsi="Arial Narrow"/>
          <w:b/>
          <w:bCs/>
          <w:szCs w:val="22"/>
          <w:u w:val="single"/>
        </w:rPr>
        <w:t>ESTADO DE INGRESOS Y GASTOS RECONOCIDO</w:t>
      </w:r>
      <w:r w:rsidR="004670B8" w:rsidRPr="00E66F44">
        <w:rPr>
          <w:rFonts w:ascii="Arial Narrow" w:hAnsi="Arial Narrow"/>
          <w:b/>
          <w:bCs/>
          <w:szCs w:val="22"/>
          <w:u w:val="single"/>
        </w:rPr>
        <w:t>S</w:t>
      </w:r>
      <w:r w:rsidRPr="00E66F44">
        <w:rPr>
          <w:rFonts w:ascii="Arial Narrow" w:hAnsi="Arial Narrow"/>
          <w:b/>
          <w:bCs/>
          <w:szCs w:val="22"/>
          <w:u w:val="single"/>
        </w:rPr>
        <w:t xml:space="preserve"> CORRESPONDIENTE A </w:t>
      </w:r>
    </w:p>
    <w:p w14:paraId="5C306869" w14:textId="77777777" w:rsidR="009426D9" w:rsidRPr="00E66F44" w:rsidRDefault="009426D9" w:rsidP="00DB7F33">
      <w:pPr>
        <w:pStyle w:val="Prrafodelista"/>
        <w:ind w:left="720"/>
        <w:jc w:val="center"/>
        <w:rPr>
          <w:rFonts w:ascii="Arial Narrow" w:hAnsi="Arial Narrow"/>
          <w:b/>
          <w:bCs/>
          <w:szCs w:val="22"/>
          <w:u w:val="single"/>
        </w:rPr>
      </w:pPr>
      <w:r w:rsidRPr="00E66F44">
        <w:rPr>
          <w:rFonts w:ascii="Arial Narrow" w:hAnsi="Arial Narrow"/>
          <w:b/>
          <w:bCs/>
          <w:szCs w:val="22"/>
          <w:u w:val="single"/>
        </w:rPr>
        <w:t xml:space="preserve">LOS </w:t>
      </w:r>
      <w:r w:rsidR="00ED3F97" w:rsidRPr="00E66F44">
        <w:rPr>
          <w:rFonts w:ascii="Arial Narrow" w:hAnsi="Arial Narrow"/>
          <w:b/>
          <w:bCs/>
          <w:szCs w:val="22"/>
          <w:u w:val="single"/>
        </w:rPr>
        <w:t xml:space="preserve">EJERCICIOS </w:t>
      </w:r>
      <w:r w:rsidR="004211B5" w:rsidRPr="00E66F44">
        <w:rPr>
          <w:rFonts w:ascii="Arial Narrow" w:hAnsi="Arial Narrow"/>
          <w:b/>
          <w:bCs/>
          <w:szCs w:val="22"/>
          <w:u w:val="single"/>
        </w:rPr>
        <w:t>20</w:t>
      </w:r>
      <w:r w:rsidR="00EC43D2">
        <w:rPr>
          <w:rFonts w:ascii="Arial Narrow" w:hAnsi="Arial Narrow"/>
          <w:b/>
          <w:bCs/>
          <w:szCs w:val="22"/>
          <w:u w:val="single"/>
        </w:rPr>
        <w:t>19</w:t>
      </w:r>
      <w:r w:rsidR="004211B5" w:rsidRPr="00E66F44">
        <w:rPr>
          <w:rFonts w:ascii="Arial Narrow" w:hAnsi="Arial Narrow"/>
          <w:b/>
          <w:bCs/>
          <w:szCs w:val="22"/>
          <w:u w:val="single"/>
        </w:rPr>
        <w:t xml:space="preserve"> </w:t>
      </w:r>
      <w:r w:rsidR="00ED3F97" w:rsidRPr="00E66F44">
        <w:rPr>
          <w:rFonts w:ascii="Arial Narrow" w:hAnsi="Arial Narrow"/>
          <w:b/>
          <w:bCs/>
          <w:szCs w:val="22"/>
          <w:u w:val="single"/>
        </w:rPr>
        <w:t xml:space="preserve">Y </w:t>
      </w:r>
      <w:r w:rsidR="004211B5" w:rsidRPr="00E66F44">
        <w:rPr>
          <w:rFonts w:ascii="Arial Narrow" w:hAnsi="Arial Narrow"/>
          <w:b/>
          <w:bCs/>
          <w:szCs w:val="22"/>
          <w:u w:val="single"/>
        </w:rPr>
        <w:t>20</w:t>
      </w:r>
      <w:r w:rsidR="00EC43D2">
        <w:rPr>
          <w:rFonts w:ascii="Arial Narrow" w:hAnsi="Arial Narrow"/>
          <w:b/>
          <w:bCs/>
          <w:szCs w:val="22"/>
          <w:u w:val="single"/>
        </w:rPr>
        <w:t>18</w:t>
      </w:r>
    </w:p>
    <w:p w14:paraId="48226FF7" w14:textId="77777777" w:rsidR="009426D9" w:rsidRDefault="009426D9" w:rsidP="009426D9">
      <w:pPr>
        <w:spacing w:line="240" w:lineRule="atLeast"/>
        <w:jc w:val="center"/>
        <w:rPr>
          <w:rFonts w:ascii="Arial Narrow" w:hAnsi="Arial Narrow"/>
          <w:szCs w:val="22"/>
        </w:rPr>
      </w:pPr>
      <w:r w:rsidRPr="00E66F44">
        <w:rPr>
          <w:rFonts w:ascii="Arial Narrow" w:hAnsi="Arial Narrow"/>
          <w:szCs w:val="22"/>
        </w:rPr>
        <w:t>(Expresado en euros)</w:t>
      </w:r>
    </w:p>
    <w:p w14:paraId="6C2E3F2E" w14:textId="77777777" w:rsidR="00695865" w:rsidRPr="00E66F44" w:rsidRDefault="00695865" w:rsidP="009426D9">
      <w:pPr>
        <w:spacing w:line="240" w:lineRule="atLeast"/>
        <w:jc w:val="center"/>
        <w:rPr>
          <w:rFonts w:ascii="Arial Narrow" w:hAnsi="Arial Narrow"/>
          <w:szCs w:val="22"/>
        </w:rPr>
      </w:pPr>
    </w:p>
    <w:p w14:paraId="453AA97E" w14:textId="77777777" w:rsidR="00DD368E" w:rsidRPr="00E66F44" w:rsidRDefault="008F6BB8" w:rsidP="00DD368E">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lang w:eastAsia="es-ES"/>
        </w:rPr>
      </w:pPr>
      <w:r w:rsidRPr="008F6BB8">
        <w:rPr>
          <w:noProof/>
          <w:lang w:val="es-ES" w:eastAsia="es-ES"/>
        </w:rPr>
        <w:drawing>
          <wp:inline distT="0" distB="0" distL="0" distR="0" wp14:anchorId="5F69588D" wp14:editId="67770C4F">
            <wp:extent cx="5760720" cy="40199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085" cy="4021560"/>
                    </a:xfrm>
                    <a:prstGeom prst="rect">
                      <a:avLst/>
                    </a:prstGeom>
                    <a:noFill/>
                    <a:ln>
                      <a:noFill/>
                    </a:ln>
                  </pic:spPr>
                </pic:pic>
              </a:graphicData>
            </a:graphic>
          </wp:inline>
        </w:drawing>
      </w:r>
    </w:p>
    <w:p w14:paraId="76852242" w14:textId="77777777" w:rsidR="00293EB8" w:rsidRPr="00F56ADE" w:rsidRDefault="00293EB8" w:rsidP="00850B7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ind w:hanging="567"/>
        <w:rPr>
          <w:rFonts w:ascii="Arial" w:hAnsi="Arial" w:cs="Arial"/>
          <w:snapToGrid w:val="0"/>
          <w:sz w:val="20"/>
          <w:lang w:eastAsia="es-ES"/>
        </w:rPr>
      </w:pPr>
    </w:p>
    <w:p w14:paraId="6C8035DC" w14:textId="77777777" w:rsidR="00C83245" w:rsidRPr="00F56ADE" w:rsidRDefault="00C83245" w:rsidP="00DD368E">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0"/>
          <w:lang w:eastAsia="es-ES"/>
        </w:rPr>
      </w:pPr>
    </w:p>
    <w:p w14:paraId="0D9F2ABE" w14:textId="77777777" w:rsidR="009426D9" w:rsidRPr="00F56ADE" w:rsidRDefault="004670B8" w:rsidP="009426D9">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napToGrid w:val="0"/>
          <w:sz w:val="18"/>
          <w:szCs w:val="18"/>
          <w:lang w:eastAsia="es-ES"/>
        </w:rPr>
      </w:pPr>
      <w:r w:rsidRPr="00F56ADE">
        <w:rPr>
          <w:rFonts w:ascii="Arial Narrow" w:hAnsi="Arial Narrow"/>
          <w:i/>
          <w:iCs/>
          <w:sz w:val="18"/>
          <w:szCs w:val="18"/>
        </w:rPr>
        <w:t>L</w:t>
      </w:r>
      <w:r w:rsidR="009426D9" w:rsidRPr="00F56ADE">
        <w:rPr>
          <w:rFonts w:ascii="Arial Narrow" w:hAnsi="Arial Narrow"/>
          <w:i/>
          <w:iCs/>
          <w:sz w:val="18"/>
          <w:szCs w:val="18"/>
        </w:rPr>
        <w:t xml:space="preserve">as Cuentas Anuales de la Sociedad, que forman una sola unidad, comprenden esto Estado de Cambios en el Patrimonio Neto, los Balances, las Cuenta de Pérdidas y Ganancias, el Estado de Flujos de Efectivo adjuntos y la Memoria Anual adjunta que consta de </w:t>
      </w:r>
      <w:r w:rsidR="001D1A7B">
        <w:rPr>
          <w:rFonts w:ascii="Arial Narrow" w:hAnsi="Arial Narrow"/>
          <w:i/>
          <w:iCs/>
          <w:sz w:val="18"/>
          <w:szCs w:val="18"/>
        </w:rPr>
        <w:t>19</w:t>
      </w:r>
      <w:r w:rsidR="009426D9" w:rsidRPr="00F56ADE">
        <w:rPr>
          <w:rFonts w:ascii="Arial Narrow" w:hAnsi="Arial Narrow"/>
          <w:i/>
          <w:iCs/>
          <w:sz w:val="18"/>
          <w:szCs w:val="18"/>
        </w:rPr>
        <w:t xml:space="preserve"> Notas.</w:t>
      </w:r>
    </w:p>
    <w:p w14:paraId="2E376B34" w14:textId="77777777" w:rsidR="009426D9" w:rsidRPr="00F56ADE" w:rsidRDefault="009426D9" w:rsidP="00DD368E">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FF0000"/>
          <w:sz w:val="20"/>
          <w:lang w:eastAsia="es-ES"/>
        </w:rPr>
      </w:pPr>
    </w:p>
    <w:p w14:paraId="1F187BDD" w14:textId="77777777" w:rsidR="00B14F1D" w:rsidRPr="00F56ADE" w:rsidRDefault="00B14F1D">
      <w:pPr>
        <w:rPr>
          <w:rFonts w:ascii="Arial" w:hAnsi="Arial" w:cs="Arial"/>
          <w:snapToGrid w:val="0"/>
          <w:color w:val="FF0000"/>
          <w:sz w:val="20"/>
          <w:lang w:eastAsia="es-ES"/>
        </w:rPr>
      </w:pPr>
      <w:r w:rsidRPr="00F56ADE">
        <w:rPr>
          <w:rFonts w:ascii="Arial" w:hAnsi="Arial" w:cs="Arial"/>
          <w:snapToGrid w:val="0"/>
          <w:color w:val="FF0000"/>
          <w:sz w:val="20"/>
          <w:lang w:eastAsia="es-ES"/>
        </w:rPr>
        <w:br w:type="page"/>
      </w:r>
    </w:p>
    <w:p w14:paraId="09549C30" w14:textId="77777777" w:rsidR="009426D9" w:rsidRPr="00A20B01" w:rsidRDefault="009426D9" w:rsidP="009426D9">
      <w:pPr>
        <w:spacing w:line="240" w:lineRule="atLeast"/>
        <w:jc w:val="center"/>
        <w:rPr>
          <w:rFonts w:ascii="Arial Narrow" w:hAnsi="Arial Narrow"/>
          <w:b/>
          <w:bCs/>
          <w:color w:val="FF0000"/>
          <w:szCs w:val="22"/>
          <w:u w:val="single"/>
        </w:rPr>
      </w:pPr>
    </w:p>
    <w:p w14:paraId="0DF89B2F" w14:textId="77777777" w:rsidR="009426D9" w:rsidRPr="00E66F44" w:rsidRDefault="009426D9" w:rsidP="009426D9">
      <w:pPr>
        <w:spacing w:line="240" w:lineRule="atLeast"/>
        <w:jc w:val="center"/>
        <w:rPr>
          <w:rFonts w:ascii="Arial Narrow" w:hAnsi="Arial Narrow"/>
          <w:b/>
          <w:bCs/>
          <w:szCs w:val="22"/>
          <w:u w:val="single"/>
        </w:rPr>
      </w:pPr>
      <w:r w:rsidRPr="00E66F44">
        <w:rPr>
          <w:rFonts w:ascii="Arial Narrow" w:hAnsi="Arial Narrow"/>
          <w:b/>
          <w:bCs/>
          <w:szCs w:val="22"/>
          <w:u w:val="single"/>
        </w:rPr>
        <w:t xml:space="preserve">INSTITUTO TECNOLÓGICO DE CANARIAS, S.A. </w:t>
      </w:r>
    </w:p>
    <w:p w14:paraId="156600F7" w14:textId="77777777" w:rsidR="009426D9" w:rsidRPr="00E66F44" w:rsidRDefault="009426D9" w:rsidP="009426D9">
      <w:pPr>
        <w:jc w:val="center"/>
        <w:rPr>
          <w:rFonts w:ascii="Arial Narrow" w:hAnsi="Arial Narrow"/>
          <w:b/>
          <w:bCs/>
          <w:szCs w:val="22"/>
          <w:u w:val="single"/>
        </w:rPr>
      </w:pPr>
      <w:r w:rsidRPr="00E66F44">
        <w:rPr>
          <w:rFonts w:ascii="Arial Narrow" w:hAnsi="Arial Narrow"/>
          <w:b/>
          <w:bCs/>
          <w:szCs w:val="22"/>
          <w:u w:val="single"/>
        </w:rPr>
        <w:t>ESTADO DE CAMBIOS EN EL PATRIMONIO NETO</w:t>
      </w:r>
    </w:p>
    <w:p w14:paraId="053FC1A0" w14:textId="77777777" w:rsidR="009426D9" w:rsidRPr="00E66F44" w:rsidRDefault="009426D9" w:rsidP="009426D9">
      <w:pPr>
        <w:jc w:val="center"/>
        <w:rPr>
          <w:rFonts w:ascii="Arial Narrow" w:hAnsi="Arial Narrow"/>
          <w:szCs w:val="22"/>
        </w:rPr>
      </w:pPr>
    </w:p>
    <w:p w14:paraId="79F3CBF2" w14:textId="77777777" w:rsidR="00D242DF" w:rsidRPr="00E66F44" w:rsidRDefault="009426D9" w:rsidP="009C5E01">
      <w:pPr>
        <w:pStyle w:val="Prrafodelista"/>
        <w:numPr>
          <w:ilvl w:val="0"/>
          <w:numId w:val="12"/>
        </w:numPr>
        <w:ind w:left="0" w:firstLine="360"/>
        <w:jc w:val="center"/>
        <w:rPr>
          <w:rFonts w:ascii="Arial Narrow" w:hAnsi="Arial Narrow"/>
          <w:b/>
          <w:bCs/>
          <w:szCs w:val="22"/>
          <w:u w:val="single"/>
        </w:rPr>
      </w:pPr>
      <w:r w:rsidRPr="00E66F44">
        <w:rPr>
          <w:rFonts w:ascii="Arial Narrow" w:hAnsi="Arial Narrow"/>
          <w:b/>
          <w:bCs/>
          <w:szCs w:val="22"/>
          <w:u w:val="single"/>
        </w:rPr>
        <w:t xml:space="preserve">ESTADO DE CAMBIOS EN EL PATRIMONIO NETO CORRESPONDIENTE </w:t>
      </w:r>
    </w:p>
    <w:p w14:paraId="18E4054B" w14:textId="77777777" w:rsidR="009426D9" w:rsidRPr="00E66F44" w:rsidRDefault="009426D9" w:rsidP="00D242DF">
      <w:pPr>
        <w:pStyle w:val="Prrafodelista"/>
        <w:ind w:left="360"/>
        <w:jc w:val="center"/>
        <w:rPr>
          <w:rFonts w:ascii="Arial Narrow" w:hAnsi="Arial Narrow"/>
          <w:b/>
          <w:bCs/>
          <w:szCs w:val="22"/>
          <w:u w:val="single"/>
        </w:rPr>
      </w:pPr>
      <w:r w:rsidRPr="00E66F44">
        <w:rPr>
          <w:rFonts w:ascii="Arial Narrow" w:hAnsi="Arial Narrow"/>
          <w:b/>
          <w:bCs/>
          <w:szCs w:val="22"/>
          <w:u w:val="single"/>
        </w:rPr>
        <w:t xml:space="preserve">AL 31 DE DICIEMBRE DE </w:t>
      </w:r>
      <w:r w:rsidR="004439BC" w:rsidRPr="00E66F44">
        <w:rPr>
          <w:rFonts w:ascii="Arial Narrow" w:hAnsi="Arial Narrow"/>
          <w:b/>
          <w:bCs/>
          <w:szCs w:val="22"/>
          <w:u w:val="single"/>
        </w:rPr>
        <w:t>20</w:t>
      </w:r>
      <w:r w:rsidR="00EC43D2">
        <w:rPr>
          <w:rFonts w:ascii="Arial Narrow" w:hAnsi="Arial Narrow"/>
          <w:b/>
          <w:bCs/>
          <w:szCs w:val="22"/>
          <w:u w:val="single"/>
        </w:rPr>
        <w:t>19 Y 2018</w:t>
      </w:r>
    </w:p>
    <w:p w14:paraId="7EABC3D1" w14:textId="77777777" w:rsidR="009426D9" w:rsidRDefault="009426D9" w:rsidP="0085716D">
      <w:pPr>
        <w:ind w:firstLine="360"/>
        <w:jc w:val="center"/>
        <w:rPr>
          <w:rFonts w:ascii="Arial Narrow" w:hAnsi="Arial Narrow"/>
          <w:szCs w:val="22"/>
        </w:rPr>
      </w:pPr>
      <w:r w:rsidRPr="00E66F44">
        <w:rPr>
          <w:rFonts w:ascii="Arial Narrow" w:hAnsi="Arial Narrow"/>
          <w:szCs w:val="22"/>
        </w:rPr>
        <w:t>(Expresado en euros)</w:t>
      </w:r>
    </w:p>
    <w:p w14:paraId="1E842443" w14:textId="77777777" w:rsidR="00695865" w:rsidRPr="00E66F44" w:rsidRDefault="00695865" w:rsidP="00695865">
      <w:pPr>
        <w:ind w:firstLine="360"/>
        <w:rPr>
          <w:rFonts w:ascii="Arial Narrow" w:hAnsi="Arial Narrow"/>
          <w:szCs w:val="22"/>
        </w:rPr>
      </w:pPr>
    </w:p>
    <w:p w14:paraId="4E6FD137" w14:textId="77777777" w:rsidR="00293EB8" w:rsidRDefault="00293EB8" w:rsidP="0085716D">
      <w:pPr>
        <w:ind w:firstLine="360"/>
        <w:jc w:val="center"/>
        <w:rPr>
          <w:rFonts w:ascii="Arial Narrow" w:hAnsi="Arial Narrow"/>
          <w:color w:val="FF0000"/>
          <w:szCs w:val="22"/>
        </w:rPr>
      </w:pPr>
    </w:p>
    <w:p w14:paraId="32BA11A2" w14:textId="77777777" w:rsidR="00695865" w:rsidRPr="00A20B01" w:rsidRDefault="005230E0" w:rsidP="00EC43D2">
      <w:pPr>
        <w:ind w:left="-142"/>
        <w:rPr>
          <w:rFonts w:ascii="Arial Narrow" w:hAnsi="Arial Narrow"/>
          <w:color w:val="FF0000"/>
          <w:szCs w:val="22"/>
        </w:rPr>
      </w:pPr>
      <w:r w:rsidRPr="005230E0">
        <w:rPr>
          <w:noProof/>
          <w:lang w:val="es-ES" w:eastAsia="es-ES"/>
        </w:rPr>
        <w:drawing>
          <wp:inline distT="0" distB="0" distL="0" distR="0" wp14:anchorId="5D2032E6" wp14:editId="374D9997">
            <wp:extent cx="5760720" cy="3641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41725"/>
                    </a:xfrm>
                    <a:prstGeom prst="rect">
                      <a:avLst/>
                    </a:prstGeom>
                    <a:noFill/>
                    <a:ln>
                      <a:noFill/>
                    </a:ln>
                  </pic:spPr>
                </pic:pic>
              </a:graphicData>
            </a:graphic>
          </wp:inline>
        </w:drawing>
      </w:r>
    </w:p>
    <w:p w14:paraId="274347D9" w14:textId="77777777" w:rsidR="00D242DF" w:rsidRPr="00850B72" w:rsidRDefault="00D242DF" w:rsidP="008E5625">
      <w:pPr>
        <w:widowControl w:val="0"/>
        <w:ind w:left="-1276"/>
        <w:jc w:val="center"/>
        <w:rPr>
          <w:rFonts w:ascii="Arial Narrow" w:hAnsi="Arial Narrow"/>
          <w:iCs/>
          <w:color w:val="FF0000"/>
          <w:sz w:val="18"/>
          <w:szCs w:val="18"/>
        </w:rPr>
      </w:pPr>
    </w:p>
    <w:p w14:paraId="5B281B0F" w14:textId="77777777" w:rsidR="004670B8" w:rsidRPr="00F56ADE" w:rsidRDefault="004670B8" w:rsidP="00EA0414">
      <w:pPr>
        <w:widowControl w:val="0"/>
        <w:jc w:val="center"/>
        <w:rPr>
          <w:rFonts w:ascii="Arial Narrow" w:hAnsi="Arial Narrow"/>
          <w:i/>
          <w:iCs/>
          <w:sz w:val="18"/>
          <w:szCs w:val="18"/>
        </w:rPr>
      </w:pPr>
    </w:p>
    <w:p w14:paraId="2CA2F660" w14:textId="77777777" w:rsidR="00293EB8" w:rsidRPr="00F56ADE" w:rsidRDefault="00293EB8" w:rsidP="00185419">
      <w:pPr>
        <w:widowControl w:val="0"/>
        <w:jc w:val="center"/>
        <w:rPr>
          <w:rFonts w:ascii="Arial Narrow" w:hAnsi="Arial Narrow"/>
          <w:b/>
          <w:bCs/>
          <w:sz w:val="18"/>
          <w:szCs w:val="18"/>
          <w:u w:val="single"/>
        </w:rPr>
      </w:pPr>
      <w:r w:rsidRPr="00F56ADE">
        <w:rPr>
          <w:rFonts w:ascii="Arial Narrow" w:hAnsi="Arial Narrow"/>
          <w:i/>
          <w:iCs/>
          <w:sz w:val="18"/>
          <w:szCs w:val="18"/>
        </w:rPr>
        <w:t>Las</w:t>
      </w:r>
      <w:r w:rsidR="009426D9" w:rsidRPr="00F56ADE">
        <w:rPr>
          <w:rFonts w:ascii="Arial Narrow" w:hAnsi="Arial Narrow"/>
          <w:i/>
          <w:iCs/>
          <w:sz w:val="18"/>
          <w:szCs w:val="18"/>
        </w:rPr>
        <w:t xml:space="preserve"> Cuentas Anuales de la Sociedad, que forman una sola unidad, comprenden esto Estado de Cambios en el Patrimonio Neto, los Balances, las Cuenta de Pérdidas y Ganancias, el Estado de Flujos de Efectivo adjuntos y la Memoria Anual adjunta que consta de </w:t>
      </w:r>
      <w:r w:rsidR="001D1A7B">
        <w:rPr>
          <w:rFonts w:ascii="Arial Narrow" w:hAnsi="Arial Narrow"/>
          <w:i/>
          <w:iCs/>
          <w:sz w:val="18"/>
          <w:szCs w:val="18"/>
        </w:rPr>
        <w:t>19</w:t>
      </w:r>
      <w:r w:rsidR="009426D9" w:rsidRPr="00F56ADE">
        <w:rPr>
          <w:rFonts w:ascii="Arial Narrow" w:hAnsi="Arial Narrow"/>
          <w:i/>
          <w:iCs/>
          <w:sz w:val="18"/>
          <w:szCs w:val="18"/>
        </w:rPr>
        <w:t xml:space="preserve"> Notas</w:t>
      </w:r>
    </w:p>
    <w:p w14:paraId="02D2983F" w14:textId="77777777" w:rsidR="00293EB8" w:rsidRPr="00F56ADE" w:rsidRDefault="00293EB8" w:rsidP="009426D9">
      <w:pPr>
        <w:jc w:val="center"/>
        <w:rPr>
          <w:rFonts w:ascii="Arial Narrow" w:hAnsi="Arial Narrow"/>
          <w:b/>
          <w:bCs/>
          <w:sz w:val="18"/>
          <w:szCs w:val="18"/>
          <w:u w:val="single"/>
        </w:rPr>
      </w:pPr>
    </w:p>
    <w:p w14:paraId="6427546B" w14:textId="77777777" w:rsidR="00293EB8" w:rsidRPr="00F56ADE" w:rsidRDefault="00293EB8" w:rsidP="009426D9">
      <w:pPr>
        <w:jc w:val="center"/>
        <w:rPr>
          <w:rFonts w:ascii="Arial Narrow" w:hAnsi="Arial Narrow"/>
          <w:b/>
          <w:bCs/>
          <w:sz w:val="18"/>
          <w:szCs w:val="18"/>
          <w:u w:val="single"/>
        </w:rPr>
      </w:pPr>
    </w:p>
    <w:p w14:paraId="53DE7B2B" w14:textId="77777777" w:rsidR="009426D9" w:rsidRPr="00695865" w:rsidRDefault="00FF083F" w:rsidP="001D1A7B">
      <w:pPr>
        <w:jc w:val="center"/>
        <w:rPr>
          <w:rFonts w:ascii="Arial Narrow" w:hAnsi="Arial Narrow"/>
          <w:b/>
          <w:bCs/>
          <w:szCs w:val="22"/>
          <w:u w:val="single"/>
        </w:rPr>
      </w:pPr>
      <w:r>
        <w:rPr>
          <w:rFonts w:ascii="Arial Narrow" w:hAnsi="Arial Narrow"/>
          <w:b/>
          <w:bCs/>
          <w:color w:val="FF0000"/>
          <w:sz w:val="18"/>
          <w:szCs w:val="18"/>
          <w:u w:val="single"/>
        </w:rPr>
        <w:br w:type="page"/>
      </w:r>
      <w:r w:rsidR="009426D9" w:rsidRPr="00695865">
        <w:rPr>
          <w:rFonts w:ascii="Arial Narrow" w:hAnsi="Arial Narrow"/>
          <w:b/>
          <w:bCs/>
          <w:szCs w:val="22"/>
          <w:u w:val="single"/>
        </w:rPr>
        <w:t>INSTITUTO TECNOLÓGICO DE CANARIAS, S.A.</w:t>
      </w:r>
    </w:p>
    <w:p w14:paraId="1927F97D" w14:textId="77777777" w:rsidR="009426D9" w:rsidRPr="00695865" w:rsidRDefault="009426D9" w:rsidP="00695865">
      <w:pPr>
        <w:spacing w:line="240" w:lineRule="atLeast"/>
        <w:jc w:val="center"/>
        <w:rPr>
          <w:rFonts w:ascii="Arial Narrow" w:hAnsi="Arial Narrow"/>
          <w:b/>
          <w:bCs/>
          <w:szCs w:val="22"/>
          <w:u w:val="single"/>
        </w:rPr>
      </w:pPr>
      <w:r w:rsidRPr="00695865">
        <w:rPr>
          <w:rFonts w:ascii="Arial Narrow" w:hAnsi="Arial Narrow"/>
          <w:b/>
          <w:bCs/>
          <w:szCs w:val="22"/>
          <w:u w:val="single"/>
        </w:rPr>
        <w:t>ESTADOS DE FLUJOS DE EFECTIVO CORRESPO</w:t>
      </w:r>
      <w:r w:rsidR="001E56F3" w:rsidRPr="00695865">
        <w:rPr>
          <w:rFonts w:ascii="Arial Narrow" w:hAnsi="Arial Narrow"/>
          <w:b/>
          <w:bCs/>
          <w:szCs w:val="22"/>
          <w:u w:val="single"/>
        </w:rPr>
        <w:t>N</w:t>
      </w:r>
      <w:r w:rsidRPr="00695865">
        <w:rPr>
          <w:rFonts w:ascii="Arial Narrow" w:hAnsi="Arial Narrow"/>
          <w:b/>
          <w:bCs/>
          <w:szCs w:val="22"/>
          <w:u w:val="single"/>
        </w:rPr>
        <w:t xml:space="preserve">DIENTES A LOS </w:t>
      </w:r>
      <w:r w:rsidR="003819DC" w:rsidRPr="00695865">
        <w:rPr>
          <w:rFonts w:ascii="Arial Narrow" w:hAnsi="Arial Narrow"/>
          <w:b/>
          <w:bCs/>
          <w:szCs w:val="22"/>
          <w:u w:val="single"/>
        </w:rPr>
        <w:t>EJERCICIOS 201</w:t>
      </w:r>
      <w:r w:rsidR="00EC43D2">
        <w:rPr>
          <w:rFonts w:ascii="Arial Narrow" w:hAnsi="Arial Narrow"/>
          <w:b/>
          <w:bCs/>
          <w:szCs w:val="22"/>
          <w:u w:val="single"/>
        </w:rPr>
        <w:t>9 Y 2018</w:t>
      </w:r>
    </w:p>
    <w:p w14:paraId="2D9AF439" w14:textId="77777777" w:rsidR="0072138C" w:rsidRPr="00695865" w:rsidRDefault="009426D9" w:rsidP="00293EB8">
      <w:pPr>
        <w:spacing w:after="60" w:line="240" w:lineRule="atLeast"/>
        <w:jc w:val="center"/>
        <w:rPr>
          <w:rFonts w:ascii="Arial Narrow" w:hAnsi="Arial Narrow"/>
          <w:szCs w:val="22"/>
        </w:rPr>
      </w:pPr>
      <w:r w:rsidRPr="00695865">
        <w:rPr>
          <w:rFonts w:ascii="Arial Narrow" w:hAnsi="Arial Narrow"/>
          <w:szCs w:val="22"/>
        </w:rPr>
        <w:t>(Expresados en euros)</w:t>
      </w:r>
    </w:p>
    <w:p w14:paraId="2C97F0F2" w14:textId="77777777" w:rsidR="008E5625" w:rsidRPr="00ED5868" w:rsidRDefault="001D1A7B" w:rsidP="00ED5868">
      <w:pPr>
        <w:jc w:val="center"/>
        <w:rPr>
          <w:rFonts w:ascii="Arial Narrow" w:hAnsi="Arial Narrow"/>
          <w:iCs/>
          <w:color w:val="FF0000"/>
          <w:sz w:val="18"/>
          <w:szCs w:val="18"/>
        </w:rPr>
      </w:pPr>
      <w:r w:rsidRPr="001D1A7B">
        <w:rPr>
          <w:noProof/>
          <w:lang w:val="es-ES" w:eastAsia="es-ES"/>
        </w:rPr>
        <w:drawing>
          <wp:inline distT="0" distB="0" distL="0" distR="0" wp14:anchorId="370A0F3F" wp14:editId="17F7B21D">
            <wp:extent cx="5323756" cy="7003818"/>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7925" cy="7022459"/>
                    </a:xfrm>
                    <a:prstGeom prst="rect">
                      <a:avLst/>
                    </a:prstGeom>
                    <a:noFill/>
                    <a:ln>
                      <a:noFill/>
                    </a:ln>
                  </pic:spPr>
                </pic:pic>
              </a:graphicData>
            </a:graphic>
          </wp:inline>
        </w:drawing>
      </w:r>
    </w:p>
    <w:p w14:paraId="5C033D44" w14:textId="77777777" w:rsidR="00394B0C" w:rsidRDefault="00394B0C" w:rsidP="00ED5868">
      <w:pPr>
        <w:widowControl w:val="0"/>
        <w:jc w:val="center"/>
        <w:rPr>
          <w:rFonts w:ascii="Arial Narrow" w:hAnsi="Arial Narrow"/>
          <w:i/>
          <w:iCs/>
          <w:sz w:val="18"/>
          <w:szCs w:val="18"/>
        </w:rPr>
      </w:pPr>
    </w:p>
    <w:p w14:paraId="0352533E" w14:textId="77777777" w:rsidR="00ED5868" w:rsidRPr="00F56ADE" w:rsidRDefault="00ED5868" w:rsidP="00ED5868">
      <w:pPr>
        <w:widowControl w:val="0"/>
        <w:jc w:val="center"/>
        <w:rPr>
          <w:rFonts w:ascii="Arial Narrow" w:hAnsi="Arial Narrow"/>
          <w:b/>
          <w:bCs/>
          <w:sz w:val="18"/>
          <w:szCs w:val="18"/>
          <w:u w:val="single"/>
        </w:rPr>
      </w:pPr>
      <w:r w:rsidRPr="00F56ADE">
        <w:rPr>
          <w:rFonts w:ascii="Arial Narrow" w:hAnsi="Arial Narrow"/>
          <w:i/>
          <w:iCs/>
          <w:sz w:val="18"/>
          <w:szCs w:val="18"/>
        </w:rPr>
        <w:t xml:space="preserve">Las Cuentas Anuales de la Sociedad, que forman una sola unidad, comprenden esto Estado de Cambios en el Patrimonio Neto, los Balances, las Cuenta de Pérdidas y Ganancias, el Estado de Flujos de Efectivo adjuntos y la Memoria Anual adjunta que consta de </w:t>
      </w:r>
      <w:r w:rsidR="001D1A7B">
        <w:rPr>
          <w:rFonts w:ascii="Arial Narrow" w:hAnsi="Arial Narrow"/>
          <w:i/>
          <w:iCs/>
          <w:sz w:val="18"/>
          <w:szCs w:val="18"/>
        </w:rPr>
        <w:t>19</w:t>
      </w:r>
      <w:r w:rsidRPr="00F56ADE">
        <w:rPr>
          <w:rFonts w:ascii="Arial Narrow" w:hAnsi="Arial Narrow"/>
          <w:i/>
          <w:iCs/>
          <w:sz w:val="18"/>
          <w:szCs w:val="18"/>
        </w:rPr>
        <w:t xml:space="preserve"> Notas</w:t>
      </w:r>
    </w:p>
    <w:p w14:paraId="08501678" w14:textId="77777777" w:rsidR="00D87D59" w:rsidRDefault="00D87D59">
      <w:pPr>
        <w:rPr>
          <w:rFonts w:ascii="Arial Narrow" w:hAnsi="Arial Narrow"/>
          <w:b/>
          <w:bCs/>
          <w:sz w:val="24"/>
          <w:szCs w:val="24"/>
          <w:u w:val="single"/>
        </w:rPr>
      </w:pPr>
    </w:p>
    <w:p w14:paraId="037A9BC4" w14:textId="77777777" w:rsidR="009426D9" w:rsidRPr="00F56ADE" w:rsidRDefault="009426D9" w:rsidP="00F67C70">
      <w:pPr>
        <w:keepNext/>
        <w:keepLines/>
        <w:spacing w:line="280" w:lineRule="exact"/>
        <w:jc w:val="center"/>
        <w:rPr>
          <w:rFonts w:ascii="Arial Narrow" w:hAnsi="Arial Narrow"/>
          <w:b/>
          <w:bCs/>
          <w:sz w:val="24"/>
          <w:szCs w:val="24"/>
          <w:u w:val="single"/>
        </w:rPr>
      </w:pPr>
      <w:r w:rsidRPr="00F56ADE">
        <w:rPr>
          <w:rFonts w:ascii="Arial Narrow" w:hAnsi="Arial Narrow"/>
          <w:b/>
          <w:bCs/>
          <w:sz w:val="24"/>
          <w:szCs w:val="24"/>
          <w:u w:val="single"/>
        </w:rPr>
        <w:t>INSTITUTO TECNOLÓGICO DE CANARIAS, S.A.</w:t>
      </w:r>
    </w:p>
    <w:p w14:paraId="11B67215" w14:textId="77777777" w:rsidR="009426D9" w:rsidRPr="00F56ADE" w:rsidRDefault="009426D9" w:rsidP="00F67C70">
      <w:pPr>
        <w:keepNext/>
        <w:keepLines/>
        <w:spacing w:line="280" w:lineRule="exact"/>
        <w:jc w:val="center"/>
        <w:rPr>
          <w:rFonts w:ascii="Arial Narrow" w:hAnsi="Arial Narrow"/>
          <w:sz w:val="24"/>
          <w:szCs w:val="24"/>
        </w:rPr>
      </w:pPr>
    </w:p>
    <w:p w14:paraId="1F434994" w14:textId="77777777" w:rsidR="009426D9" w:rsidRPr="00F56ADE" w:rsidRDefault="009426D9" w:rsidP="00F67C70">
      <w:pPr>
        <w:keepNext/>
        <w:keepLines/>
        <w:spacing w:line="280" w:lineRule="exact"/>
        <w:jc w:val="center"/>
        <w:rPr>
          <w:rFonts w:ascii="Arial Narrow" w:hAnsi="Arial Narrow"/>
          <w:b/>
          <w:bCs/>
          <w:sz w:val="24"/>
          <w:szCs w:val="24"/>
          <w:u w:val="single"/>
        </w:rPr>
      </w:pPr>
      <w:r w:rsidRPr="00F56ADE">
        <w:rPr>
          <w:rFonts w:ascii="Arial Narrow" w:hAnsi="Arial Narrow"/>
          <w:b/>
          <w:bCs/>
          <w:sz w:val="24"/>
          <w:szCs w:val="24"/>
          <w:u w:val="single"/>
        </w:rPr>
        <w:t xml:space="preserve">MEMORIA DEL </w:t>
      </w:r>
      <w:r w:rsidR="003819DC" w:rsidRPr="00F56ADE">
        <w:rPr>
          <w:rFonts w:ascii="Arial Narrow" w:hAnsi="Arial Narrow"/>
          <w:b/>
          <w:bCs/>
          <w:sz w:val="24"/>
          <w:szCs w:val="24"/>
          <w:u w:val="single"/>
        </w:rPr>
        <w:t>EJERCICIO 201</w:t>
      </w:r>
      <w:r w:rsidR="00B27859">
        <w:rPr>
          <w:rFonts w:ascii="Arial Narrow" w:hAnsi="Arial Narrow"/>
          <w:b/>
          <w:bCs/>
          <w:sz w:val="24"/>
          <w:szCs w:val="24"/>
          <w:u w:val="single"/>
        </w:rPr>
        <w:t>9</w:t>
      </w:r>
    </w:p>
    <w:p w14:paraId="736A7D51" w14:textId="77777777" w:rsidR="004C6DEE" w:rsidRPr="00F56ADE" w:rsidRDefault="004C6DEE" w:rsidP="009426D9">
      <w:pPr>
        <w:spacing w:line="280" w:lineRule="exact"/>
        <w:jc w:val="center"/>
        <w:rPr>
          <w:rFonts w:ascii="Arial Narrow" w:hAnsi="Arial Narrow"/>
          <w:sz w:val="24"/>
          <w:szCs w:val="24"/>
        </w:rPr>
      </w:pPr>
    </w:p>
    <w:p w14:paraId="5756825D" w14:textId="77777777" w:rsidR="007B107B" w:rsidRPr="00F56ADE" w:rsidRDefault="007B107B" w:rsidP="007B107B">
      <w:pPr>
        <w:widowControl w:val="0"/>
        <w:numPr>
          <w:ilvl w:val="0"/>
          <w:numId w:val="4"/>
        </w:numPr>
        <w:tabs>
          <w:tab w:val="num" w:pos="426"/>
        </w:tabs>
        <w:spacing w:before="120" w:after="120"/>
        <w:ind w:left="425" w:hanging="425"/>
        <w:rPr>
          <w:rFonts w:ascii="Arial Narrow" w:hAnsi="Arial Narrow" w:cs="Arial"/>
          <w:b/>
          <w:caps/>
          <w:snapToGrid w:val="0"/>
          <w:sz w:val="24"/>
          <w:szCs w:val="24"/>
          <w:u w:val="single"/>
          <w:lang w:eastAsia="es-ES"/>
        </w:rPr>
      </w:pPr>
      <w:r w:rsidRPr="00F56ADE">
        <w:rPr>
          <w:rFonts w:ascii="Arial Narrow" w:hAnsi="Arial Narrow" w:cs="Arial"/>
          <w:b/>
          <w:caps/>
          <w:snapToGrid w:val="0"/>
          <w:sz w:val="24"/>
          <w:szCs w:val="24"/>
          <w:u w:val="single"/>
          <w:lang w:eastAsia="es-ES"/>
        </w:rPr>
        <w:t>actividad de la empresa</w:t>
      </w:r>
    </w:p>
    <w:p w14:paraId="2CD40007" w14:textId="77777777" w:rsidR="006E48C5" w:rsidRPr="00F56ADE" w:rsidRDefault="006E48C5" w:rsidP="00EE2AF4">
      <w:pPr>
        <w:widowControl w:val="0"/>
        <w:numPr>
          <w:ilvl w:val="0"/>
          <w:numId w:val="5"/>
        </w:numPr>
        <w:tabs>
          <w:tab w:val="clear" w:pos="720"/>
          <w:tab w:val="left" w:pos="567"/>
        </w:tabs>
        <w:autoSpaceDE w:val="0"/>
        <w:autoSpaceDN w:val="0"/>
        <w:adjustRightInd w:val="0"/>
        <w:spacing w:before="240" w:after="120" w:line="280" w:lineRule="exact"/>
        <w:ind w:left="567" w:hanging="567"/>
        <w:jc w:val="both"/>
        <w:rPr>
          <w:rFonts w:ascii="Arial Narrow" w:hAnsi="Arial Narrow"/>
          <w:b/>
          <w:bCs/>
          <w:sz w:val="24"/>
          <w:szCs w:val="24"/>
          <w:u w:val="single"/>
          <w:lang w:eastAsia="es-ES"/>
        </w:rPr>
      </w:pPr>
      <w:r w:rsidRPr="00F56ADE">
        <w:rPr>
          <w:rFonts w:ascii="Arial Narrow" w:hAnsi="Arial Narrow"/>
          <w:b/>
          <w:bCs/>
          <w:sz w:val="24"/>
          <w:szCs w:val="24"/>
          <w:u w:val="single"/>
          <w:lang w:eastAsia="es-ES"/>
        </w:rPr>
        <w:t>Constitución y Domicilio Social</w:t>
      </w:r>
    </w:p>
    <w:p w14:paraId="5C11E901" w14:textId="77777777" w:rsidR="00DD368E" w:rsidRDefault="00DD368E" w:rsidP="006E48C5">
      <w:pPr>
        <w:spacing w:before="120" w:after="120"/>
        <w:jc w:val="both"/>
        <w:rPr>
          <w:rFonts w:ascii="Arial Narrow" w:hAnsi="Arial Narrow" w:cs="Arial"/>
          <w:spacing w:val="1"/>
          <w:sz w:val="24"/>
          <w:szCs w:val="24"/>
        </w:rPr>
      </w:pPr>
      <w:r w:rsidRPr="00F56ADE">
        <w:rPr>
          <w:rFonts w:ascii="Arial Narrow" w:hAnsi="Arial Narrow" w:cs="Arial"/>
          <w:spacing w:val="-3"/>
          <w:sz w:val="24"/>
          <w:szCs w:val="24"/>
        </w:rPr>
        <w:t xml:space="preserve">El </w:t>
      </w:r>
      <w:r w:rsidRPr="00F56ADE">
        <w:rPr>
          <w:rFonts w:ascii="Arial Narrow" w:hAnsi="Arial Narrow" w:cs="Arial"/>
          <w:b/>
          <w:spacing w:val="-3"/>
          <w:sz w:val="24"/>
          <w:szCs w:val="24"/>
        </w:rPr>
        <w:t>Instituto Tecnológico de Canarias</w:t>
      </w:r>
      <w:r w:rsidR="005C4C3A">
        <w:rPr>
          <w:rFonts w:ascii="Arial Narrow" w:hAnsi="Arial Narrow" w:cs="Arial"/>
          <w:b/>
          <w:spacing w:val="-3"/>
          <w:sz w:val="24"/>
          <w:szCs w:val="24"/>
        </w:rPr>
        <w:t>,</w:t>
      </w:r>
      <w:r w:rsidRPr="00F56ADE">
        <w:rPr>
          <w:rFonts w:ascii="Arial Narrow" w:hAnsi="Arial Narrow" w:cs="Arial"/>
          <w:b/>
          <w:spacing w:val="-3"/>
          <w:sz w:val="24"/>
          <w:szCs w:val="24"/>
        </w:rPr>
        <w:t xml:space="preserve"> S.A. </w:t>
      </w:r>
      <w:r w:rsidRPr="00F56ADE">
        <w:rPr>
          <w:rFonts w:ascii="Arial Narrow" w:hAnsi="Arial Narrow" w:cs="Arial"/>
          <w:spacing w:val="-3"/>
          <w:sz w:val="24"/>
          <w:szCs w:val="24"/>
        </w:rPr>
        <w:t>(</w:t>
      </w:r>
      <w:r w:rsidR="006E48C5" w:rsidRPr="00F56ADE">
        <w:rPr>
          <w:rFonts w:ascii="Arial Narrow" w:hAnsi="Arial Narrow" w:cs="Arial"/>
          <w:spacing w:val="-3"/>
          <w:sz w:val="24"/>
          <w:szCs w:val="24"/>
        </w:rPr>
        <w:t>en adelante,</w:t>
      </w:r>
      <w:r w:rsidR="008F1BEF" w:rsidRPr="00F56ADE">
        <w:rPr>
          <w:rFonts w:ascii="Arial Narrow" w:hAnsi="Arial Narrow" w:cs="Arial"/>
          <w:spacing w:val="-3"/>
          <w:sz w:val="24"/>
          <w:szCs w:val="24"/>
        </w:rPr>
        <w:t xml:space="preserve"> </w:t>
      </w:r>
      <w:r w:rsidR="006E48C5" w:rsidRPr="00F56ADE">
        <w:rPr>
          <w:rFonts w:ascii="Arial Narrow" w:hAnsi="Arial Narrow" w:cs="Arial"/>
          <w:spacing w:val="-3"/>
          <w:sz w:val="24"/>
          <w:szCs w:val="24"/>
        </w:rPr>
        <w:t>“</w:t>
      </w:r>
      <w:r w:rsidR="008F1BEF" w:rsidRPr="00F56ADE">
        <w:rPr>
          <w:rFonts w:ascii="Arial Narrow" w:hAnsi="Arial Narrow" w:cs="Arial"/>
          <w:spacing w:val="-3"/>
          <w:sz w:val="24"/>
          <w:szCs w:val="24"/>
        </w:rPr>
        <w:t>la Sociedad</w:t>
      </w:r>
      <w:r w:rsidR="006E48C5" w:rsidRPr="00F56ADE">
        <w:rPr>
          <w:rFonts w:ascii="Arial Narrow" w:hAnsi="Arial Narrow" w:cs="Arial"/>
          <w:spacing w:val="-3"/>
          <w:sz w:val="24"/>
          <w:szCs w:val="24"/>
        </w:rPr>
        <w:t>”</w:t>
      </w:r>
      <w:r w:rsidR="008F1BEF" w:rsidRPr="00F56ADE">
        <w:rPr>
          <w:rFonts w:ascii="Arial Narrow" w:hAnsi="Arial Narrow" w:cs="Arial"/>
          <w:spacing w:val="-3"/>
          <w:sz w:val="24"/>
          <w:szCs w:val="24"/>
        </w:rPr>
        <w:t xml:space="preserve"> o </w:t>
      </w:r>
      <w:r w:rsidR="006E48C5" w:rsidRPr="00F56ADE">
        <w:rPr>
          <w:rFonts w:ascii="Arial Narrow" w:hAnsi="Arial Narrow" w:cs="Arial"/>
          <w:spacing w:val="-3"/>
          <w:sz w:val="24"/>
          <w:szCs w:val="24"/>
        </w:rPr>
        <w:t>“</w:t>
      </w:r>
      <w:r w:rsidRPr="00F56ADE">
        <w:rPr>
          <w:rFonts w:ascii="Arial Narrow" w:hAnsi="Arial Narrow" w:cs="Arial"/>
          <w:spacing w:val="-3"/>
          <w:sz w:val="24"/>
          <w:szCs w:val="24"/>
        </w:rPr>
        <w:t>ITC</w:t>
      </w:r>
      <w:r w:rsidR="006E48C5" w:rsidRPr="00F56ADE">
        <w:rPr>
          <w:rFonts w:ascii="Arial Narrow" w:hAnsi="Arial Narrow" w:cs="Arial"/>
          <w:spacing w:val="-3"/>
          <w:sz w:val="24"/>
          <w:szCs w:val="24"/>
        </w:rPr>
        <w:t>”</w:t>
      </w:r>
      <w:r w:rsidRPr="00F56ADE">
        <w:rPr>
          <w:rFonts w:ascii="Arial Narrow" w:hAnsi="Arial Narrow" w:cs="Arial"/>
          <w:spacing w:val="-3"/>
          <w:sz w:val="24"/>
          <w:szCs w:val="24"/>
        </w:rPr>
        <w:t xml:space="preserve">) </w:t>
      </w:r>
      <w:r w:rsidR="00504DD1" w:rsidRPr="00F56ADE">
        <w:rPr>
          <w:rFonts w:ascii="Arial Narrow" w:hAnsi="Arial Narrow" w:cs="Arial"/>
          <w:spacing w:val="-3"/>
          <w:sz w:val="24"/>
          <w:szCs w:val="24"/>
        </w:rPr>
        <w:t xml:space="preserve">es una Sociedad Mercantil Pública creada por el Gobierno de Canarias </w:t>
      </w:r>
      <w:r w:rsidRPr="00F56ADE">
        <w:rPr>
          <w:rFonts w:ascii="Arial Narrow" w:hAnsi="Arial Narrow" w:cs="Arial"/>
          <w:spacing w:val="-3"/>
          <w:sz w:val="24"/>
          <w:szCs w:val="24"/>
        </w:rPr>
        <w:t xml:space="preserve">mediante Decreto 139/1992 del Gobierno de </w:t>
      </w:r>
      <w:r w:rsidRPr="00F56ADE">
        <w:rPr>
          <w:rFonts w:ascii="Arial Narrow" w:hAnsi="Arial Narrow" w:cs="Arial"/>
          <w:spacing w:val="-1"/>
          <w:sz w:val="24"/>
          <w:szCs w:val="24"/>
        </w:rPr>
        <w:t>Canarias del día 30 de julio de 1992</w:t>
      </w:r>
      <w:r w:rsidR="00504DD1" w:rsidRPr="00F56ADE">
        <w:rPr>
          <w:rFonts w:ascii="Arial Narrow" w:hAnsi="Arial Narrow" w:cs="Arial"/>
          <w:spacing w:val="-1"/>
          <w:sz w:val="24"/>
          <w:szCs w:val="24"/>
        </w:rPr>
        <w:t>, y adscrita a la Consejería de Economía, Industria, Comercio y Conocimiento</w:t>
      </w:r>
      <w:r w:rsidRPr="00F56ADE">
        <w:rPr>
          <w:rFonts w:ascii="Arial Narrow" w:hAnsi="Arial Narrow" w:cs="Arial"/>
          <w:spacing w:val="-1"/>
          <w:sz w:val="24"/>
          <w:szCs w:val="24"/>
        </w:rPr>
        <w:t xml:space="preserve">. La escritura pública de constitución </w:t>
      </w:r>
      <w:r w:rsidR="006E48C5" w:rsidRPr="00F56ADE">
        <w:rPr>
          <w:rFonts w:ascii="Arial Narrow" w:hAnsi="Arial Narrow" w:cs="Arial"/>
          <w:spacing w:val="-1"/>
          <w:sz w:val="24"/>
          <w:szCs w:val="24"/>
        </w:rPr>
        <w:t>fue otorgada</w:t>
      </w:r>
      <w:r w:rsidRPr="00F56ADE">
        <w:rPr>
          <w:rFonts w:ascii="Arial Narrow" w:hAnsi="Arial Narrow" w:cs="Arial"/>
          <w:spacing w:val="-1"/>
          <w:sz w:val="24"/>
          <w:szCs w:val="24"/>
        </w:rPr>
        <w:t xml:space="preserve"> el día 28 de agosto de </w:t>
      </w:r>
      <w:r w:rsidRPr="00F56ADE">
        <w:rPr>
          <w:rFonts w:ascii="Arial Narrow" w:hAnsi="Arial Narrow" w:cs="Arial"/>
          <w:spacing w:val="1"/>
          <w:sz w:val="24"/>
          <w:szCs w:val="24"/>
        </w:rPr>
        <w:t>1992, con duración indefinida.</w:t>
      </w:r>
      <w:r w:rsidR="006E48C5" w:rsidRPr="00F56ADE">
        <w:rPr>
          <w:rFonts w:ascii="Arial Narrow" w:hAnsi="Arial Narrow" w:cs="Arial"/>
          <w:spacing w:val="1"/>
          <w:sz w:val="24"/>
          <w:szCs w:val="24"/>
        </w:rPr>
        <w:t xml:space="preserve"> El domicilio social se encuentra en Las Palmas de Gran Canaria (Las Palmas).</w:t>
      </w:r>
    </w:p>
    <w:p w14:paraId="3624AABF" w14:textId="77777777" w:rsidR="006E48C5" w:rsidRPr="00F56ADE" w:rsidRDefault="006E48C5" w:rsidP="00EE2AF4">
      <w:pPr>
        <w:widowControl w:val="0"/>
        <w:numPr>
          <w:ilvl w:val="0"/>
          <w:numId w:val="5"/>
        </w:numPr>
        <w:tabs>
          <w:tab w:val="clear" w:pos="720"/>
          <w:tab w:val="left" w:pos="567"/>
        </w:tabs>
        <w:autoSpaceDE w:val="0"/>
        <w:autoSpaceDN w:val="0"/>
        <w:adjustRightInd w:val="0"/>
        <w:spacing w:before="240" w:after="120" w:line="280" w:lineRule="exact"/>
        <w:ind w:left="567" w:hanging="567"/>
        <w:jc w:val="both"/>
        <w:rPr>
          <w:rFonts w:ascii="Arial Narrow" w:hAnsi="Arial Narrow"/>
          <w:b/>
          <w:bCs/>
          <w:sz w:val="24"/>
          <w:szCs w:val="24"/>
          <w:u w:val="single"/>
          <w:lang w:eastAsia="es-ES"/>
        </w:rPr>
      </w:pPr>
      <w:r w:rsidRPr="00F56ADE">
        <w:rPr>
          <w:rFonts w:ascii="Arial Narrow" w:hAnsi="Arial Narrow"/>
          <w:b/>
          <w:bCs/>
          <w:sz w:val="24"/>
          <w:szCs w:val="24"/>
          <w:u w:val="single"/>
          <w:lang w:eastAsia="es-ES"/>
        </w:rPr>
        <w:t>Actividad</w:t>
      </w:r>
    </w:p>
    <w:p w14:paraId="37B743FE" w14:textId="77777777" w:rsidR="00504DD1" w:rsidRDefault="00504DD1" w:rsidP="006E48C5">
      <w:pPr>
        <w:spacing w:before="120" w:after="120"/>
        <w:jc w:val="both"/>
        <w:rPr>
          <w:rFonts w:ascii="Arial Narrow" w:hAnsi="Arial Narrow" w:cs="Arial"/>
          <w:spacing w:val="-2"/>
          <w:sz w:val="24"/>
          <w:szCs w:val="24"/>
        </w:rPr>
      </w:pPr>
      <w:r w:rsidRPr="00CF567B">
        <w:rPr>
          <w:rFonts w:ascii="Arial Narrow" w:hAnsi="Arial Narrow" w:cs="Arial"/>
          <w:spacing w:val="-2"/>
          <w:sz w:val="24"/>
          <w:szCs w:val="24"/>
        </w:rPr>
        <w:t>La actividad de la Sociedad se enmarca, en el campo de la investigación, el desarrollo y la innovación, principalmente en el ámbito del Archipiélago Canario. Sus objetivos fundamentales son los de fomentar y apoyar la I+D+I del Archipiélago Canario, así como lograr una útil transferencia tecnológica, en el ámbito de la Comunidad Autónoma de Canarias.</w:t>
      </w:r>
    </w:p>
    <w:p w14:paraId="0CB8429D" w14:textId="77777777" w:rsidR="00B27859" w:rsidRPr="00CF567B" w:rsidRDefault="00B27859" w:rsidP="006E48C5">
      <w:pPr>
        <w:spacing w:before="120" w:after="120"/>
        <w:jc w:val="both"/>
        <w:rPr>
          <w:rFonts w:ascii="Arial Narrow" w:hAnsi="Arial Narrow" w:cs="Arial"/>
          <w:spacing w:val="-2"/>
          <w:sz w:val="24"/>
          <w:szCs w:val="24"/>
        </w:rPr>
      </w:pPr>
      <w:r w:rsidRPr="00EB55C8">
        <w:rPr>
          <w:rFonts w:ascii="Arial Narrow" w:hAnsi="Arial Narrow" w:cs="Arial"/>
          <w:spacing w:val="-2"/>
          <w:sz w:val="24"/>
          <w:szCs w:val="24"/>
        </w:rPr>
        <w:t>La actividad actual de la empresa coincide con su objeto social.</w:t>
      </w:r>
    </w:p>
    <w:p w14:paraId="13E044A0" w14:textId="77777777" w:rsidR="00DD368E" w:rsidRPr="00CF567B" w:rsidRDefault="00DD368E" w:rsidP="006E48C5">
      <w:pPr>
        <w:spacing w:before="120" w:after="120"/>
        <w:jc w:val="both"/>
        <w:rPr>
          <w:rFonts w:ascii="Arial Narrow" w:hAnsi="Arial Narrow" w:cs="Arial"/>
          <w:spacing w:val="-2"/>
          <w:sz w:val="24"/>
          <w:szCs w:val="24"/>
        </w:rPr>
      </w:pPr>
      <w:r w:rsidRPr="00CF567B">
        <w:rPr>
          <w:rFonts w:ascii="Arial Narrow" w:hAnsi="Arial Narrow" w:cs="Arial"/>
          <w:spacing w:val="2"/>
          <w:sz w:val="24"/>
          <w:szCs w:val="24"/>
        </w:rPr>
        <w:t xml:space="preserve">La </w:t>
      </w:r>
      <w:r w:rsidRPr="00CF567B">
        <w:rPr>
          <w:rFonts w:ascii="Arial Narrow" w:hAnsi="Arial Narrow" w:cs="Arial"/>
          <w:spacing w:val="3"/>
          <w:sz w:val="24"/>
          <w:szCs w:val="24"/>
        </w:rPr>
        <w:t xml:space="preserve">mayor </w:t>
      </w:r>
      <w:r w:rsidR="00F56ADE" w:rsidRPr="00CF567B">
        <w:rPr>
          <w:rFonts w:ascii="Arial Narrow" w:hAnsi="Arial Narrow" w:cs="Arial"/>
          <w:spacing w:val="3"/>
          <w:sz w:val="24"/>
          <w:szCs w:val="24"/>
        </w:rPr>
        <w:t>parte de los fondos obtenidos po</w:t>
      </w:r>
      <w:r w:rsidRPr="00CF567B">
        <w:rPr>
          <w:rFonts w:ascii="Arial Narrow" w:hAnsi="Arial Narrow" w:cs="Arial"/>
          <w:spacing w:val="3"/>
          <w:sz w:val="24"/>
          <w:szCs w:val="24"/>
        </w:rPr>
        <w:t>r la Sociedad provienen de subvenciones</w:t>
      </w:r>
      <w:r w:rsidR="001D1A7B">
        <w:rPr>
          <w:rFonts w:ascii="Arial Narrow" w:hAnsi="Arial Narrow" w:cs="Arial"/>
          <w:spacing w:val="3"/>
          <w:sz w:val="24"/>
          <w:szCs w:val="24"/>
        </w:rPr>
        <w:t>,</w:t>
      </w:r>
      <w:r w:rsidR="00C4144E">
        <w:rPr>
          <w:rFonts w:ascii="Arial Narrow" w:hAnsi="Arial Narrow" w:cs="Arial"/>
          <w:spacing w:val="3"/>
          <w:sz w:val="24"/>
          <w:szCs w:val="24"/>
        </w:rPr>
        <w:t xml:space="preserve"> </w:t>
      </w:r>
      <w:r w:rsidRPr="00CF567B">
        <w:rPr>
          <w:rFonts w:ascii="Arial Narrow" w:hAnsi="Arial Narrow" w:cs="Arial"/>
          <w:spacing w:val="3"/>
          <w:sz w:val="24"/>
          <w:szCs w:val="24"/>
        </w:rPr>
        <w:t xml:space="preserve">aportaciones </w:t>
      </w:r>
      <w:r w:rsidR="00C4144E">
        <w:rPr>
          <w:rFonts w:ascii="Arial Narrow" w:hAnsi="Arial Narrow" w:cs="Arial"/>
          <w:spacing w:val="3"/>
          <w:sz w:val="24"/>
          <w:szCs w:val="24"/>
        </w:rPr>
        <w:t xml:space="preserve">dinerarias y encargos de servicios </w:t>
      </w:r>
      <w:r w:rsidRPr="00CF567B">
        <w:rPr>
          <w:rFonts w:ascii="Arial Narrow" w:hAnsi="Arial Narrow" w:cs="Arial"/>
          <w:spacing w:val="1"/>
          <w:sz w:val="24"/>
          <w:szCs w:val="24"/>
        </w:rPr>
        <w:t>realizad</w:t>
      </w:r>
      <w:r w:rsidR="00C4144E">
        <w:rPr>
          <w:rFonts w:ascii="Arial Narrow" w:hAnsi="Arial Narrow" w:cs="Arial"/>
          <w:spacing w:val="1"/>
          <w:sz w:val="24"/>
          <w:szCs w:val="24"/>
        </w:rPr>
        <w:t>o</w:t>
      </w:r>
      <w:r w:rsidRPr="00CF567B">
        <w:rPr>
          <w:rFonts w:ascii="Arial Narrow" w:hAnsi="Arial Narrow" w:cs="Arial"/>
          <w:spacing w:val="1"/>
          <w:sz w:val="24"/>
          <w:szCs w:val="24"/>
        </w:rPr>
        <w:t>s por diferentes organismos y administraciones de carácter público</w:t>
      </w:r>
      <w:r w:rsidR="00F56ADE" w:rsidRPr="00CF567B">
        <w:rPr>
          <w:rFonts w:ascii="Arial Narrow" w:hAnsi="Arial Narrow" w:cs="Arial"/>
          <w:spacing w:val="1"/>
          <w:sz w:val="24"/>
          <w:szCs w:val="24"/>
        </w:rPr>
        <w:t>,</w:t>
      </w:r>
      <w:r w:rsidRPr="00CF567B">
        <w:rPr>
          <w:rFonts w:ascii="Arial Narrow" w:hAnsi="Arial Narrow" w:cs="Arial"/>
          <w:spacing w:val="1"/>
          <w:sz w:val="24"/>
          <w:szCs w:val="24"/>
        </w:rPr>
        <w:t xml:space="preserve"> fundamentalmente su </w:t>
      </w:r>
      <w:r w:rsidRPr="00CF567B">
        <w:rPr>
          <w:rFonts w:ascii="Arial Narrow" w:hAnsi="Arial Narrow" w:cs="Arial"/>
          <w:spacing w:val="-2"/>
          <w:sz w:val="24"/>
          <w:szCs w:val="24"/>
        </w:rPr>
        <w:t>accionista único</w:t>
      </w:r>
      <w:r w:rsidR="003B2EEB" w:rsidRPr="00CF567B">
        <w:rPr>
          <w:rFonts w:ascii="Arial Narrow" w:hAnsi="Arial Narrow" w:cs="Arial"/>
          <w:spacing w:val="-2"/>
          <w:sz w:val="24"/>
          <w:szCs w:val="24"/>
        </w:rPr>
        <w:t>,</w:t>
      </w:r>
      <w:r w:rsidRPr="00CF567B">
        <w:rPr>
          <w:rFonts w:ascii="Arial Narrow" w:hAnsi="Arial Narrow" w:cs="Arial"/>
          <w:spacing w:val="-2"/>
          <w:sz w:val="24"/>
          <w:szCs w:val="24"/>
        </w:rPr>
        <w:t xml:space="preserve"> la Comunidad Autónoma de Canarias.</w:t>
      </w:r>
    </w:p>
    <w:p w14:paraId="1DB55B76" w14:textId="77777777" w:rsidR="006E48C5" w:rsidRPr="00CF567B" w:rsidRDefault="00FC2576" w:rsidP="006E48C5">
      <w:pPr>
        <w:spacing w:before="120" w:after="120"/>
        <w:jc w:val="both"/>
        <w:rPr>
          <w:rFonts w:ascii="Arial Narrow" w:hAnsi="Arial Narrow" w:cs="Arial"/>
          <w:spacing w:val="-2"/>
          <w:sz w:val="24"/>
          <w:szCs w:val="24"/>
        </w:rPr>
      </w:pPr>
      <w:r w:rsidRPr="00CF567B">
        <w:rPr>
          <w:rFonts w:ascii="Arial Narrow" w:hAnsi="Arial Narrow" w:cs="Arial"/>
          <w:spacing w:val="-2"/>
          <w:sz w:val="24"/>
          <w:szCs w:val="24"/>
        </w:rPr>
        <w:t>En e</w:t>
      </w:r>
      <w:r w:rsidR="00DD368E" w:rsidRPr="00CF567B">
        <w:rPr>
          <w:rFonts w:ascii="Arial Narrow" w:hAnsi="Arial Narrow" w:cs="Arial"/>
          <w:spacing w:val="-2"/>
          <w:sz w:val="24"/>
          <w:szCs w:val="24"/>
        </w:rPr>
        <w:t xml:space="preserve">l ejercicio 2002 y con fecha de efectos contables de 1 de enero de 2002, la Sociedad absorbió al Instituto Canario de Investigación y Desarrollo, S.A., el cual se extinguió mediante disolución sin liquidación y transmitió en bloque todo su patrimonio, derechos y obligaciones a </w:t>
      </w:r>
      <w:r w:rsidR="000E3F85" w:rsidRPr="00CF567B">
        <w:rPr>
          <w:rFonts w:ascii="Arial Narrow" w:hAnsi="Arial Narrow" w:cs="Arial"/>
          <w:spacing w:val="-2"/>
          <w:sz w:val="24"/>
          <w:szCs w:val="24"/>
        </w:rPr>
        <w:t>l</w:t>
      </w:r>
      <w:r w:rsidR="00DD368E" w:rsidRPr="00CF567B">
        <w:rPr>
          <w:rFonts w:ascii="Arial Narrow" w:hAnsi="Arial Narrow" w:cs="Arial"/>
          <w:spacing w:val="-2"/>
          <w:sz w:val="24"/>
          <w:szCs w:val="24"/>
        </w:rPr>
        <w:t>a Sociedad. La información requerida en el artículo 93 del Texto Refundido de</w:t>
      </w:r>
      <w:r w:rsidR="000E3F85" w:rsidRPr="00CF567B">
        <w:rPr>
          <w:rFonts w:ascii="Arial Narrow" w:hAnsi="Arial Narrow" w:cs="Arial"/>
          <w:spacing w:val="-2"/>
          <w:sz w:val="24"/>
          <w:szCs w:val="24"/>
        </w:rPr>
        <w:t xml:space="preserve"> la </w:t>
      </w:r>
      <w:r w:rsidR="00DD368E" w:rsidRPr="00CF567B">
        <w:rPr>
          <w:rFonts w:ascii="Arial Narrow" w:hAnsi="Arial Narrow" w:cs="Arial"/>
          <w:spacing w:val="-2"/>
          <w:sz w:val="24"/>
          <w:szCs w:val="24"/>
        </w:rPr>
        <w:t xml:space="preserve">Ley del Impuesto sobre Sociedades se </w:t>
      </w:r>
      <w:r w:rsidR="000E3F85" w:rsidRPr="00CF567B">
        <w:rPr>
          <w:rFonts w:ascii="Arial Narrow" w:hAnsi="Arial Narrow" w:cs="Arial"/>
          <w:spacing w:val="-2"/>
          <w:sz w:val="24"/>
          <w:szCs w:val="24"/>
        </w:rPr>
        <w:t xml:space="preserve">incluyó </w:t>
      </w:r>
      <w:r w:rsidR="00DD368E" w:rsidRPr="00CF567B">
        <w:rPr>
          <w:rFonts w:ascii="Arial Narrow" w:hAnsi="Arial Narrow" w:cs="Arial"/>
          <w:spacing w:val="-2"/>
          <w:sz w:val="24"/>
          <w:szCs w:val="24"/>
        </w:rPr>
        <w:t>en la memoria del ejercicio 2002.</w:t>
      </w:r>
    </w:p>
    <w:p w14:paraId="51826D39" w14:textId="77777777" w:rsidR="006E48C5" w:rsidRPr="00CF567B" w:rsidRDefault="006E48C5" w:rsidP="00EE2AF4">
      <w:pPr>
        <w:widowControl w:val="0"/>
        <w:numPr>
          <w:ilvl w:val="0"/>
          <w:numId w:val="5"/>
        </w:numPr>
        <w:tabs>
          <w:tab w:val="clear" w:pos="720"/>
          <w:tab w:val="left" w:pos="567"/>
        </w:tabs>
        <w:autoSpaceDE w:val="0"/>
        <w:autoSpaceDN w:val="0"/>
        <w:adjustRightInd w:val="0"/>
        <w:spacing w:before="240" w:after="120" w:line="280" w:lineRule="exact"/>
        <w:ind w:left="567" w:hanging="567"/>
        <w:jc w:val="both"/>
        <w:rPr>
          <w:rFonts w:ascii="Arial Narrow" w:hAnsi="Arial Narrow"/>
          <w:b/>
          <w:bCs/>
          <w:sz w:val="24"/>
          <w:szCs w:val="24"/>
          <w:u w:val="single"/>
          <w:lang w:eastAsia="es-ES"/>
        </w:rPr>
      </w:pPr>
      <w:r w:rsidRPr="00CF567B">
        <w:rPr>
          <w:rFonts w:ascii="Arial Narrow" w:hAnsi="Arial Narrow"/>
          <w:b/>
          <w:bCs/>
          <w:sz w:val="24"/>
          <w:szCs w:val="24"/>
          <w:u w:val="single"/>
          <w:lang w:eastAsia="es-ES"/>
        </w:rPr>
        <w:t>Régimen Legal</w:t>
      </w:r>
    </w:p>
    <w:p w14:paraId="13A4F5C2" w14:textId="77777777" w:rsidR="00504DD1" w:rsidRPr="00CF567B" w:rsidRDefault="00504DD1" w:rsidP="006E48C5">
      <w:pPr>
        <w:spacing w:before="120" w:after="120" w:line="280" w:lineRule="exact"/>
        <w:jc w:val="both"/>
        <w:rPr>
          <w:rFonts w:ascii="Arial Narrow" w:hAnsi="Arial Narrow"/>
          <w:sz w:val="24"/>
          <w:szCs w:val="24"/>
        </w:rPr>
      </w:pPr>
      <w:r w:rsidRPr="00CF567B">
        <w:rPr>
          <w:rFonts w:ascii="Arial Narrow" w:hAnsi="Arial Narrow"/>
          <w:sz w:val="24"/>
          <w:szCs w:val="24"/>
        </w:rPr>
        <w:t>El ITC es una Sociedad Mercantil (Sociedad Anónima) cuyo único accionista es el Gobierno de Canarias, por lo que el 100% de su capital es público. Ello supone el uso instrumental de una forma jurídica-privada por parte de una Administración Pública en la que aquélla se integra; hecho, que implica un doble sometimiento del ITC al derecho privado y a la normativa pública en función de los aspectos y materias que concurran en un momento determinado.</w:t>
      </w:r>
    </w:p>
    <w:p w14:paraId="3A74C2FB" w14:textId="77777777" w:rsidR="00B85B79" w:rsidRDefault="006E48C5" w:rsidP="006E48C5">
      <w:pPr>
        <w:spacing w:before="120" w:after="120" w:line="280" w:lineRule="exact"/>
        <w:jc w:val="both"/>
        <w:rPr>
          <w:rFonts w:ascii="Arial Narrow" w:hAnsi="Arial Narrow"/>
          <w:sz w:val="24"/>
          <w:szCs w:val="24"/>
        </w:rPr>
      </w:pPr>
      <w:r w:rsidRPr="00CF567B">
        <w:rPr>
          <w:rFonts w:ascii="Arial Narrow" w:hAnsi="Arial Narrow"/>
          <w:sz w:val="24"/>
          <w:szCs w:val="24"/>
        </w:rPr>
        <w:t>La Sociedad se rige por sus estatutos sociales y por la vigente Ley de Sociedades d</w:t>
      </w:r>
      <w:r w:rsidR="007B107B" w:rsidRPr="00CF567B">
        <w:rPr>
          <w:rFonts w:ascii="Arial Narrow" w:hAnsi="Arial Narrow"/>
          <w:sz w:val="24"/>
          <w:szCs w:val="24"/>
        </w:rPr>
        <w:t xml:space="preserve">e Capital, cuyo texto refundido se aprobó por Real Decreto Legislativo 1/2010, de 2 de julio, Código de Comercio y disposiciones complementarias. </w:t>
      </w:r>
      <w:r w:rsidR="00504DD1" w:rsidRPr="00CF567B">
        <w:rPr>
          <w:rFonts w:ascii="Arial Narrow" w:hAnsi="Arial Narrow"/>
          <w:sz w:val="24"/>
          <w:szCs w:val="24"/>
        </w:rPr>
        <w:t xml:space="preserve">A su vez, en materia de contratación, el ITC está sometido </w:t>
      </w:r>
      <w:r w:rsidR="00164F2D">
        <w:rPr>
          <w:rFonts w:ascii="Arial Narrow" w:hAnsi="Arial Narrow"/>
          <w:sz w:val="24"/>
          <w:szCs w:val="24"/>
        </w:rPr>
        <w:t>a la Ley 9/2017, de 8 de noviembre, de Contratos del Sector Público, por la que se transponen al ordenamiento jurídico español las Directivas del Parlamento Europeo y del Consejo 2014/23/EU y 2014/24/UE, de 26 de febrero de 2014</w:t>
      </w:r>
      <w:r w:rsidR="00504DD1" w:rsidRPr="00CF567B">
        <w:rPr>
          <w:rFonts w:ascii="Arial Narrow" w:hAnsi="Arial Narrow"/>
          <w:sz w:val="24"/>
          <w:szCs w:val="24"/>
        </w:rPr>
        <w:t>.</w:t>
      </w:r>
    </w:p>
    <w:p w14:paraId="2C68F72B" w14:textId="77777777" w:rsidR="00430AE3" w:rsidRDefault="00430AE3" w:rsidP="006E48C5">
      <w:pPr>
        <w:spacing w:before="120" w:after="120" w:line="280" w:lineRule="exact"/>
        <w:jc w:val="both"/>
        <w:rPr>
          <w:rFonts w:ascii="Arial Narrow" w:hAnsi="Arial Narrow"/>
          <w:sz w:val="24"/>
          <w:szCs w:val="24"/>
        </w:rPr>
      </w:pPr>
    </w:p>
    <w:p w14:paraId="51DEFA3F" w14:textId="77777777" w:rsidR="00430AE3" w:rsidRDefault="00430AE3" w:rsidP="006E48C5">
      <w:pPr>
        <w:spacing w:before="120" w:after="120" w:line="280" w:lineRule="exact"/>
        <w:jc w:val="both"/>
        <w:rPr>
          <w:rFonts w:ascii="Arial Narrow" w:hAnsi="Arial Narrow"/>
          <w:sz w:val="24"/>
          <w:szCs w:val="24"/>
        </w:rPr>
      </w:pPr>
    </w:p>
    <w:p w14:paraId="7233239E" w14:textId="77777777" w:rsidR="00B37A7B" w:rsidRPr="00227B5D" w:rsidRDefault="00B37A7B" w:rsidP="00B37A7B">
      <w:pPr>
        <w:widowControl w:val="0"/>
        <w:numPr>
          <w:ilvl w:val="0"/>
          <w:numId w:val="5"/>
        </w:numPr>
        <w:tabs>
          <w:tab w:val="clear" w:pos="720"/>
          <w:tab w:val="left" w:pos="567"/>
        </w:tabs>
        <w:autoSpaceDE w:val="0"/>
        <w:autoSpaceDN w:val="0"/>
        <w:adjustRightInd w:val="0"/>
        <w:spacing w:before="240" w:after="120" w:line="280" w:lineRule="exact"/>
        <w:ind w:left="567" w:hanging="567"/>
        <w:jc w:val="both"/>
        <w:rPr>
          <w:rFonts w:ascii="Arial Narrow" w:hAnsi="Arial Narrow"/>
          <w:b/>
          <w:bCs/>
          <w:sz w:val="24"/>
          <w:szCs w:val="24"/>
          <w:u w:val="single"/>
          <w:lang w:eastAsia="es-ES"/>
        </w:rPr>
      </w:pPr>
      <w:r w:rsidRPr="00227B5D">
        <w:rPr>
          <w:rFonts w:ascii="Arial Narrow" w:hAnsi="Arial Narrow"/>
          <w:b/>
          <w:bCs/>
          <w:sz w:val="24"/>
          <w:szCs w:val="24"/>
          <w:u w:val="single"/>
          <w:lang w:eastAsia="es-ES"/>
        </w:rPr>
        <w:t>Moneda funcional</w:t>
      </w:r>
    </w:p>
    <w:p w14:paraId="2EEA5158" w14:textId="77777777" w:rsidR="00430AE3" w:rsidRDefault="00E0717B" w:rsidP="006E48C5">
      <w:pPr>
        <w:spacing w:before="120" w:after="120" w:line="280" w:lineRule="exact"/>
        <w:jc w:val="both"/>
        <w:rPr>
          <w:rFonts w:ascii="Arial Narrow" w:hAnsi="Arial Narrow"/>
          <w:sz w:val="24"/>
          <w:szCs w:val="24"/>
        </w:rPr>
      </w:pPr>
      <w:r w:rsidRPr="00227B5D">
        <w:rPr>
          <w:rFonts w:ascii="Arial Narrow" w:hAnsi="Arial Narrow"/>
          <w:sz w:val="24"/>
          <w:szCs w:val="24"/>
        </w:rPr>
        <w:t>La moneda funcional con la que opera la empresa es el euro. Para la formulación de los estados financieros en euros se han seguido los criterios establecidos en el Plan General Contable tal y como figura en el apartado 4. Normas de registro y valoración.</w:t>
      </w:r>
    </w:p>
    <w:p w14:paraId="6E3F7B00" w14:textId="77777777" w:rsidR="00090843" w:rsidRPr="00CF567B" w:rsidRDefault="00090843" w:rsidP="006E48C5">
      <w:pPr>
        <w:spacing w:before="120" w:after="120" w:line="280" w:lineRule="exact"/>
        <w:jc w:val="both"/>
        <w:rPr>
          <w:rFonts w:ascii="Arial Narrow" w:hAnsi="Arial Narrow"/>
          <w:sz w:val="24"/>
          <w:szCs w:val="24"/>
        </w:rPr>
      </w:pPr>
    </w:p>
    <w:p w14:paraId="145EADA2" w14:textId="77777777" w:rsidR="00090843" w:rsidRPr="00090843" w:rsidRDefault="00DD368E" w:rsidP="00090843">
      <w:pPr>
        <w:widowControl w:val="0"/>
        <w:numPr>
          <w:ilvl w:val="0"/>
          <w:numId w:val="4"/>
        </w:numPr>
        <w:tabs>
          <w:tab w:val="num" w:pos="426"/>
        </w:tabs>
        <w:spacing w:before="120" w:after="120"/>
        <w:ind w:left="425" w:hanging="425"/>
        <w:rPr>
          <w:rFonts w:ascii="Arial Narrow" w:hAnsi="Arial Narrow" w:cs="Arial"/>
          <w:b/>
          <w:caps/>
          <w:snapToGrid w:val="0"/>
          <w:sz w:val="24"/>
          <w:szCs w:val="24"/>
          <w:u w:val="single"/>
          <w:lang w:eastAsia="es-ES"/>
        </w:rPr>
      </w:pPr>
      <w:r w:rsidRPr="00090843">
        <w:rPr>
          <w:rFonts w:ascii="Arial Narrow" w:hAnsi="Arial Narrow" w:cs="Arial"/>
          <w:b/>
          <w:caps/>
          <w:snapToGrid w:val="0"/>
          <w:sz w:val="24"/>
          <w:szCs w:val="24"/>
          <w:u w:val="single"/>
          <w:lang w:eastAsia="es-ES"/>
        </w:rPr>
        <w:t>Bases de presentación</w:t>
      </w:r>
      <w:r w:rsidR="007B107B" w:rsidRPr="00090843">
        <w:rPr>
          <w:rFonts w:ascii="Arial Narrow" w:hAnsi="Arial Narrow" w:cs="Arial"/>
          <w:b/>
          <w:caps/>
          <w:snapToGrid w:val="0"/>
          <w:sz w:val="24"/>
          <w:szCs w:val="24"/>
          <w:u w:val="single"/>
          <w:lang w:eastAsia="es-ES"/>
        </w:rPr>
        <w:t xml:space="preserve"> de las cuentas anuales</w:t>
      </w:r>
    </w:p>
    <w:p w14:paraId="0F37D26E" w14:textId="77777777" w:rsidR="00DD368E" w:rsidRPr="00090843" w:rsidRDefault="00DD368E" w:rsidP="009C5E01">
      <w:pPr>
        <w:widowControl w:val="0"/>
        <w:numPr>
          <w:ilvl w:val="1"/>
          <w:numId w:val="15"/>
        </w:numPr>
        <w:tabs>
          <w:tab w:val="num" w:pos="426"/>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u w:val="single"/>
          <w:lang w:eastAsia="es-ES"/>
        </w:rPr>
      </w:pPr>
      <w:r w:rsidRPr="00090843">
        <w:rPr>
          <w:rFonts w:ascii="Arial Narrow" w:hAnsi="Arial Narrow" w:cs="Arial"/>
          <w:b/>
          <w:snapToGrid w:val="0"/>
          <w:sz w:val="24"/>
          <w:szCs w:val="24"/>
          <w:u w:val="single"/>
          <w:lang w:eastAsia="es-ES"/>
        </w:rPr>
        <w:t>Imagen fiel</w:t>
      </w:r>
    </w:p>
    <w:p w14:paraId="6B9090BD" w14:textId="77777777" w:rsidR="00DD368E" w:rsidRPr="00CF567B" w:rsidRDefault="00F94DDA" w:rsidP="00090843">
      <w:pPr>
        <w:spacing w:before="120" w:after="120"/>
        <w:jc w:val="both"/>
        <w:rPr>
          <w:rFonts w:ascii="Arial Narrow" w:hAnsi="Arial Narrow" w:cs="Arial"/>
          <w:spacing w:val="-2"/>
          <w:sz w:val="24"/>
          <w:szCs w:val="24"/>
        </w:rPr>
      </w:pPr>
      <w:r w:rsidRPr="00CF567B">
        <w:rPr>
          <w:rFonts w:ascii="Arial Narrow" w:hAnsi="Arial Narrow" w:cs="Arial"/>
          <w:spacing w:val="-2"/>
          <w:sz w:val="24"/>
          <w:szCs w:val="24"/>
        </w:rPr>
        <w:t>L</w:t>
      </w:r>
      <w:r w:rsidR="007B107B" w:rsidRPr="00CF567B">
        <w:rPr>
          <w:rFonts w:ascii="Arial Narrow" w:hAnsi="Arial Narrow" w:cs="Arial"/>
          <w:spacing w:val="-2"/>
          <w:sz w:val="24"/>
          <w:szCs w:val="24"/>
        </w:rPr>
        <w:t>as Cuentas A</w:t>
      </w:r>
      <w:r w:rsidRPr="00CF567B">
        <w:rPr>
          <w:rFonts w:ascii="Arial Narrow" w:hAnsi="Arial Narrow" w:cs="Arial"/>
          <w:spacing w:val="-2"/>
          <w:sz w:val="24"/>
          <w:szCs w:val="24"/>
        </w:rPr>
        <w:t>nuales se han preparado a partir de los registros contables de la Sociedad y se presentan de acuerdo con la legislación mercantil vigente y con las normas establecidas en el Plan General de Contabilidad aprobado mediante Real Decreto 1514/2007 y l</w:t>
      </w:r>
      <w:r w:rsidR="00B14F1D" w:rsidRPr="00CF567B">
        <w:rPr>
          <w:rFonts w:ascii="Arial Narrow" w:hAnsi="Arial Narrow" w:cs="Arial"/>
          <w:spacing w:val="-2"/>
          <w:sz w:val="24"/>
          <w:szCs w:val="24"/>
        </w:rPr>
        <w:t xml:space="preserve">as modificaciones incorporadas </w:t>
      </w:r>
      <w:r w:rsidRPr="00CF567B">
        <w:rPr>
          <w:rFonts w:ascii="Arial Narrow" w:hAnsi="Arial Narrow" w:cs="Arial"/>
          <w:spacing w:val="-2"/>
          <w:sz w:val="24"/>
          <w:szCs w:val="24"/>
        </w:rPr>
        <w:t>a éste mediante R</w:t>
      </w:r>
      <w:r w:rsidR="00B05520" w:rsidRPr="00CF567B">
        <w:rPr>
          <w:rFonts w:ascii="Arial Narrow" w:hAnsi="Arial Narrow" w:cs="Arial"/>
          <w:spacing w:val="-2"/>
          <w:sz w:val="24"/>
          <w:szCs w:val="24"/>
        </w:rPr>
        <w:t xml:space="preserve">eal </w:t>
      </w:r>
      <w:r w:rsidRPr="00CF567B">
        <w:rPr>
          <w:rFonts w:ascii="Arial Narrow" w:hAnsi="Arial Narrow" w:cs="Arial"/>
          <w:spacing w:val="-2"/>
          <w:sz w:val="24"/>
          <w:szCs w:val="24"/>
        </w:rPr>
        <w:t>D</w:t>
      </w:r>
      <w:r w:rsidR="00B05520" w:rsidRPr="00CF567B">
        <w:rPr>
          <w:rFonts w:ascii="Arial Narrow" w:hAnsi="Arial Narrow" w:cs="Arial"/>
          <w:spacing w:val="-2"/>
          <w:sz w:val="24"/>
          <w:szCs w:val="24"/>
        </w:rPr>
        <w:t>ecreto</w:t>
      </w:r>
      <w:r w:rsidRPr="00CF567B">
        <w:rPr>
          <w:rFonts w:ascii="Arial Narrow" w:hAnsi="Arial Narrow" w:cs="Arial"/>
          <w:spacing w:val="-2"/>
          <w:sz w:val="24"/>
          <w:szCs w:val="24"/>
        </w:rPr>
        <w:t xml:space="preserve"> 1159/2010, con objeto de mostrar la imagen fiel del patrimonio, de la situación financiera y de los resultados de la Sociedad, así como la veracidad de los flujos de efectivo incorporados en el estado de flujos de efectivo.</w:t>
      </w:r>
    </w:p>
    <w:p w14:paraId="240D8724" w14:textId="77777777" w:rsidR="007B107B" w:rsidRPr="00CF567B" w:rsidRDefault="007B107B" w:rsidP="007B107B">
      <w:pPr>
        <w:spacing w:before="120" w:after="120"/>
        <w:jc w:val="both"/>
        <w:rPr>
          <w:rFonts w:ascii="Arial Narrow" w:hAnsi="Arial Narrow" w:cs="Arial"/>
          <w:spacing w:val="-2"/>
          <w:sz w:val="24"/>
          <w:szCs w:val="24"/>
        </w:rPr>
      </w:pPr>
      <w:r w:rsidRPr="003E0972">
        <w:rPr>
          <w:rFonts w:ascii="Arial Narrow" w:hAnsi="Arial Narrow" w:cs="Arial"/>
          <w:spacing w:val="-2"/>
          <w:sz w:val="24"/>
          <w:szCs w:val="24"/>
        </w:rPr>
        <w:t>Las Cu</w:t>
      </w:r>
      <w:r w:rsidR="00CF567B" w:rsidRPr="003E0972">
        <w:rPr>
          <w:rFonts w:ascii="Arial Narrow" w:hAnsi="Arial Narrow" w:cs="Arial"/>
          <w:spacing w:val="-2"/>
          <w:sz w:val="24"/>
          <w:szCs w:val="24"/>
        </w:rPr>
        <w:t>entas Anuales del ejercicio 20</w:t>
      </w:r>
      <w:r w:rsidR="00C4144E">
        <w:rPr>
          <w:rFonts w:ascii="Arial Narrow" w:hAnsi="Arial Narrow" w:cs="Arial"/>
          <w:spacing w:val="-2"/>
          <w:sz w:val="24"/>
          <w:szCs w:val="24"/>
        </w:rPr>
        <w:t>19</w:t>
      </w:r>
      <w:r w:rsidRPr="003E0972">
        <w:rPr>
          <w:rFonts w:ascii="Arial Narrow" w:hAnsi="Arial Narrow" w:cs="Arial"/>
          <w:spacing w:val="-2"/>
          <w:sz w:val="24"/>
          <w:szCs w:val="24"/>
        </w:rPr>
        <w:t xml:space="preserve"> adjuntas han sido formuladas por el Consejo de Administración a partir de los registros contables de la Sociedad a 31 de diciembre de 20</w:t>
      </w:r>
      <w:r w:rsidR="00C4144E">
        <w:rPr>
          <w:rFonts w:ascii="Arial Narrow" w:hAnsi="Arial Narrow" w:cs="Arial"/>
          <w:spacing w:val="-2"/>
          <w:sz w:val="24"/>
          <w:szCs w:val="24"/>
        </w:rPr>
        <w:t>19</w:t>
      </w:r>
      <w:r w:rsidRPr="003E0972">
        <w:rPr>
          <w:rFonts w:ascii="Arial Narrow" w:hAnsi="Arial Narrow" w:cs="Arial"/>
          <w:spacing w:val="-2"/>
          <w:sz w:val="24"/>
          <w:szCs w:val="24"/>
        </w:rPr>
        <w:t xml:space="preserve"> y en ellas se han aplicado los principios contables y criterios de valoración recogidos en el Real Decreto 1514</w:t>
      </w:r>
      <w:r w:rsidRPr="00CF567B">
        <w:rPr>
          <w:rFonts w:ascii="Arial Narrow" w:hAnsi="Arial Narrow" w:cs="Arial"/>
          <w:spacing w:val="-2"/>
          <w:sz w:val="24"/>
          <w:szCs w:val="24"/>
        </w:rPr>
        <w:t>/2007, por el que se aprueba el Plan General de Contabilidad, y las modificaciones aplicadas a éste mediante Real Decreto 1159/2010, y el resto de disposiciones legales vigentes en materia contable, y muestran la imagen fiel del patrimonio, de la situación financiera y de los resultados de la Sociedad, así como la veracidad de los flujos incorporados en el estado de flujos de efectivo.</w:t>
      </w:r>
    </w:p>
    <w:p w14:paraId="360639E2" w14:textId="77777777" w:rsidR="007B107B" w:rsidRPr="00CF567B" w:rsidRDefault="007B107B" w:rsidP="007B107B">
      <w:pPr>
        <w:spacing w:before="120" w:after="120"/>
        <w:jc w:val="both"/>
        <w:rPr>
          <w:rFonts w:ascii="Arial Narrow" w:hAnsi="Arial Narrow" w:cs="Arial"/>
          <w:spacing w:val="-2"/>
          <w:sz w:val="24"/>
          <w:szCs w:val="24"/>
        </w:rPr>
      </w:pPr>
      <w:r w:rsidRPr="00CF567B">
        <w:rPr>
          <w:rFonts w:ascii="Arial Narrow" w:hAnsi="Arial Narrow" w:cs="Arial"/>
          <w:spacing w:val="-2"/>
          <w:sz w:val="24"/>
          <w:szCs w:val="24"/>
        </w:rPr>
        <w:t>No existen razones excepcionales por las que, para mostrar la imagen fiel, no se hayan aplicado disposiciones legales en materia contable.</w:t>
      </w:r>
    </w:p>
    <w:p w14:paraId="27E769B8" w14:textId="77777777" w:rsidR="007B107B" w:rsidRPr="00CF567B" w:rsidRDefault="007B107B" w:rsidP="007B107B">
      <w:pPr>
        <w:spacing w:before="120" w:after="120"/>
        <w:jc w:val="both"/>
        <w:rPr>
          <w:rFonts w:ascii="Arial Narrow" w:hAnsi="Arial Narrow" w:cs="Arial"/>
          <w:spacing w:val="-2"/>
          <w:sz w:val="24"/>
          <w:szCs w:val="24"/>
        </w:rPr>
      </w:pPr>
      <w:r w:rsidRPr="00CF567B">
        <w:rPr>
          <w:rFonts w:ascii="Arial Narrow" w:hAnsi="Arial Narrow" w:cs="Arial"/>
          <w:spacing w:val="-2"/>
          <w:sz w:val="24"/>
          <w:szCs w:val="24"/>
        </w:rPr>
        <w:t>Las Cuentas Anuales adjuntas se someterán a la aprobación por la Junta General Ordinaria de Accionistas, estimándose que serán aprobadas sin modificación alguna.</w:t>
      </w:r>
    </w:p>
    <w:p w14:paraId="73CF90C8" w14:textId="77777777" w:rsidR="007B107B" w:rsidRDefault="007B107B" w:rsidP="007B107B">
      <w:pPr>
        <w:spacing w:before="120" w:after="120"/>
        <w:jc w:val="both"/>
        <w:rPr>
          <w:rFonts w:ascii="Arial Narrow" w:hAnsi="Arial Narrow" w:cs="Arial"/>
          <w:spacing w:val="-2"/>
          <w:sz w:val="24"/>
          <w:szCs w:val="24"/>
        </w:rPr>
      </w:pPr>
      <w:r w:rsidRPr="00227B5D">
        <w:rPr>
          <w:rFonts w:ascii="Arial Narrow" w:hAnsi="Arial Narrow" w:cs="Arial"/>
          <w:spacing w:val="-2"/>
          <w:sz w:val="24"/>
          <w:szCs w:val="24"/>
        </w:rPr>
        <w:t xml:space="preserve">Las Cuentas Anuales del ejercicio anterior, fueron aprobadas por la Junta General Ordinaria, el </w:t>
      </w:r>
      <w:r w:rsidR="00B37A7B" w:rsidRPr="00227B5D">
        <w:rPr>
          <w:rFonts w:ascii="Arial Narrow" w:hAnsi="Arial Narrow" w:cs="Arial"/>
          <w:spacing w:val="-2"/>
          <w:sz w:val="24"/>
          <w:szCs w:val="24"/>
        </w:rPr>
        <w:t>14</w:t>
      </w:r>
      <w:r w:rsidR="00156194" w:rsidRPr="00227B5D">
        <w:rPr>
          <w:rFonts w:ascii="Arial Narrow" w:hAnsi="Arial Narrow" w:cs="Arial"/>
          <w:spacing w:val="-2"/>
          <w:sz w:val="24"/>
          <w:szCs w:val="24"/>
        </w:rPr>
        <w:t xml:space="preserve"> de mayo de 201</w:t>
      </w:r>
      <w:r w:rsidR="00B37A7B" w:rsidRPr="00227B5D">
        <w:rPr>
          <w:rFonts w:ascii="Arial Narrow" w:hAnsi="Arial Narrow" w:cs="Arial"/>
          <w:spacing w:val="-2"/>
          <w:sz w:val="24"/>
          <w:szCs w:val="24"/>
        </w:rPr>
        <w:t>9</w:t>
      </w:r>
      <w:r w:rsidRPr="00227B5D">
        <w:rPr>
          <w:rFonts w:ascii="Arial Narrow" w:hAnsi="Arial Narrow" w:cs="Arial"/>
          <w:spacing w:val="-2"/>
          <w:sz w:val="24"/>
          <w:szCs w:val="24"/>
        </w:rPr>
        <w:t>.</w:t>
      </w:r>
    </w:p>
    <w:p w14:paraId="7CF239CB" w14:textId="77777777" w:rsidR="00F61892" w:rsidRPr="005C2108" w:rsidRDefault="00F61892" w:rsidP="009C5E01">
      <w:pPr>
        <w:pStyle w:val="Prrafodelista"/>
        <w:widowControl w:val="0"/>
        <w:numPr>
          <w:ilvl w:val="1"/>
          <w:numId w:val="15"/>
        </w:numPr>
        <w:tabs>
          <w:tab w:val="left" w:pos="426"/>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u w:val="single"/>
          <w:lang w:eastAsia="es-ES"/>
        </w:rPr>
      </w:pPr>
      <w:r w:rsidRPr="005C2108">
        <w:rPr>
          <w:rFonts w:ascii="Arial Narrow" w:hAnsi="Arial Narrow" w:cs="Arial"/>
          <w:b/>
          <w:snapToGrid w:val="0"/>
          <w:sz w:val="24"/>
          <w:szCs w:val="24"/>
          <w:u w:val="single"/>
          <w:lang w:eastAsia="es-ES"/>
        </w:rPr>
        <w:t xml:space="preserve">Principios contables aplicados </w:t>
      </w:r>
    </w:p>
    <w:p w14:paraId="73A02BBC" w14:textId="77777777" w:rsidR="00F61892" w:rsidRDefault="00F61892" w:rsidP="00F61892">
      <w:pPr>
        <w:spacing w:before="120" w:after="120"/>
        <w:jc w:val="both"/>
        <w:rPr>
          <w:rFonts w:ascii="Arial Narrow" w:hAnsi="Arial Narrow" w:cs="Arial"/>
          <w:spacing w:val="-2"/>
          <w:sz w:val="24"/>
          <w:szCs w:val="24"/>
        </w:rPr>
      </w:pPr>
      <w:r w:rsidRPr="005C2108">
        <w:rPr>
          <w:rFonts w:ascii="Arial Narrow" w:hAnsi="Arial Narrow" w:cs="Arial"/>
          <w:spacing w:val="-2"/>
          <w:sz w:val="24"/>
          <w:szCs w:val="24"/>
        </w:rPr>
        <w:t>Las cuentas anuales adjuntas se han formulado aplicando los principios contables establecidos en el Código de Comercio y en el Plan General de Contabilidad.</w:t>
      </w:r>
    </w:p>
    <w:p w14:paraId="62BAC966" w14:textId="77777777" w:rsidR="00DD368E" w:rsidRPr="005C2108" w:rsidRDefault="00934EC5" w:rsidP="00934EC5">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u w:val="single"/>
          <w:lang w:eastAsia="es-ES"/>
        </w:rPr>
      </w:pPr>
      <w:r w:rsidRPr="005C2108">
        <w:rPr>
          <w:rFonts w:ascii="Arial Narrow" w:hAnsi="Arial Narrow" w:cs="Arial"/>
          <w:b/>
          <w:snapToGrid w:val="0"/>
          <w:sz w:val="24"/>
          <w:szCs w:val="24"/>
          <w:lang w:eastAsia="es-ES"/>
        </w:rPr>
        <w:t xml:space="preserve">2.3 </w:t>
      </w:r>
      <w:r w:rsidR="00DD368E" w:rsidRPr="005C2108">
        <w:rPr>
          <w:rFonts w:ascii="Arial Narrow" w:hAnsi="Arial Narrow" w:cs="Arial"/>
          <w:b/>
          <w:snapToGrid w:val="0"/>
          <w:sz w:val="24"/>
          <w:szCs w:val="24"/>
          <w:u w:val="single"/>
          <w:lang w:eastAsia="es-ES"/>
        </w:rPr>
        <w:t xml:space="preserve">Aspectos críticos de la valoración y estimación de la incertidumbre </w:t>
      </w:r>
      <w:r w:rsidRPr="005C2108">
        <w:rPr>
          <w:rFonts w:ascii="Arial Narrow" w:hAnsi="Arial Narrow" w:cs="Arial"/>
          <w:b/>
          <w:snapToGrid w:val="0"/>
          <w:sz w:val="24"/>
          <w:szCs w:val="24"/>
          <w:u w:val="single"/>
          <w:lang w:eastAsia="es-ES"/>
        </w:rPr>
        <w:t>y juicios relevantes en la aplicación de políticas contables</w:t>
      </w:r>
    </w:p>
    <w:p w14:paraId="32CD42DE" w14:textId="77777777" w:rsidR="00E233CA" w:rsidRPr="004834CB" w:rsidRDefault="00E233CA" w:rsidP="00F6189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 Sociedad ha elaborado sus estados financieros bajo el principio de empresa en funcionamiento, sin que exista ningún tipo de riesgo importante que pueda suponer cambios significativos en el valor de los activos o pasivos en el ejercicio siguiente.</w:t>
      </w:r>
    </w:p>
    <w:p w14:paraId="078B1F4F" w14:textId="77777777" w:rsidR="00E233CA" w:rsidRPr="004834CB" w:rsidRDefault="00DD368E" w:rsidP="00E233CA">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 xml:space="preserve">La preparación de las cuentas anuales exige </w:t>
      </w:r>
      <w:r w:rsidR="00E233CA" w:rsidRPr="004834CB">
        <w:rPr>
          <w:rFonts w:ascii="Arial Narrow" w:hAnsi="Arial Narrow" w:cs="Arial"/>
          <w:spacing w:val="-2"/>
          <w:sz w:val="24"/>
          <w:szCs w:val="24"/>
        </w:rPr>
        <w:t>la realización</w:t>
      </w:r>
      <w:r w:rsidRPr="004834CB">
        <w:rPr>
          <w:rFonts w:ascii="Arial Narrow" w:hAnsi="Arial Narrow" w:cs="Arial"/>
          <w:spacing w:val="-2"/>
          <w:sz w:val="24"/>
          <w:szCs w:val="24"/>
        </w:rPr>
        <w:t xml:space="preserve"> por parte de la Sociedad de ciertas estimaciones</w:t>
      </w:r>
      <w:r w:rsidR="00E233CA" w:rsidRPr="004834CB">
        <w:rPr>
          <w:rFonts w:ascii="Arial Narrow" w:hAnsi="Arial Narrow" w:cs="Arial"/>
          <w:spacing w:val="-2"/>
          <w:sz w:val="24"/>
          <w:szCs w:val="24"/>
        </w:rPr>
        <w:t xml:space="preserve"> contables relevantes, juicios, estimaciones e hipótesis, que pudieran afectar a las políticas contables adoptadas y al importe de los activos, pasivos, ingresos, gastos y desgloses con ellos relacionados.</w:t>
      </w:r>
    </w:p>
    <w:p w14:paraId="7F3CD94F" w14:textId="77777777" w:rsidR="00E233CA" w:rsidRPr="004834CB" w:rsidRDefault="00E233CA" w:rsidP="00E233CA">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estimaciones y las hipótesis realizadas se basan, entre otros, en la experiencia histórica u otros hechos considerados razonables teniendo en cuenta las circunstancias a la fecha de cierre, el resultado de las cuales representa la base de juicio sobre el valor contable de los activos y pasivos no determinables de una cuantía de forma inmediata.</w:t>
      </w:r>
    </w:p>
    <w:p w14:paraId="5C69B411" w14:textId="77777777" w:rsidR="00DD368E" w:rsidRPr="004834CB" w:rsidRDefault="00E233CA" w:rsidP="00E233CA">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resultados reales podrían manifestarse de forma diferente a la estimada. Estas estimaciones y juicios se evalúan continuamente.</w:t>
      </w:r>
    </w:p>
    <w:p w14:paraId="5E2DE07E" w14:textId="77777777" w:rsidR="00DD368E" w:rsidRPr="004834CB" w:rsidRDefault="00DD368E" w:rsidP="00B85B79">
      <w:pPr>
        <w:spacing w:before="240"/>
        <w:jc w:val="both"/>
        <w:rPr>
          <w:rFonts w:ascii="Arial Narrow" w:hAnsi="Arial Narrow" w:cs="Arial"/>
          <w:spacing w:val="-2"/>
          <w:sz w:val="24"/>
          <w:szCs w:val="24"/>
        </w:rPr>
      </w:pPr>
      <w:r w:rsidRPr="004834CB">
        <w:rPr>
          <w:rFonts w:ascii="Arial Narrow" w:hAnsi="Arial Narrow" w:cs="Arial"/>
          <w:spacing w:val="-2"/>
          <w:sz w:val="24"/>
          <w:szCs w:val="24"/>
        </w:rPr>
        <w:t xml:space="preserve">Las estimaciones contables resultantes, por definición, raramente igualarán a los correspondientes resultados reales. </w:t>
      </w:r>
      <w:r w:rsidR="008F1BEF" w:rsidRPr="004834CB">
        <w:rPr>
          <w:rFonts w:ascii="Arial Narrow" w:hAnsi="Arial Narrow" w:cs="Arial"/>
          <w:spacing w:val="-2"/>
          <w:sz w:val="24"/>
          <w:szCs w:val="24"/>
        </w:rPr>
        <w:t>Sin embargo, los Administradores de la Sociedad consideran que no existen situaciones o riesgos que estén fuertemente a</w:t>
      </w:r>
      <w:r w:rsidR="00FB6797" w:rsidRPr="004834CB">
        <w:rPr>
          <w:rFonts w:ascii="Arial Narrow" w:hAnsi="Arial Narrow" w:cs="Arial"/>
          <w:spacing w:val="-2"/>
          <w:sz w:val="24"/>
          <w:szCs w:val="24"/>
        </w:rPr>
        <w:t>fectados en cuanto a estimaciones o juicios de valor.</w:t>
      </w:r>
    </w:p>
    <w:p w14:paraId="210A2654" w14:textId="77777777" w:rsidR="00F61892" w:rsidRPr="004834CB" w:rsidRDefault="00934EC5" w:rsidP="00934EC5">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u w:val="single"/>
          <w:lang w:eastAsia="es-ES"/>
        </w:rPr>
      </w:pPr>
      <w:r w:rsidRPr="004834CB">
        <w:rPr>
          <w:rFonts w:ascii="Arial Narrow" w:hAnsi="Arial Narrow" w:cs="Arial"/>
          <w:b/>
          <w:snapToGrid w:val="0"/>
          <w:sz w:val="24"/>
          <w:szCs w:val="24"/>
          <w:lang w:eastAsia="es-ES"/>
        </w:rPr>
        <w:t xml:space="preserve">2.4 </w:t>
      </w:r>
      <w:r w:rsidR="00F61892" w:rsidRPr="004834CB">
        <w:rPr>
          <w:rFonts w:ascii="Arial Narrow" w:hAnsi="Arial Narrow" w:cs="Arial"/>
          <w:b/>
          <w:snapToGrid w:val="0"/>
          <w:sz w:val="24"/>
          <w:szCs w:val="24"/>
          <w:u w:val="single"/>
          <w:lang w:eastAsia="es-ES"/>
        </w:rPr>
        <w:t>Comparación de la Información</w:t>
      </w:r>
    </w:p>
    <w:p w14:paraId="1D6D3537" w14:textId="77777777" w:rsidR="00E233CA" w:rsidRPr="004834CB" w:rsidRDefault="00F61892" w:rsidP="00E233CA">
      <w:pPr>
        <w:spacing w:before="240"/>
        <w:jc w:val="both"/>
        <w:rPr>
          <w:rFonts w:ascii="Arial Narrow" w:hAnsi="Arial Narrow" w:cs="Arial"/>
          <w:spacing w:val="-2"/>
          <w:sz w:val="24"/>
          <w:szCs w:val="24"/>
        </w:rPr>
      </w:pPr>
      <w:r w:rsidRPr="004834CB">
        <w:rPr>
          <w:rFonts w:ascii="Arial Narrow" w:hAnsi="Arial Narrow" w:cs="Arial"/>
          <w:spacing w:val="-2"/>
          <w:sz w:val="24"/>
          <w:szCs w:val="24"/>
        </w:rPr>
        <w:t xml:space="preserve">De acuerdo con la legislación mercantil, </w:t>
      </w:r>
      <w:r w:rsidR="004C6DEE" w:rsidRPr="004834CB">
        <w:rPr>
          <w:rFonts w:ascii="Arial Narrow" w:hAnsi="Arial Narrow" w:cs="Arial"/>
          <w:spacing w:val="-2"/>
          <w:sz w:val="24"/>
          <w:szCs w:val="24"/>
        </w:rPr>
        <w:t>los</w:t>
      </w:r>
      <w:r w:rsidRPr="004834CB">
        <w:rPr>
          <w:rFonts w:ascii="Arial Narrow" w:hAnsi="Arial Narrow" w:cs="Arial"/>
          <w:spacing w:val="-2"/>
          <w:sz w:val="24"/>
          <w:szCs w:val="24"/>
        </w:rPr>
        <w:t xml:space="preserve"> Administra</w:t>
      </w:r>
      <w:r w:rsidR="004C6DEE" w:rsidRPr="004834CB">
        <w:rPr>
          <w:rFonts w:ascii="Arial Narrow" w:hAnsi="Arial Narrow" w:cs="Arial"/>
          <w:spacing w:val="-2"/>
          <w:sz w:val="24"/>
          <w:szCs w:val="24"/>
        </w:rPr>
        <w:t>dores</w:t>
      </w:r>
      <w:r w:rsidRPr="004834CB">
        <w:rPr>
          <w:rFonts w:ascii="Arial Narrow" w:hAnsi="Arial Narrow" w:cs="Arial"/>
          <w:spacing w:val="-2"/>
          <w:sz w:val="24"/>
          <w:szCs w:val="24"/>
        </w:rPr>
        <w:t xml:space="preserve"> presenta</w:t>
      </w:r>
      <w:r w:rsidR="004C6DEE" w:rsidRPr="004834CB">
        <w:rPr>
          <w:rFonts w:ascii="Arial Narrow" w:hAnsi="Arial Narrow" w:cs="Arial"/>
          <w:spacing w:val="-2"/>
          <w:sz w:val="24"/>
          <w:szCs w:val="24"/>
        </w:rPr>
        <w:t>n</w:t>
      </w:r>
      <w:r w:rsidRPr="004834CB">
        <w:rPr>
          <w:rFonts w:ascii="Arial Narrow" w:hAnsi="Arial Narrow" w:cs="Arial"/>
          <w:spacing w:val="-2"/>
          <w:sz w:val="24"/>
          <w:szCs w:val="24"/>
        </w:rPr>
        <w:t xml:space="preserve">, a efectos comparativos, con cada una de las partidas del Balance de Situación, de la Cuenta de Pérdidas y Ganancias y del Estado de Cambios en el Patrimonio Neto, </w:t>
      </w:r>
      <w:r w:rsidR="00E233CA" w:rsidRPr="004834CB">
        <w:rPr>
          <w:rFonts w:ascii="Arial Narrow" w:hAnsi="Arial Narrow" w:cs="Arial"/>
          <w:spacing w:val="-2"/>
          <w:sz w:val="24"/>
          <w:szCs w:val="24"/>
        </w:rPr>
        <w:t>del Estado de Flujos de Efectivo y de la Memoria, además de las cifras correspondientes al ejercicio que se cierra</w:t>
      </w:r>
      <w:r w:rsidR="00B05520" w:rsidRPr="004834CB">
        <w:rPr>
          <w:rFonts w:ascii="Arial Narrow" w:hAnsi="Arial Narrow" w:cs="Arial"/>
          <w:spacing w:val="-2"/>
          <w:sz w:val="24"/>
          <w:szCs w:val="24"/>
        </w:rPr>
        <w:t xml:space="preserve">; </w:t>
      </w:r>
      <w:r w:rsidR="00E233CA" w:rsidRPr="004834CB">
        <w:rPr>
          <w:rFonts w:ascii="Arial Narrow" w:hAnsi="Arial Narrow" w:cs="Arial"/>
          <w:spacing w:val="-2"/>
          <w:sz w:val="24"/>
          <w:szCs w:val="24"/>
        </w:rPr>
        <w:t>las del ejercicio anterior.</w:t>
      </w:r>
    </w:p>
    <w:p w14:paraId="019F4A83" w14:textId="77777777" w:rsidR="00E233CA" w:rsidRPr="004834CB" w:rsidRDefault="00E233CA" w:rsidP="00E233CA">
      <w:pPr>
        <w:spacing w:before="240"/>
        <w:jc w:val="both"/>
        <w:rPr>
          <w:rFonts w:ascii="Arial Narrow" w:hAnsi="Arial Narrow" w:cs="Arial"/>
          <w:spacing w:val="-2"/>
          <w:sz w:val="24"/>
          <w:szCs w:val="24"/>
        </w:rPr>
      </w:pPr>
      <w:r w:rsidRPr="004834CB">
        <w:rPr>
          <w:rFonts w:ascii="Arial Narrow" w:hAnsi="Arial Narrow" w:cs="Arial"/>
          <w:spacing w:val="-2"/>
          <w:sz w:val="24"/>
          <w:szCs w:val="24"/>
        </w:rPr>
        <w:t>De acuerdo con la normativa legal vigente en materia contable, las cuentas anuales se presentan expresadas en euros.</w:t>
      </w:r>
    </w:p>
    <w:p w14:paraId="56FA3AA9" w14:textId="77777777" w:rsidR="00DD368E" w:rsidRPr="004834CB" w:rsidRDefault="00F749B1" w:rsidP="00F749B1">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lang w:eastAsia="es-ES"/>
        </w:rPr>
      </w:pPr>
      <w:r w:rsidRPr="004834CB">
        <w:rPr>
          <w:rFonts w:ascii="Arial Narrow" w:hAnsi="Arial Narrow" w:cs="Arial"/>
          <w:b/>
          <w:snapToGrid w:val="0"/>
          <w:sz w:val="24"/>
          <w:szCs w:val="24"/>
          <w:lang w:eastAsia="es-ES"/>
        </w:rPr>
        <w:t xml:space="preserve">2.5 </w:t>
      </w:r>
      <w:r w:rsidR="00DD368E" w:rsidRPr="004834CB">
        <w:rPr>
          <w:rFonts w:ascii="Arial Narrow" w:hAnsi="Arial Narrow" w:cs="Arial"/>
          <w:b/>
          <w:snapToGrid w:val="0"/>
          <w:sz w:val="24"/>
          <w:szCs w:val="24"/>
          <w:u w:val="single"/>
          <w:lang w:eastAsia="es-ES"/>
        </w:rPr>
        <w:t>Agrupación de partidas</w:t>
      </w:r>
    </w:p>
    <w:p w14:paraId="58A952A4" w14:textId="77777777" w:rsidR="00DD368E" w:rsidRPr="004834CB" w:rsidRDefault="00F61892" w:rsidP="00F749B1">
      <w:pPr>
        <w:spacing w:before="240"/>
        <w:jc w:val="both"/>
        <w:rPr>
          <w:rFonts w:ascii="Arial Narrow" w:hAnsi="Arial Narrow" w:cs="Arial"/>
          <w:spacing w:val="-2"/>
          <w:sz w:val="24"/>
          <w:szCs w:val="24"/>
        </w:rPr>
      </w:pPr>
      <w:r w:rsidRPr="004834CB">
        <w:rPr>
          <w:rFonts w:ascii="Arial Narrow" w:hAnsi="Arial Narrow" w:cs="Arial"/>
          <w:snapToGrid w:val="0"/>
          <w:sz w:val="24"/>
          <w:szCs w:val="24"/>
          <w:lang w:eastAsia="es-ES"/>
        </w:rPr>
        <w:t>A</w:t>
      </w:r>
      <w:r w:rsidRPr="004834CB">
        <w:rPr>
          <w:rFonts w:ascii="Arial Narrow" w:hAnsi="Arial Narrow" w:cs="Arial"/>
          <w:spacing w:val="-2"/>
          <w:sz w:val="24"/>
          <w:szCs w:val="24"/>
        </w:rPr>
        <w:t xml:space="preserve"> efectos de facilitar la comprensión del Balance de Situación, de la Cuenta de Pérdidas y Ganancias, del Estado de Cambios en el Patrimonio Neto y del Estado de Flujos de Efectivo, dichos estados se presentan de forma agrupada, presentándose los análisis requeridos en las notas correspondientes de la memoria.</w:t>
      </w:r>
    </w:p>
    <w:p w14:paraId="72D43C6F" w14:textId="77777777" w:rsidR="00F749B1" w:rsidRPr="004834CB" w:rsidRDefault="00934EC5" w:rsidP="00F749B1">
      <w:pPr>
        <w:spacing w:before="240"/>
        <w:jc w:val="both"/>
        <w:rPr>
          <w:rFonts w:ascii="Arial Narrow" w:hAnsi="Arial Narrow" w:cs="Arial"/>
          <w:b/>
          <w:sz w:val="24"/>
          <w:szCs w:val="24"/>
          <w:u w:val="single"/>
        </w:rPr>
      </w:pPr>
      <w:r w:rsidRPr="004834CB">
        <w:rPr>
          <w:rFonts w:ascii="Arial Narrow" w:hAnsi="Arial Narrow" w:cs="Arial"/>
          <w:b/>
          <w:spacing w:val="-2"/>
          <w:sz w:val="24"/>
          <w:szCs w:val="24"/>
        </w:rPr>
        <w:t>2.</w:t>
      </w:r>
      <w:r w:rsidR="00DF7073" w:rsidRPr="004834CB">
        <w:rPr>
          <w:rFonts w:ascii="Arial Narrow" w:hAnsi="Arial Narrow" w:cs="Arial"/>
          <w:b/>
          <w:spacing w:val="-2"/>
          <w:sz w:val="24"/>
          <w:szCs w:val="24"/>
        </w:rPr>
        <w:t>6</w:t>
      </w:r>
      <w:r w:rsidRPr="004834CB">
        <w:rPr>
          <w:rFonts w:ascii="Arial Narrow" w:hAnsi="Arial Narrow" w:cs="Arial"/>
          <w:b/>
          <w:spacing w:val="-2"/>
          <w:sz w:val="24"/>
          <w:szCs w:val="24"/>
        </w:rPr>
        <w:t xml:space="preserve"> </w:t>
      </w:r>
      <w:r w:rsidRPr="004834CB">
        <w:rPr>
          <w:rFonts w:ascii="Arial Narrow" w:hAnsi="Arial Narrow" w:cs="Arial"/>
          <w:b/>
          <w:spacing w:val="-2"/>
          <w:sz w:val="24"/>
          <w:szCs w:val="24"/>
          <w:u w:val="single"/>
        </w:rPr>
        <w:t>Importancia Relativa</w:t>
      </w:r>
    </w:p>
    <w:p w14:paraId="531F6CE1" w14:textId="77777777" w:rsidR="00F749B1" w:rsidRPr="004834CB" w:rsidRDefault="00F749B1">
      <w:pPr>
        <w:rPr>
          <w:rFonts w:ascii="Arial Narrow" w:hAnsi="Arial Narrow" w:cs="Arial"/>
          <w:b/>
          <w:sz w:val="24"/>
          <w:szCs w:val="24"/>
          <w:u w:val="single"/>
        </w:rPr>
      </w:pPr>
    </w:p>
    <w:p w14:paraId="77A0C5A2" w14:textId="77777777" w:rsidR="00F749B1" w:rsidRPr="003E0972" w:rsidRDefault="00F749B1" w:rsidP="00F749B1">
      <w:pPr>
        <w:jc w:val="both"/>
        <w:rPr>
          <w:rFonts w:ascii="Arial Narrow" w:hAnsi="Arial Narrow" w:cs="Arial"/>
          <w:spacing w:val="-2"/>
          <w:sz w:val="24"/>
          <w:szCs w:val="24"/>
        </w:rPr>
      </w:pPr>
      <w:r w:rsidRPr="004834CB">
        <w:rPr>
          <w:rFonts w:ascii="Arial Narrow" w:hAnsi="Arial Narrow" w:cs="Arial"/>
          <w:spacing w:val="-2"/>
          <w:sz w:val="24"/>
          <w:szCs w:val="24"/>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w:t>
      </w:r>
      <w:r w:rsidRPr="003E0972">
        <w:rPr>
          <w:rFonts w:ascii="Arial Narrow" w:hAnsi="Arial Narrow" w:cs="Arial"/>
          <w:spacing w:val="-2"/>
          <w:sz w:val="24"/>
          <w:szCs w:val="24"/>
        </w:rPr>
        <w:t xml:space="preserve">ejercicio </w:t>
      </w:r>
      <w:r w:rsidR="004211B5" w:rsidRPr="003E0972">
        <w:rPr>
          <w:rFonts w:ascii="Arial Narrow" w:hAnsi="Arial Narrow" w:cs="Arial"/>
          <w:spacing w:val="-2"/>
          <w:sz w:val="24"/>
          <w:szCs w:val="24"/>
        </w:rPr>
        <w:t>201</w:t>
      </w:r>
      <w:r w:rsidR="00C4144E">
        <w:rPr>
          <w:rFonts w:ascii="Arial Narrow" w:hAnsi="Arial Narrow" w:cs="Arial"/>
          <w:spacing w:val="-2"/>
          <w:sz w:val="24"/>
          <w:szCs w:val="24"/>
        </w:rPr>
        <w:t>9</w:t>
      </w:r>
      <w:r w:rsidRPr="003E0972">
        <w:rPr>
          <w:rFonts w:ascii="Arial Narrow" w:hAnsi="Arial Narrow" w:cs="Arial"/>
          <w:spacing w:val="-2"/>
          <w:sz w:val="24"/>
          <w:szCs w:val="24"/>
        </w:rPr>
        <w:t>.</w:t>
      </w:r>
    </w:p>
    <w:p w14:paraId="6DCAC625" w14:textId="77777777" w:rsidR="00F749B1" w:rsidRPr="004834CB" w:rsidRDefault="00482FB6" w:rsidP="00F749B1">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u w:val="single"/>
          <w:lang w:eastAsia="es-ES"/>
        </w:rPr>
      </w:pPr>
      <w:r w:rsidRPr="004834CB">
        <w:rPr>
          <w:rFonts w:ascii="Arial Narrow" w:hAnsi="Arial Narrow" w:cs="Arial"/>
          <w:b/>
          <w:snapToGrid w:val="0"/>
          <w:sz w:val="24"/>
          <w:szCs w:val="24"/>
          <w:lang w:eastAsia="es-ES"/>
        </w:rPr>
        <w:t>2.</w:t>
      </w:r>
      <w:r w:rsidR="00DF7073" w:rsidRPr="004834CB">
        <w:rPr>
          <w:rFonts w:ascii="Arial Narrow" w:hAnsi="Arial Narrow" w:cs="Arial"/>
          <w:b/>
          <w:snapToGrid w:val="0"/>
          <w:sz w:val="24"/>
          <w:szCs w:val="24"/>
          <w:lang w:eastAsia="es-ES"/>
        </w:rPr>
        <w:t>7</w:t>
      </w:r>
      <w:r w:rsidRPr="004834CB">
        <w:rPr>
          <w:rFonts w:ascii="Arial Narrow" w:hAnsi="Arial Narrow" w:cs="Arial"/>
          <w:b/>
          <w:snapToGrid w:val="0"/>
          <w:sz w:val="24"/>
          <w:szCs w:val="24"/>
          <w:u w:val="single"/>
          <w:lang w:eastAsia="es-ES"/>
        </w:rPr>
        <w:t xml:space="preserve"> </w:t>
      </w:r>
      <w:r w:rsidR="00F749B1" w:rsidRPr="004834CB">
        <w:rPr>
          <w:rFonts w:ascii="Arial Narrow" w:hAnsi="Arial Narrow" w:cs="Arial"/>
          <w:b/>
          <w:snapToGrid w:val="0"/>
          <w:sz w:val="24"/>
          <w:szCs w:val="24"/>
          <w:u w:val="single"/>
          <w:lang w:eastAsia="es-ES"/>
        </w:rPr>
        <w:t>Responsabilidad de la información y estimaciones realizadas</w:t>
      </w:r>
    </w:p>
    <w:p w14:paraId="172061AB" w14:textId="77777777" w:rsidR="00F749B1" w:rsidRPr="004834CB" w:rsidRDefault="00F749B1" w:rsidP="00F749B1">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 información contenida en estas cuentas anuales es responsabilidad de los Administradores de la Sociedad. En las presentes cuentas anuales se han utilizado estimaciones realizadas para valorar algunos de los activos, pasivos, ingresos, gastos y compromisos que figuran registrados en las mismas, y que, básicamente estas estimaciones se refieren a la evaluación de las pérdidas por deterioro de determinados activos, a la vida útil de los activos no corrientes y a la probabilidad de ocurrencia de provisiones.</w:t>
      </w:r>
    </w:p>
    <w:p w14:paraId="504FAA12" w14:textId="77777777" w:rsidR="00090843" w:rsidRDefault="00F749B1" w:rsidP="00090843">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A pesar de que estas estimaciones se realizaron en función de la mejor información disponible en la fecha de formulación de las cuentas anuales, es posible que acontecimientos que pudieran tener lugar en el futuro obliguen a modificarlas en próximos ejercicios. En tal caso, ello se haría de forma prospectiva, reconociendo los efectos del cambio de estimación en las correspondientes cuentas de pérdidas y ganancias.</w:t>
      </w:r>
    </w:p>
    <w:p w14:paraId="1B3C6349" w14:textId="77777777" w:rsidR="00B37A7B" w:rsidRPr="00227B5D" w:rsidRDefault="00B37A7B" w:rsidP="00B37A7B">
      <w:pPr>
        <w:widowControl w:val="0"/>
        <w:tabs>
          <w:tab w:val="left" w:pos="0"/>
          <w:tab w:val="left" w:pos="2160"/>
          <w:tab w:val="left" w:pos="2880"/>
          <w:tab w:val="left" w:pos="4320"/>
          <w:tab w:val="left" w:pos="5040"/>
          <w:tab w:val="left" w:pos="5760"/>
          <w:tab w:val="left" w:pos="6480"/>
          <w:tab w:val="left" w:pos="7200"/>
          <w:tab w:val="left" w:pos="7920"/>
          <w:tab w:val="left" w:pos="8640"/>
        </w:tabs>
        <w:spacing w:before="240" w:after="120" w:line="280" w:lineRule="atLeast"/>
        <w:jc w:val="both"/>
        <w:rPr>
          <w:rFonts w:ascii="Arial Narrow" w:hAnsi="Arial Narrow" w:cs="Arial"/>
          <w:b/>
          <w:snapToGrid w:val="0"/>
          <w:sz w:val="24"/>
          <w:szCs w:val="24"/>
          <w:lang w:eastAsia="es-ES"/>
        </w:rPr>
      </w:pPr>
      <w:r w:rsidRPr="00227B5D">
        <w:rPr>
          <w:rFonts w:ascii="Arial Narrow" w:hAnsi="Arial Narrow" w:cs="Arial"/>
          <w:b/>
          <w:snapToGrid w:val="0"/>
          <w:sz w:val="24"/>
          <w:szCs w:val="24"/>
          <w:lang w:eastAsia="es-ES"/>
        </w:rPr>
        <w:t xml:space="preserve">2.8. </w:t>
      </w:r>
      <w:r w:rsidRPr="00227B5D">
        <w:rPr>
          <w:rFonts w:ascii="Arial Narrow" w:hAnsi="Arial Narrow" w:cs="Arial"/>
          <w:b/>
          <w:snapToGrid w:val="0"/>
          <w:sz w:val="24"/>
          <w:szCs w:val="24"/>
          <w:u w:val="single"/>
          <w:lang w:eastAsia="es-ES"/>
        </w:rPr>
        <w:t>Corrección de errores.</w:t>
      </w:r>
    </w:p>
    <w:p w14:paraId="76B9ACD3" w14:textId="77777777" w:rsidR="00090843" w:rsidRDefault="00B37A7B" w:rsidP="00B37A7B">
      <w:pPr>
        <w:tabs>
          <w:tab w:val="left" w:pos="978"/>
        </w:tabs>
        <w:spacing w:before="120" w:after="120"/>
        <w:jc w:val="both"/>
        <w:rPr>
          <w:rFonts w:ascii="Arial Narrow" w:hAnsi="Arial Narrow" w:cs="Arial"/>
          <w:spacing w:val="-2"/>
          <w:sz w:val="24"/>
          <w:szCs w:val="24"/>
        </w:rPr>
      </w:pPr>
      <w:r w:rsidRPr="00227B5D">
        <w:rPr>
          <w:rFonts w:ascii="Arial Narrow" w:hAnsi="Arial Narrow" w:cs="Arial"/>
          <w:spacing w:val="-2"/>
          <w:sz w:val="24"/>
          <w:szCs w:val="24"/>
        </w:rPr>
        <w:t>Las cuentas anuales del ejercicio 2019 no incluyen ajustes realizados como consecuencia de errores detectados en el ejercicio.</w:t>
      </w:r>
    </w:p>
    <w:p w14:paraId="4C281B87" w14:textId="77777777" w:rsidR="00B37A7B" w:rsidRDefault="00B37A7B" w:rsidP="00B37A7B">
      <w:pPr>
        <w:tabs>
          <w:tab w:val="left" w:pos="978"/>
        </w:tabs>
        <w:spacing w:before="120" w:after="120"/>
        <w:jc w:val="both"/>
        <w:rPr>
          <w:rFonts w:ascii="Arial Narrow" w:hAnsi="Arial Narrow" w:cs="Arial"/>
          <w:spacing w:val="-2"/>
          <w:sz w:val="24"/>
          <w:szCs w:val="24"/>
        </w:rPr>
      </w:pPr>
    </w:p>
    <w:p w14:paraId="39B4F411" w14:textId="77777777" w:rsidR="00090843" w:rsidRDefault="005F665F" w:rsidP="00090843">
      <w:pPr>
        <w:spacing w:before="120" w:after="120"/>
        <w:jc w:val="both"/>
        <w:rPr>
          <w:rFonts w:ascii="Arial Narrow" w:hAnsi="Arial Narrow" w:cs="Arial"/>
          <w:b/>
          <w:caps/>
          <w:snapToGrid w:val="0"/>
          <w:sz w:val="24"/>
          <w:szCs w:val="24"/>
          <w:u w:val="single"/>
          <w:lang w:eastAsia="es-ES"/>
        </w:rPr>
      </w:pPr>
      <w:r w:rsidRPr="004834CB">
        <w:rPr>
          <w:rFonts w:ascii="Arial Narrow" w:hAnsi="Arial Narrow" w:cs="Arial"/>
          <w:b/>
          <w:caps/>
          <w:snapToGrid w:val="0"/>
          <w:sz w:val="24"/>
          <w:szCs w:val="24"/>
          <w:lang w:eastAsia="es-ES"/>
        </w:rPr>
        <w:t>NOTA</w:t>
      </w:r>
      <w:r w:rsidR="00DF7073" w:rsidRPr="004834CB">
        <w:rPr>
          <w:rFonts w:ascii="Arial Narrow" w:hAnsi="Arial Narrow" w:cs="Arial"/>
          <w:b/>
          <w:caps/>
          <w:snapToGrid w:val="0"/>
          <w:sz w:val="24"/>
          <w:szCs w:val="24"/>
          <w:lang w:eastAsia="es-ES"/>
        </w:rPr>
        <w:t xml:space="preserve"> </w:t>
      </w:r>
      <w:r w:rsidRPr="004834CB">
        <w:rPr>
          <w:rFonts w:ascii="Arial Narrow" w:hAnsi="Arial Narrow" w:cs="Arial"/>
          <w:b/>
          <w:caps/>
          <w:snapToGrid w:val="0"/>
          <w:sz w:val="24"/>
          <w:szCs w:val="24"/>
          <w:lang w:eastAsia="es-ES"/>
        </w:rPr>
        <w:t xml:space="preserve">3. </w:t>
      </w:r>
      <w:r w:rsidR="00F675B3" w:rsidRPr="004834CB">
        <w:rPr>
          <w:rFonts w:ascii="Arial Narrow" w:hAnsi="Arial Narrow" w:cs="Arial"/>
          <w:b/>
          <w:caps/>
          <w:snapToGrid w:val="0"/>
          <w:sz w:val="24"/>
          <w:szCs w:val="24"/>
          <w:u w:val="single"/>
          <w:lang w:eastAsia="es-ES"/>
        </w:rPr>
        <w:t>Aplicación de resultados</w:t>
      </w:r>
    </w:p>
    <w:p w14:paraId="6E040AD6" w14:textId="77777777" w:rsidR="002E205A" w:rsidRDefault="00F675B3" w:rsidP="002E205A">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 propuesta de distribución del resultado</w:t>
      </w:r>
      <w:r w:rsidR="004C6DEE" w:rsidRPr="004834CB">
        <w:rPr>
          <w:rFonts w:ascii="Arial Narrow" w:hAnsi="Arial Narrow" w:cs="Arial"/>
          <w:spacing w:val="-2"/>
          <w:sz w:val="24"/>
          <w:szCs w:val="24"/>
        </w:rPr>
        <w:t xml:space="preserve"> </w:t>
      </w:r>
      <w:r w:rsidR="004C6DEE" w:rsidRPr="003E0972">
        <w:rPr>
          <w:rFonts w:ascii="Arial Narrow" w:hAnsi="Arial Narrow" w:cs="Arial"/>
          <w:spacing w:val="-2"/>
          <w:sz w:val="24"/>
          <w:szCs w:val="24"/>
        </w:rPr>
        <w:t xml:space="preserve">de los </w:t>
      </w:r>
      <w:r w:rsidR="0085045D" w:rsidRPr="003E0972">
        <w:rPr>
          <w:rFonts w:ascii="Arial Narrow" w:hAnsi="Arial Narrow" w:cs="Arial"/>
          <w:spacing w:val="-2"/>
          <w:sz w:val="24"/>
          <w:szCs w:val="24"/>
        </w:rPr>
        <w:t>ejercicios 201</w:t>
      </w:r>
      <w:r w:rsidR="00B37A7B">
        <w:rPr>
          <w:rFonts w:ascii="Arial Narrow" w:hAnsi="Arial Narrow" w:cs="Arial"/>
          <w:spacing w:val="-2"/>
          <w:sz w:val="24"/>
          <w:szCs w:val="24"/>
        </w:rPr>
        <w:t>9</w:t>
      </w:r>
      <w:r w:rsidR="004834CB" w:rsidRPr="003E0972">
        <w:rPr>
          <w:rFonts w:ascii="Arial Narrow" w:hAnsi="Arial Narrow" w:cs="Arial"/>
          <w:spacing w:val="-2"/>
          <w:sz w:val="24"/>
          <w:szCs w:val="24"/>
        </w:rPr>
        <w:t xml:space="preserve"> y 201</w:t>
      </w:r>
      <w:r w:rsidR="00B37A7B">
        <w:rPr>
          <w:rFonts w:ascii="Arial Narrow" w:hAnsi="Arial Narrow" w:cs="Arial"/>
          <w:spacing w:val="-2"/>
          <w:sz w:val="24"/>
          <w:szCs w:val="24"/>
        </w:rPr>
        <w:t>8</w:t>
      </w:r>
      <w:r w:rsidR="004C6DEE" w:rsidRPr="003E0972">
        <w:rPr>
          <w:rFonts w:ascii="Arial Narrow" w:hAnsi="Arial Narrow" w:cs="Arial"/>
          <w:spacing w:val="-2"/>
          <w:sz w:val="24"/>
          <w:szCs w:val="24"/>
        </w:rPr>
        <w:t xml:space="preserve">, formuladas </w:t>
      </w:r>
      <w:r w:rsidR="004C6DEE" w:rsidRPr="004834CB">
        <w:rPr>
          <w:rFonts w:ascii="Arial Narrow" w:hAnsi="Arial Narrow" w:cs="Arial"/>
          <w:spacing w:val="-2"/>
          <w:sz w:val="24"/>
          <w:szCs w:val="24"/>
        </w:rPr>
        <w:t xml:space="preserve">por los administradores </w:t>
      </w:r>
      <w:r w:rsidRPr="004834CB">
        <w:rPr>
          <w:rFonts w:ascii="Arial Narrow" w:hAnsi="Arial Narrow" w:cs="Arial"/>
          <w:spacing w:val="-2"/>
          <w:sz w:val="24"/>
          <w:szCs w:val="24"/>
        </w:rPr>
        <w:t>a presentar a la Junta General de Accionistas es la siguiente</w:t>
      </w:r>
      <w:r w:rsidR="004C6DEE" w:rsidRPr="004834CB">
        <w:rPr>
          <w:rFonts w:ascii="Arial Narrow" w:hAnsi="Arial Narrow" w:cs="Arial"/>
          <w:spacing w:val="-2"/>
          <w:sz w:val="24"/>
          <w:szCs w:val="24"/>
        </w:rPr>
        <w:t>, en euros</w:t>
      </w:r>
      <w:r w:rsidRPr="004834CB">
        <w:rPr>
          <w:rFonts w:ascii="Arial Narrow" w:hAnsi="Arial Narrow" w:cs="Arial"/>
          <w:spacing w:val="-2"/>
          <w:sz w:val="24"/>
          <w:szCs w:val="24"/>
        </w:rPr>
        <w:t>:</w:t>
      </w:r>
    </w:p>
    <w:p w14:paraId="2C20ABB4" w14:textId="77777777" w:rsidR="002E205A" w:rsidRDefault="002E205A" w:rsidP="002E205A">
      <w:pPr>
        <w:spacing w:before="120" w:after="120"/>
        <w:jc w:val="both"/>
        <w:rPr>
          <w:rFonts w:ascii="Arial Narrow" w:hAnsi="Arial Narrow" w:cs="Arial"/>
          <w:spacing w:val="-2"/>
          <w:sz w:val="24"/>
          <w:szCs w:val="24"/>
        </w:rPr>
      </w:pPr>
    </w:p>
    <w:p w14:paraId="7C67EAE2" w14:textId="77777777" w:rsidR="00F675B3" w:rsidRDefault="002E205A" w:rsidP="002E205A">
      <w:pPr>
        <w:spacing w:before="120" w:after="120"/>
        <w:jc w:val="center"/>
        <w:rPr>
          <w:rFonts w:ascii="Arial" w:hAnsi="Arial" w:cs="Arial"/>
          <w:color w:val="FF0000"/>
          <w:szCs w:val="22"/>
        </w:rPr>
      </w:pPr>
      <w:r w:rsidRPr="002E205A">
        <w:rPr>
          <w:noProof/>
          <w:lang w:val="es-ES" w:eastAsia="es-ES"/>
        </w:rPr>
        <w:drawing>
          <wp:inline distT="0" distB="0" distL="0" distR="0" wp14:anchorId="1478CE4A" wp14:editId="798EB8DB">
            <wp:extent cx="3122762" cy="1202042"/>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0726" cy="1216656"/>
                    </a:xfrm>
                    <a:prstGeom prst="rect">
                      <a:avLst/>
                    </a:prstGeom>
                    <a:noFill/>
                    <a:ln>
                      <a:noFill/>
                    </a:ln>
                  </pic:spPr>
                </pic:pic>
              </a:graphicData>
            </a:graphic>
          </wp:inline>
        </w:drawing>
      </w:r>
    </w:p>
    <w:p w14:paraId="39AADFC8" w14:textId="77777777" w:rsidR="002E205A" w:rsidRPr="00F56ADE" w:rsidRDefault="002E205A" w:rsidP="002E205A">
      <w:pPr>
        <w:spacing w:before="120" w:after="120"/>
        <w:jc w:val="center"/>
        <w:rPr>
          <w:rFonts w:ascii="Arial" w:hAnsi="Arial" w:cs="Arial"/>
          <w:color w:val="FF0000"/>
          <w:szCs w:val="22"/>
        </w:rPr>
      </w:pPr>
    </w:p>
    <w:p w14:paraId="6B57C2E9" w14:textId="77777777" w:rsidR="00F675B3" w:rsidRPr="004834CB" w:rsidRDefault="00F675B3" w:rsidP="00345DE7">
      <w:pPr>
        <w:tabs>
          <w:tab w:val="num" w:pos="426"/>
        </w:tabs>
        <w:jc w:val="both"/>
        <w:rPr>
          <w:rFonts w:ascii="Arial Narrow" w:hAnsi="Arial Narrow" w:cs="Arial"/>
          <w:sz w:val="24"/>
          <w:szCs w:val="24"/>
          <w:u w:val="single"/>
        </w:rPr>
      </w:pPr>
      <w:r w:rsidRPr="004834CB">
        <w:rPr>
          <w:rFonts w:ascii="Arial Narrow" w:hAnsi="Arial Narrow" w:cs="Arial"/>
          <w:sz w:val="24"/>
          <w:szCs w:val="24"/>
          <w:u w:val="single"/>
        </w:rPr>
        <w:t>Limitaciones para la distribución de dividendos</w:t>
      </w:r>
    </w:p>
    <w:p w14:paraId="20DD5AE2" w14:textId="77777777" w:rsidR="00F675B3" w:rsidRPr="004834CB" w:rsidRDefault="00F675B3"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w:t>
      </w:r>
    </w:p>
    <w:p w14:paraId="66F45BDA" w14:textId="77777777" w:rsidR="00F675B3" w:rsidRPr="004834CB" w:rsidRDefault="00F675B3"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Una vez cubiertas las atenciones previstas por la Ley o los estatutos, sólo podrán repartirse dividendos con cargo al beneficio del ejercicio, o a reservas de libre disposición, si 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14:paraId="4774AC89" w14:textId="77777777" w:rsidR="00F675B3" w:rsidRPr="00E740BB" w:rsidRDefault="00F675B3"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Se prohíbe igualmente toda distribución de beneficios a menos que el importe de las reservas disponibles sea, como mínimo, igual al importe de los gastos de investigación y desarrollo que figuran</w:t>
      </w:r>
      <w:r w:rsidR="00A77A4B" w:rsidRPr="004834CB">
        <w:rPr>
          <w:rFonts w:ascii="Arial Narrow" w:hAnsi="Arial Narrow" w:cs="Arial"/>
          <w:spacing w:val="-2"/>
          <w:sz w:val="24"/>
          <w:szCs w:val="24"/>
        </w:rPr>
        <w:t xml:space="preserve"> en el activo del balance y no existen reservas disponibles por un importe equivalente a los saldos </w:t>
      </w:r>
      <w:r w:rsidR="00A77A4B" w:rsidRPr="00E740BB">
        <w:rPr>
          <w:rFonts w:ascii="Arial Narrow" w:hAnsi="Arial Narrow" w:cs="Arial"/>
          <w:spacing w:val="-2"/>
          <w:sz w:val="24"/>
          <w:szCs w:val="24"/>
        </w:rPr>
        <w:t>pendientes de amortizar de las cuentas anteriores.</w:t>
      </w:r>
    </w:p>
    <w:p w14:paraId="620BE4A6" w14:textId="77777777" w:rsidR="00F675B3" w:rsidRPr="004834CB" w:rsidRDefault="00F675B3" w:rsidP="00345DE7">
      <w:pPr>
        <w:spacing w:before="120" w:after="120"/>
        <w:jc w:val="both"/>
        <w:rPr>
          <w:rFonts w:ascii="Arial Narrow" w:hAnsi="Arial Narrow" w:cs="Arial"/>
          <w:spacing w:val="-2"/>
          <w:sz w:val="24"/>
          <w:szCs w:val="24"/>
        </w:rPr>
      </w:pPr>
      <w:r w:rsidRPr="00E740BB">
        <w:rPr>
          <w:rFonts w:ascii="Arial Narrow" w:hAnsi="Arial Narrow" w:cs="Arial"/>
          <w:spacing w:val="-2"/>
          <w:sz w:val="24"/>
          <w:szCs w:val="24"/>
        </w:rPr>
        <w:t>A 31 de diciembre de 201</w:t>
      </w:r>
      <w:r w:rsidR="002E205A">
        <w:rPr>
          <w:rFonts w:ascii="Arial Narrow" w:hAnsi="Arial Narrow" w:cs="Arial"/>
          <w:spacing w:val="-2"/>
          <w:sz w:val="24"/>
          <w:szCs w:val="24"/>
        </w:rPr>
        <w:t>9</w:t>
      </w:r>
      <w:r w:rsidRPr="00E740BB">
        <w:rPr>
          <w:rFonts w:ascii="Arial Narrow" w:hAnsi="Arial Narrow" w:cs="Arial"/>
          <w:spacing w:val="-2"/>
          <w:sz w:val="24"/>
          <w:szCs w:val="24"/>
        </w:rPr>
        <w:t xml:space="preserve">, no existen limitaciones </w:t>
      </w:r>
      <w:r w:rsidRPr="004834CB">
        <w:rPr>
          <w:rFonts w:ascii="Arial Narrow" w:hAnsi="Arial Narrow" w:cs="Arial"/>
          <w:spacing w:val="-2"/>
          <w:sz w:val="24"/>
          <w:szCs w:val="24"/>
        </w:rPr>
        <w:t>al cumplirse con todos los condicionamientos establecidos en la Ley de Sociedades de Capital.</w:t>
      </w:r>
    </w:p>
    <w:p w14:paraId="7D4FAF2F" w14:textId="77777777" w:rsidR="00F675B3" w:rsidRPr="004834CB" w:rsidRDefault="00F675B3" w:rsidP="00FB6797">
      <w:pPr>
        <w:widowControl w:val="0"/>
        <w:jc w:val="both"/>
        <w:rPr>
          <w:rFonts w:ascii="Arial Narrow" w:hAnsi="Arial Narrow" w:cs="Arial"/>
          <w:sz w:val="24"/>
          <w:szCs w:val="24"/>
        </w:rPr>
      </w:pPr>
    </w:p>
    <w:p w14:paraId="75009A14" w14:textId="77777777" w:rsidR="00DD368E" w:rsidRDefault="005F665F" w:rsidP="005F665F">
      <w:pPr>
        <w:widowControl w:val="0"/>
        <w:spacing w:before="120" w:after="120"/>
        <w:rPr>
          <w:rFonts w:ascii="Arial Narrow" w:hAnsi="Arial Narrow" w:cs="Arial"/>
          <w:b/>
          <w:caps/>
          <w:snapToGrid w:val="0"/>
          <w:sz w:val="24"/>
          <w:szCs w:val="24"/>
          <w:u w:val="single"/>
          <w:lang w:eastAsia="es-ES"/>
        </w:rPr>
      </w:pPr>
      <w:r w:rsidRPr="004834CB">
        <w:rPr>
          <w:rFonts w:ascii="Arial Narrow" w:hAnsi="Arial Narrow" w:cs="Arial"/>
          <w:b/>
          <w:caps/>
          <w:snapToGrid w:val="0"/>
          <w:sz w:val="24"/>
          <w:szCs w:val="24"/>
          <w:lang w:eastAsia="es-ES"/>
        </w:rPr>
        <w:t xml:space="preserve">NOTA 4. </w:t>
      </w:r>
      <w:r w:rsidR="00345DE7" w:rsidRPr="004834CB">
        <w:rPr>
          <w:rFonts w:ascii="Arial Narrow" w:hAnsi="Arial Narrow" w:cs="Arial"/>
          <w:b/>
          <w:caps/>
          <w:snapToGrid w:val="0"/>
          <w:sz w:val="24"/>
          <w:szCs w:val="24"/>
          <w:u w:val="single"/>
          <w:lang w:eastAsia="es-ES"/>
        </w:rPr>
        <w:t>Normas de registro y valoración</w:t>
      </w:r>
    </w:p>
    <w:p w14:paraId="02BFF3B1" w14:textId="77777777" w:rsidR="00DD368E" w:rsidRPr="004834CB" w:rsidRDefault="00DD368E" w:rsidP="009C5E01">
      <w:pPr>
        <w:pStyle w:val="TextePrinc"/>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12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Inmovilizado intangible</w:t>
      </w:r>
    </w:p>
    <w:p w14:paraId="18F48965" w14:textId="77777777" w:rsidR="00A77A4B" w:rsidRPr="004834CB" w:rsidRDefault="00A77A4B" w:rsidP="00A77A4B">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rPr>
      </w:pPr>
      <w:r w:rsidRPr="004834CB">
        <w:rPr>
          <w:rFonts w:ascii="Arial Narrow" w:hAnsi="Arial Narrow" w:cs="Arial"/>
          <w:sz w:val="24"/>
          <w:szCs w:val="24"/>
        </w:rPr>
        <w:t>El inmovilizado intangible se valora inicialmente por su coste, ya sea éste el precio de adquisición o el coste de producción.</w:t>
      </w:r>
    </w:p>
    <w:p w14:paraId="7847B517" w14:textId="77777777" w:rsidR="00A77A4B" w:rsidRDefault="00A77A4B" w:rsidP="00A77A4B">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rPr>
      </w:pPr>
      <w:r w:rsidRPr="004834CB">
        <w:rPr>
          <w:rFonts w:ascii="Arial Narrow" w:hAnsi="Arial Narrow" w:cs="Arial"/>
          <w:sz w:val="24"/>
          <w:szCs w:val="24"/>
        </w:rPr>
        <w:t>Después del reconocimiento inicial, el inmovilizado intangible se valora por su coste, menos la amortización acumulada y, en su caso, el importe acumulado de las correcciones por deterioro registradas.</w:t>
      </w:r>
    </w:p>
    <w:p w14:paraId="4E4EB72D" w14:textId="77777777" w:rsidR="002E205A" w:rsidRDefault="002E205A" w:rsidP="00A77A4B">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rPr>
      </w:pPr>
    </w:p>
    <w:p w14:paraId="6E7F9DD0" w14:textId="77777777" w:rsidR="002E205A" w:rsidRPr="00C4144E" w:rsidRDefault="002E205A" w:rsidP="002E205A">
      <w:pPr>
        <w:pStyle w:val="Textoindependiente"/>
        <w:tabs>
          <w:tab w:val="clear" w:pos="720"/>
        </w:tabs>
        <w:jc w:val="both"/>
        <w:rPr>
          <w:rFonts w:ascii="Arial Narrow" w:hAnsi="Arial Narrow" w:cs="Arial"/>
          <w:i w:val="0"/>
          <w:snapToGrid/>
          <w:color w:val="auto"/>
          <w:spacing w:val="-2"/>
          <w:sz w:val="24"/>
          <w:szCs w:val="24"/>
          <w:lang w:eastAsia="en-US"/>
        </w:rPr>
      </w:pPr>
      <w:r w:rsidRPr="00C4144E">
        <w:rPr>
          <w:rFonts w:ascii="Arial Narrow" w:hAnsi="Arial Narrow" w:cs="Arial"/>
          <w:i w:val="0"/>
          <w:snapToGrid/>
          <w:color w:val="auto"/>
          <w:spacing w:val="-2"/>
          <w:sz w:val="24"/>
          <w:szCs w:val="24"/>
          <w:lang w:eastAsia="en-US"/>
        </w:rPr>
        <w:t>La amortización de los elementos del inmovilizado intangibles de forma lineal durante su vida útil estimada, en función de los siguientes años de vida útil:</w:t>
      </w:r>
    </w:p>
    <w:p w14:paraId="30D638D0" w14:textId="77777777" w:rsidR="002E205A" w:rsidRPr="00C4144E" w:rsidRDefault="002E205A" w:rsidP="002E205A">
      <w:pPr>
        <w:pStyle w:val="Textoindependiente"/>
        <w:ind w:left="708"/>
        <w:rPr>
          <w:rFonts w:ascii="Calibri" w:hAnsi="Calibri"/>
          <w:sz w:val="18"/>
          <w:szCs w:val="18"/>
        </w:rPr>
      </w:pPr>
    </w:p>
    <w:bookmarkStart w:id="1" w:name="_MON_1486158722"/>
    <w:bookmarkEnd w:id="1"/>
    <w:p w14:paraId="254E4DF8" w14:textId="77777777" w:rsidR="002E205A" w:rsidRPr="00C4144E" w:rsidRDefault="0029374A" w:rsidP="002E205A">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rPr>
      </w:pPr>
      <w:r w:rsidRPr="00C4144E">
        <w:rPr>
          <w:rFonts w:ascii="Calibri" w:hAnsi="Calibri"/>
          <w:sz w:val="18"/>
          <w:szCs w:val="18"/>
        </w:rPr>
        <w:object w:dxaOrig="7341" w:dyaOrig="1345" w14:anchorId="7356B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1in" o:ole="">
            <v:imagedata r:id="rId16" o:title=""/>
          </v:shape>
          <o:OLEObject Type="Embed" ProgID="Excel.Sheet.8" ShapeID="_x0000_i1025" DrawAspect="Content" ObjectID="_1654440709" r:id="rId17"/>
        </w:object>
      </w:r>
    </w:p>
    <w:p w14:paraId="4811E4BB" w14:textId="77777777" w:rsidR="00573488" w:rsidRPr="00C4144E" w:rsidRDefault="00573488" w:rsidP="00573488">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u w:val="single"/>
        </w:rPr>
      </w:pPr>
      <w:r w:rsidRPr="00C4144E">
        <w:rPr>
          <w:rFonts w:ascii="Arial Narrow" w:hAnsi="Arial Narrow" w:cs="Arial"/>
          <w:sz w:val="24"/>
          <w:szCs w:val="24"/>
          <w:u w:val="single"/>
        </w:rPr>
        <w:t>Concesiones</w:t>
      </w:r>
    </w:p>
    <w:p w14:paraId="7180B844" w14:textId="77777777" w:rsidR="002E205A" w:rsidRDefault="00573488" w:rsidP="00573488">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rPr>
      </w:pPr>
      <w:r w:rsidRPr="00C4144E">
        <w:rPr>
          <w:rFonts w:ascii="Arial Narrow" w:hAnsi="Arial Narrow" w:cs="Arial"/>
          <w:sz w:val="24"/>
          <w:szCs w:val="24"/>
        </w:rPr>
        <w:t>Los costes incurridos para obtener las concesiones se amortizan linealmente en el periodo de concesión (años). Si se dieran las circunstancias de incumplimiento de condiciones que hicieran perder los derechos derivados de esta concesión, el valor contabilizado para la misma se sanearía en su totalidad al objeto de anular su valor neto contable.</w:t>
      </w:r>
    </w:p>
    <w:p w14:paraId="7229FCD7" w14:textId="77777777" w:rsidR="00DD368E" w:rsidRPr="004834CB" w:rsidRDefault="00DD368E" w:rsidP="00BC29DE">
      <w:pPr>
        <w:widowControl w:val="0"/>
        <w:tabs>
          <w:tab w:val="left" w:pos="426"/>
          <w:tab w:val="left" w:pos="2160"/>
          <w:tab w:val="left" w:pos="2880"/>
          <w:tab w:val="left" w:pos="4320"/>
          <w:tab w:val="left" w:pos="5040"/>
          <w:tab w:val="left" w:pos="5760"/>
          <w:tab w:val="left" w:pos="6480"/>
          <w:tab w:val="left" w:pos="7200"/>
          <w:tab w:val="left" w:pos="7920"/>
          <w:tab w:val="left" w:pos="8640"/>
        </w:tabs>
        <w:spacing w:before="120" w:line="280" w:lineRule="atLeast"/>
        <w:jc w:val="both"/>
        <w:rPr>
          <w:rFonts w:ascii="Arial Narrow" w:hAnsi="Arial Narrow" w:cs="Arial"/>
          <w:sz w:val="24"/>
          <w:szCs w:val="24"/>
          <w:u w:val="single"/>
        </w:rPr>
      </w:pPr>
      <w:r w:rsidRPr="004834CB">
        <w:rPr>
          <w:rFonts w:ascii="Arial Narrow" w:hAnsi="Arial Narrow" w:cs="Arial"/>
          <w:sz w:val="24"/>
          <w:szCs w:val="24"/>
          <w:u w:val="single"/>
        </w:rPr>
        <w:t>Patentes y marcas</w:t>
      </w:r>
    </w:p>
    <w:p w14:paraId="4FD5B2EC" w14:textId="77777777" w:rsidR="00AE4272" w:rsidRDefault="00DD368E" w:rsidP="00AE427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patentes y marcas tienen una vida útil definida y se llevan a coste menos amortización acumulada y correcciones por deterioro del valor reconocidas. La amortización se calcula por el método lineal para asignar el coste de las marcas y patentes durante su vida útil estimada (patentes a 10 años).</w:t>
      </w:r>
    </w:p>
    <w:p w14:paraId="543DFA73" w14:textId="77777777" w:rsidR="00AE4272" w:rsidRDefault="00DD368E" w:rsidP="00AE4272">
      <w:pPr>
        <w:spacing w:before="120" w:after="120"/>
        <w:jc w:val="both"/>
        <w:rPr>
          <w:rFonts w:ascii="Arial Narrow" w:hAnsi="Arial Narrow" w:cs="Arial"/>
          <w:sz w:val="24"/>
          <w:szCs w:val="24"/>
          <w:u w:val="single"/>
        </w:rPr>
      </w:pPr>
      <w:r w:rsidRPr="004834CB">
        <w:rPr>
          <w:rFonts w:ascii="Arial Narrow" w:hAnsi="Arial Narrow" w:cs="Arial"/>
          <w:snapToGrid w:val="0"/>
          <w:sz w:val="24"/>
          <w:szCs w:val="24"/>
          <w:u w:val="single"/>
          <w:lang w:eastAsia="es-ES"/>
        </w:rPr>
        <w:t>Aplicaciones</w:t>
      </w:r>
      <w:r w:rsidRPr="004834CB">
        <w:rPr>
          <w:rFonts w:ascii="Arial Narrow" w:hAnsi="Arial Narrow" w:cs="Arial"/>
          <w:sz w:val="24"/>
          <w:szCs w:val="24"/>
          <w:u w:val="single"/>
        </w:rPr>
        <w:t xml:space="preserve"> informáticas</w:t>
      </w:r>
    </w:p>
    <w:p w14:paraId="68BDEB23" w14:textId="77777777" w:rsidR="00AE4272" w:rsidRDefault="00DD368E" w:rsidP="00AE427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licencias para programas informáticos adquiridas a terceros se capitalizan sobre la base de los costes en que se ha incurrido para adquirirlas y prepararlas para usar el programa específico. Estos costes se amortizan durante sus vidas útiles estimadas (aplicaciones informáticas a 3 años).</w:t>
      </w:r>
    </w:p>
    <w:p w14:paraId="58F283FE" w14:textId="77777777" w:rsidR="00DD368E" w:rsidRDefault="00DD368E" w:rsidP="00AE427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gastos relacionados con el mantenimiento de programas informáticos, así como sus licencias renovables de uso, se reconocen como gasto cuando se incurre en ellos. Los costes directamente relacionados con la producción de programas informáticos únicos e identificables controlados por la Sociedad, y que sea probable que vayan a generar beneficios económicos superiores a los costes durante más de un año, se reconocen como activos intangibles. Los costes directos incluyen los gastos del personal que desarrolla los programas informáticos y un porcentaje adecuado de gastos generales.</w:t>
      </w:r>
    </w:p>
    <w:p w14:paraId="6ABE7ECA" w14:textId="77777777" w:rsidR="0029374A" w:rsidRPr="00C4144E" w:rsidRDefault="0029374A" w:rsidP="0029374A">
      <w:pPr>
        <w:spacing w:before="120" w:after="120"/>
        <w:jc w:val="both"/>
        <w:rPr>
          <w:rFonts w:ascii="Arial Narrow" w:hAnsi="Arial Narrow" w:cs="Arial"/>
          <w:spacing w:val="-2"/>
          <w:sz w:val="24"/>
          <w:szCs w:val="24"/>
          <w:u w:val="single"/>
        </w:rPr>
      </w:pPr>
      <w:r w:rsidRPr="00C4144E">
        <w:rPr>
          <w:rFonts w:ascii="Arial Narrow" w:hAnsi="Arial Narrow" w:cs="Arial"/>
          <w:spacing w:val="-2"/>
          <w:sz w:val="24"/>
          <w:szCs w:val="24"/>
          <w:u w:val="single"/>
        </w:rPr>
        <w:t>Deterioro de valor de inmovilizado intangible</w:t>
      </w:r>
    </w:p>
    <w:p w14:paraId="2912EB38" w14:textId="77777777" w:rsidR="0029374A" w:rsidRPr="00C4144E" w:rsidRDefault="0029374A" w:rsidP="0029374A">
      <w:pPr>
        <w:spacing w:before="120" w:after="120"/>
        <w:jc w:val="both"/>
        <w:rPr>
          <w:rFonts w:ascii="Arial Narrow" w:hAnsi="Arial Narrow" w:cs="Arial"/>
          <w:spacing w:val="-2"/>
          <w:sz w:val="24"/>
          <w:szCs w:val="24"/>
        </w:rPr>
      </w:pPr>
      <w:r w:rsidRPr="00C4144E">
        <w:rPr>
          <w:rFonts w:ascii="Arial Narrow" w:hAnsi="Arial Narrow" w:cs="Arial"/>
          <w:spacing w:val="-2"/>
          <w:sz w:val="24"/>
          <w:szCs w:val="24"/>
        </w:rPr>
        <w:t>Al cierre del ejercicio o siempre que existan indicios de pérdidas de valor, la Sociedad revisa los importes en libros de sus activos intangibles para determinar si existen indicios de que dichos activos hayan sufrido una pérdida por deterioro de valor. Si existe cualquier indicio, el importe recuperable del activo se calcula con el objeto de determinar el alcance de la pérdida por deterioro de valor (si la hubiera). En caso de que el activo no genere flujos de efectivo por sí mismo que sean independientes de otros activos, la Sociedad calculará el importe recuperable de la unidad generadora de efectivo a la que pertenece el activo.</w:t>
      </w:r>
    </w:p>
    <w:p w14:paraId="55D68308" w14:textId="77777777" w:rsidR="0029374A" w:rsidRDefault="0029374A" w:rsidP="0029374A">
      <w:pPr>
        <w:spacing w:before="120" w:after="120"/>
        <w:jc w:val="both"/>
        <w:rPr>
          <w:rFonts w:ascii="Arial Narrow" w:hAnsi="Arial Narrow" w:cs="Arial"/>
          <w:spacing w:val="-2"/>
          <w:sz w:val="24"/>
          <w:szCs w:val="24"/>
        </w:rPr>
      </w:pPr>
      <w:r w:rsidRPr="00C4144E">
        <w:rPr>
          <w:rFonts w:ascii="Arial Narrow" w:hAnsi="Arial Narrow" w:cs="Arial"/>
          <w:spacing w:val="-2"/>
          <w:sz w:val="24"/>
          <w:szCs w:val="24"/>
        </w:rPr>
        <w:t>El importe recuperable es el valor superior entre el valor razonable menos el coste de venta y el valor en uso.</w:t>
      </w:r>
    </w:p>
    <w:p w14:paraId="08744DF0" w14:textId="77777777" w:rsidR="0029374A" w:rsidRPr="004834CB" w:rsidRDefault="0029374A" w:rsidP="00AE4272">
      <w:pPr>
        <w:spacing w:before="120" w:after="120"/>
        <w:jc w:val="both"/>
        <w:rPr>
          <w:rFonts w:ascii="Arial Narrow" w:hAnsi="Arial Narrow" w:cs="Arial"/>
          <w:spacing w:val="-2"/>
          <w:sz w:val="24"/>
          <w:szCs w:val="24"/>
        </w:rPr>
      </w:pPr>
    </w:p>
    <w:p w14:paraId="70DEAEC0" w14:textId="77777777" w:rsidR="00DD368E" w:rsidRPr="004834CB" w:rsidRDefault="00DD368E" w:rsidP="009C5E01">
      <w:pPr>
        <w:pStyle w:val="TextePrinc"/>
        <w:keepNext/>
        <w:keepLines/>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Inmovilizado material</w:t>
      </w:r>
    </w:p>
    <w:p w14:paraId="29E2EF4B" w14:textId="77777777" w:rsidR="00DD368E" w:rsidRPr="004834CB" w:rsidRDefault="00DD368E" w:rsidP="00AE4272">
      <w:pPr>
        <w:keepNext/>
        <w:keepLines/>
        <w:spacing w:before="120"/>
        <w:jc w:val="both"/>
        <w:rPr>
          <w:rFonts w:ascii="Arial Narrow" w:hAnsi="Arial Narrow" w:cs="Arial"/>
          <w:spacing w:val="-2"/>
          <w:sz w:val="24"/>
          <w:szCs w:val="24"/>
        </w:rPr>
      </w:pPr>
      <w:r w:rsidRPr="004834CB">
        <w:rPr>
          <w:rFonts w:ascii="Arial Narrow" w:hAnsi="Arial Narrow" w:cs="Arial"/>
          <w:spacing w:val="-2"/>
          <w:sz w:val="24"/>
          <w:szCs w:val="24"/>
        </w:rPr>
        <w:t>Los elementos del inmovilizado material se reconocen por su precio de adquisición o coste de producción menos la amortización acumulada y el importe acumulado de las pérdidas reconocidas.</w:t>
      </w:r>
    </w:p>
    <w:p w14:paraId="0202C753" w14:textId="77777777" w:rsidR="00DD368E" w:rsidRPr="004834CB" w:rsidRDefault="00DD368E" w:rsidP="00AE4272">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El importe de los trabajos realizados por la empresa para su propio inmovilizado material se calcula sumando al precio de adquisición de las materias consumibles, los costes directos o indirectos imputables a dichos bienes.</w:t>
      </w:r>
    </w:p>
    <w:p w14:paraId="3FA55BAC"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45BAA8E2"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24EDB6F3"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Asimismo, forma parte del valor del inmovilizado material, la estimación inicial del valor actual de las obligaciones asumidas derivadas del desmantelamiento o retiro y otras asociadas al activo, tales como costes de rehabilitación, cuanto estas obligaciones dan lugar al registro de provisiones.</w:t>
      </w:r>
    </w:p>
    <w:p w14:paraId="4E9061BE"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 amortización del inmovilizado material, con excepción de los terrenos que no se amortizan,</w:t>
      </w:r>
      <w:r w:rsidR="00124F11" w:rsidRPr="004834CB">
        <w:rPr>
          <w:rFonts w:ascii="Arial Narrow" w:hAnsi="Arial Narrow" w:cs="Arial"/>
          <w:spacing w:val="-2"/>
          <w:sz w:val="24"/>
          <w:szCs w:val="24"/>
        </w:rPr>
        <w:t xml:space="preserve"> se realiza desde el momento en el que están disponibles para su puesta en funcionamiento. Se calculan </w:t>
      </w:r>
      <w:r w:rsidRPr="004834CB">
        <w:rPr>
          <w:rFonts w:ascii="Arial Narrow" w:hAnsi="Arial Narrow" w:cs="Arial"/>
          <w:spacing w:val="-2"/>
          <w:sz w:val="24"/>
          <w:szCs w:val="24"/>
        </w:rPr>
        <w:t>sistemáticamente por el método lineal en función de su vida útil estimada, atendiendo a la depreciación efectivamente sufrida por su funcionamiento, uso y disfrute. Las vidas útiles estimadas son:</w:t>
      </w:r>
    </w:p>
    <w:tbl>
      <w:tblPr>
        <w:tblW w:w="5300" w:type="dxa"/>
        <w:jc w:val="center"/>
        <w:tblCellMar>
          <w:left w:w="70" w:type="dxa"/>
          <w:right w:w="70" w:type="dxa"/>
        </w:tblCellMar>
        <w:tblLook w:val="04A0" w:firstRow="1" w:lastRow="0" w:firstColumn="1" w:lastColumn="0" w:noHBand="0" w:noVBand="1"/>
      </w:tblPr>
      <w:tblGrid>
        <w:gridCol w:w="3260"/>
        <w:gridCol w:w="2040"/>
      </w:tblGrid>
      <w:tr w:rsidR="00F56ADE" w:rsidRPr="004834CB" w14:paraId="5D4A4658" w14:textId="77777777" w:rsidTr="00FD02FE">
        <w:trPr>
          <w:trHeight w:val="340"/>
          <w:jc w:val="center"/>
        </w:trPr>
        <w:tc>
          <w:tcPr>
            <w:tcW w:w="3260" w:type="dxa"/>
            <w:tcBorders>
              <w:top w:val="nil"/>
              <w:left w:val="nil"/>
              <w:bottom w:val="nil"/>
              <w:right w:val="nil"/>
            </w:tcBorders>
            <w:shd w:val="clear" w:color="000000" w:fill="CCCCCC"/>
            <w:vAlign w:val="bottom"/>
            <w:hideMark/>
          </w:tcPr>
          <w:p w14:paraId="40A3AAFA" w14:textId="77777777" w:rsidR="00AD7825" w:rsidRPr="004834CB" w:rsidRDefault="00AD7825" w:rsidP="00AF0918">
            <w:pPr>
              <w:ind w:left="312"/>
              <w:jc w:val="center"/>
              <w:rPr>
                <w:rFonts w:ascii="Arial Narrow" w:hAnsi="Arial Narrow"/>
                <w:b/>
                <w:bCs/>
                <w:sz w:val="20"/>
                <w:lang w:eastAsia="es-ES"/>
              </w:rPr>
            </w:pPr>
            <w:r w:rsidRPr="004834CB">
              <w:rPr>
                <w:rFonts w:ascii="Arial Narrow" w:hAnsi="Arial Narrow"/>
                <w:b/>
                <w:bCs/>
                <w:sz w:val="20"/>
                <w:lang w:eastAsia="es-ES"/>
              </w:rPr>
              <w:t> </w:t>
            </w:r>
          </w:p>
        </w:tc>
        <w:tc>
          <w:tcPr>
            <w:tcW w:w="2040" w:type="dxa"/>
            <w:tcBorders>
              <w:top w:val="nil"/>
              <w:left w:val="nil"/>
              <w:bottom w:val="nil"/>
              <w:right w:val="nil"/>
            </w:tcBorders>
            <w:shd w:val="clear" w:color="000000" w:fill="CCCCCC"/>
            <w:vAlign w:val="center"/>
            <w:hideMark/>
          </w:tcPr>
          <w:p w14:paraId="61E3052C" w14:textId="77777777" w:rsidR="00AD7825" w:rsidRPr="004834CB" w:rsidRDefault="00AD7825" w:rsidP="00FD02FE">
            <w:pPr>
              <w:jc w:val="center"/>
              <w:rPr>
                <w:rFonts w:ascii="Arial Narrow" w:hAnsi="Arial Narrow"/>
                <w:b/>
                <w:bCs/>
                <w:sz w:val="20"/>
                <w:lang w:eastAsia="es-ES"/>
              </w:rPr>
            </w:pPr>
            <w:r w:rsidRPr="004834CB">
              <w:rPr>
                <w:rFonts w:ascii="Arial Narrow" w:hAnsi="Arial Narrow"/>
                <w:b/>
                <w:bCs/>
                <w:sz w:val="20"/>
                <w:lang w:eastAsia="es-ES"/>
              </w:rPr>
              <w:t>Años de vida útil</w:t>
            </w:r>
          </w:p>
        </w:tc>
      </w:tr>
      <w:tr w:rsidR="00F56ADE" w:rsidRPr="004834CB" w14:paraId="3FC11B40" w14:textId="77777777" w:rsidTr="00AD7825">
        <w:trPr>
          <w:trHeight w:val="272"/>
          <w:jc w:val="center"/>
        </w:trPr>
        <w:tc>
          <w:tcPr>
            <w:tcW w:w="3260" w:type="dxa"/>
            <w:tcBorders>
              <w:top w:val="nil"/>
              <w:left w:val="nil"/>
              <w:bottom w:val="nil"/>
              <w:right w:val="nil"/>
            </w:tcBorders>
            <w:shd w:val="clear" w:color="auto" w:fill="auto"/>
            <w:vAlign w:val="center"/>
            <w:hideMark/>
          </w:tcPr>
          <w:p w14:paraId="05798440"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Construcciones</w:t>
            </w:r>
          </w:p>
        </w:tc>
        <w:tc>
          <w:tcPr>
            <w:tcW w:w="2040" w:type="dxa"/>
            <w:tcBorders>
              <w:top w:val="nil"/>
              <w:left w:val="nil"/>
              <w:bottom w:val="nil"/>
              <w:right w:val="nil"/>
            </w:tcBorders>
            <w:shd w:val="clear" w:color="auto" w:fill="auto"/>
            <w:vAlign w:val="center"/>
            <w:hideMark/>
          </w:tcPr>
          <w:p w14:paraId="21D33C68" w14:textId="77777777" w:rsidR="00AD7825" w:rsidRPr="004834CB" w:rsidRDefault="00AD7825" w:rsidP="00AD7825">
            <w:pPr>
              <w:jc w:val="center"/>
              <w:rPr>
                <w:rFonts w:ascii="Arial Narrow" w:hAnsi="Arial Narrow"/>
                <w:sz w:val="20"/>
                <w:lang w:eastAsia="es-ES"/>
              </w:rPr>
            </w:pPr>
            <w:r w:rsidRPr="004834CB">
              <w:rPr>
                <w:rFonts w:ascii="Arial Narrow" w:hAnsi="Arial Narrow"/>
                <w:sz w:val="20"/>
                <w:lang w:eastAsia="es-ES"/>
              </w:rPr>
              <w:t>33-50</w:t>
            </w:r>
          </w:p>
        </w:tc>
      </w:tr>
      <w:tr w:rsidR="00F56ADE" w:rsidRPr="004834CB" w14:paraId="12CD4630" w14:textId="77777777" w:rsidTr="00AD7825">
        <w:trPr>
          <w:trHeight w:val="272"/>
          <w:jc w:val="center"/>
        </w:trPr>
        <w:tc>
          <w:tcPr>
            <w:tcW w:w="3260" w:type="dxa"/>
            <w:tcBorders>
              <w:top w:val="nil"/>
              <w:left w:val="nil"/>
              <w:bottom w:val="nil"/>
              <w:right w:val="nil"/>
            </w:tcBorders>
            <w:shd w:val="clear" w:color="auto" w:fill="auto"/>
            <w:vAlign w:val="center"/>
            <w:hideMark/>
          </w:tcPr>
          <w:p w14:paraId="6E3F4C4D"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Instalaciones técnicas y maquinaria</w:t>
            </w:r>
          </w:p>
        </w:tc>
        <w:tc>
          <w:tcPr>
            <w:tcW w:w="2040" w:type="dxa"/>
            <w:tcBorders>
              <w:top w:val="nil"/>
              <w:left w:val="nil"/>
              <w:bottom w:val="nil"/>
              <w:right w:val="nil"/>
            </w:tcBorders>
            <w:shd w:val="clear" w:color="auto" w:fill="auto"/>
            <w:vAlign w:val="center"/>
            <w:hideMark/>
          </w:tcPr>
          <w:p w14:paraId="0D5F0EF3" w14:textId="77777777" w:rsidR="00AD7825" w:rsidRPr="004834CB" w:rsidRDefault="00911772" w:rsidP="00AD7825">
            <w:pPr>
              <w:jc w:val="center"/>
              <w:rPr>
                <w:rFonts w:ascii="Arial Narrow" w:hAnsi="Arial Narrow"/>
                <w:sz w:val="20"/>
                <w:lang w:eastAsia="es-ES"/>
              </w:rPr>
            </w:pPr>
            <w:r w:rsidRPr="004834CB">
              <w:rPr>
                <w:rFonts w:ascii="Arial Narrow" w:hAnsi="Arial Narrow"/>
                <w:sz w:val="20"/>
                <w:lang w:eastAsia="es-ES"/>
              </w:rPr>
              <w:t>10-20</w:t>
            </w:r>
          </w:p>
        </w:tc>
      </w:tr>
      <w:tr w:rsidR="00F56ADE" w:rsidRPr="004834CB" w14:paraId="64061840" w14:textId="77777777" w:rsidTr="00AD7825">
        <w:trPr>
          <w:trHeight w:val="272"/>
          <w:jc w:val="center"/>
        </w:trPr>
        <w:tc>
          <w:tcPr>
            <w:tcW w:w="3260" w:type="dxa"/>
            <w:tcBorders>
              <w:top w:val="nil"/>
              <w:left w:val="nil"/>
              <w:bottom w:val="nil"/>
              <w:right w:val="nil"/>
            </w:tcBorders>
            <w:shd w:val="clear" w:color="auto" w:fill="auto"/>
            <w:vAlign w:val="center"/>
            <w:hideMark/>
          </w:tcPr>
          <w:p w14:paraId="680A64F8"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Mobiliario</w:t>
            </w:r>
          </w:p>
        </w:tc>
        <w:tc>
          <w:tcPr>
            <w:tcW w:w="2040" w:type="dxa"/>
            <w:tcBorders>
              <w:top w:val="nil"/>
              <w:left w:val="nil"/>
              <w:bottom w:val="nil"/>
              <w:right w:val="nil"/>
            </w:tcBorders>
            <w:shd w:val="clear" w:color="auto" w:fill="auto"/>
            <w:vAlign w:val="center"/>
            <w:hideMark/>
          </w:tcPr>
          <w:p w14:paraId="71D06D82" w14:textId="77777777" w:rsidR="00AD7825" w:rsidRPr="004834CB" w:rsidRDefault="00AD7825" w:rsidP="00AD7825">
            <w:pPr>
              <w:jc w:val="center"/>
              <w:rPr>
                <w:rFonts w:ascii="Arial Narrow" w:hAnsi="Arial Narrow"/>
                <w:sz w:val="20"/>
                <w:lang w:eastAsia="es-ES"/>
              </w:rPr>
            </w:pPr>
            <w:r w:rsidRPr="004834CB">
              <w:rPr>
                <w:rFonts w:ascii="Arial Narrow" w:hAnsi="Arial Narrow"/>
                <w:sz w:val="20"/>
                <w:lang w:eastAsia="es-ES"/>
              </w:rPr>
              <w:t>10</w:t>
            </w:r>
            <w:r w:rsidR="00911772" w:rsidRPr="004834CB">
              <w:rPr>
                <w:rFonts w:ascii="Arial Narrow" w:hAnsi="Arial Narrow"/>
                <w:sz w:val="20"/>
                <w:lang w:eastAsia="es-ES"/>
              </w:rPr>
              <w:t>-14</w:t>
            </w:r>
          </w:p>
        </w:tc>
      </w:tr>
      <w:tr w:rsidR="00F56ADE" w:rsidRPr="004834CB" w14:paraId="0DAC5FE0" w14:textId="77777777" w:rsidTr="00AD7825">
        <w:trPr>
          <w:trHeight w:val="272"/>
          <w:jc w:val="center"/>
        </w:trPr>
        <w:tc>
          <w:tcPr>
            <w:tcW w:w="3260" w:type="dxa"/>
            <w:tcBorders>
              <w:top w:val="nil"/>
              <w:left w:val="nil"/>
              <w:bottom w:val="nil"/>
              <w:right w:val="nil"/>
            </w:tcBorders>
            <w:shd w:val="clear" w:color="auto" w:fill="auto"/>
            <w:vAlign w:val="center"/>
            <w:hideMark/>
          </w:tcPr>
          <w:p w14:paraId="58DD2B30"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Equipos para proceso de información</w:t>
            </w:r>
          </w:p>
        </w:tc>
        <w:tc>
          <w:tcPr>
            <w:tcW w:w="2040" w:type="dxa"/>
            <w:tcBorders>
              <w:top w:val="nil"/>
              <w:left w:val="nil"/>
              <w:bottom w:val="nil"/>
              <w:right w:val="nil"/>
            </w:tcBorders>
            <w:shd w:val="clear" w:color="auto" w:fill="auto"/>
            <w:vAlign w:val="center"/>
            <w:hideMark/>
          </w:tcPr>
          <w:p w14:paraId="37CEA568" w14:textId="77777777" w:rsidR="00AD7825" w:rsidRPr="004834CB" w:rsidRDefault="00AD7825" w:rsidP="00AD7825">
            <w:pPr>
              <w:jc w:val="center"/>
              <w:rPr>
                <w:rFonts w:ascii="Arial Narrow" w:hAnsi="Arial Narrow"/>
                <w:sz w:val="20"/>
                <w:lang w:eastAsia="es-ES"/>
              </w:rPr>
            </w:pPr>
            <w:r w:rsidRPr="004834CB">
              <w:rPr>
                <w:rFonts w:ascii="Arial Narrow" w:hAnsi="Arial Narrow"/>
                <w:sz w:val="20"/>
                <w:lang w:eastAsia="es-ES"/>
              </w:rPr>
              <w:t>4</w:t>
            </w:r>
          </w:p>
        </w:tc>
      </w:tr>
      <w:tr w:rsidR="00F56ADE" w:rsidRPr="004834CB" w14:paraId="3C1934AE" w14:textId="77777777" w:rsidTr="00AD7825">
        <w:trPr>
          <w:trHeight w:val="272"/>
          <w:jc w:val="center"/>
        </w:trPr>
        <w:tc>
          <w:tcPr>
            <w:tcW w:w="3260" w:type="dxa"/>
            <w:tcBorders>
              <w:top w:val="nil"/>
              <w:left w:val="nil"/>
              <w:bottom w:val="nil"/>
              <w:right w:val="nil"/>
            </w:tcBorders>
            <w:shd w:val="clear" w:color="auto" w:fill="auto"/>
            <w:vAlign w:val="center"/>
            <w:hideMark/>
          </w:tcPr>
          <w:p w14:paraId="28E6C6BB"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Elementos de transporte</w:t>
            </w:r>
          </w:p>
        </w:tc>
        <w:tc>
          <w:tcPr>
            <w:tcW w:w="2040" w:type="dxa"/>
            <w:tcBorders>
              <w:top w:val="nil"/>
              <w:left w:val="nil"/>
              <w:bottom w:val="nil"/>
              <w:right w:val="nil"/>
            </w:tcBorders>
            <w:shd w:val="clear" w:color="auto" w:fill="auto"/>
            <w:vAlign w:val="center"/>
            <w:hideMark/>
          </w:tcPr>
          <w:p w14:paraId="3862A9CF" w14:textId="77777777" w:rsidR="00AD7825" w:rsidRPr="004834CB" w:rsidRDefault="00AD7825" w:rsidP="00AD7825">
            <w:pPr>
              <w:jc w:val="center"/>
              <w:rPr>
                <w:rFonts w:ascii="Arial Narrow" w:hAnsi="Arial Narrow"/>
                <w:sz w:val="20"/>
                <w:lang w:eastAsia="es-ES"/>
              </w:rPr>
            </w:pPr>
            <w:r w:rsidRPr="004834CB">
              <w:rPr>
                <w:rFonts w:ascii="Arial Narrow" w:hAnsi="Arial Narrow"/>
                <w:sz w:val="20"/>
                <w:lang w:eastAsia="es-ES"/>
              </w:rPr>
              <w:t>6</w:t>
            </w:r>
          </w:p>
        </w:tc>
      </w:tr>
      <w:tr w:rsidR="00F56ADE" w:rsidRPr="004834CB" w14:paraId="27F5263B" w14:textId="77777777" w:rsidTr="00AD7825">
        <w:trPr>
          <w:trHeight w:val="272"/>
          <w:jc w:val="center"/>
        </w:trPr>
        <w:tc>
          <w:tcPr>
            <w:tcW w:w="3260" w:type="dxa"/>
            <w:tcBorders>
              <w:top w:val="nil"/>
              <w:left w:val="nil"/>
              <w:bottom w:val="nil"/>
              <w:right w:val="nil"/>
            </w:tcBorders>
            <w:shd w:val="clear" w:color="auto" w:fill="auto"/>
            <w:vAlign w:val="center"/>
            <w:hideMark/>
          </w:tcPr>
          <w:p w14:paraId="2E06BFD1"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Utillaje</w:t>
            </w:r>
          </w:p>
        </w:tc>
        <w:tc>
          <w:tcPr>
            <w:tcW w:w="2040" w:type="dxa"/>
            <w:tcBorders>
              <w:top w:val="nil"/>
              <w:left w:val="nil"/>
              <w:bottom w:val="nil"/>
              <w:right w:val="nil"/>
            </w:tcBorders>
            <w:shd w:val="clear" w:color="auto" w:fill="auto"/>
            <w:vAlign w:val="center"/>
            <w:hideMark/>
          </w:tcPr>
          <w:p w14:paraId="53F98F23" w14:textId="77777777" w:rsidR="00AD7825" w:rsidRPr="004834CB" w:rsidRDefault="00911772" w:rsidP="00AD7825">
            <w:pPr>
              <w:jc w:val="center"/>
              <w:rPr>
                <w:rFonts w:ascii="Arial Narrow" w:hAnsi="Arial Narrow"/>
                <w:sz w:val="20"/>
                <w:lang w:eastAsia="es-ES"/>
              </w:rPr>
            </w:pPr>
            <w:r w:rsidRPr="004834CB">
              <w:rPr>
                <w:rFonts w:ascii="Arial Narrow" w:hAnsi="Arial Narrow"/>
                <w:sz w:val="20"/>
                <w:lang w:eastAsia="es-ES"/>
              </w:rPr>
              <w:t>4</w:t>
            </w:r>
          </w:p>
        </w:tc>
      </w:tr>
      <w:tr w:rsidR="00F56ADE" w:rsidRPr="004834CB" w14:paraId="5326ED8F" w14:textId="77777777" w:rsidTr="00AD7825">
        <w:trPr>
          <w:trHeight w:val="272"/>
          <w:jc w:val="center"/>
        </w:trPr>
        <w:tc>
          <w:tcPr>
            <w:tcW w:w="3260" w:type="dxa"/>
            <w:tcBorders>
              <w:top w:val="nil"/>
              <w:left w:val="nil"/>
              <w:bottom w:val="nil"/>
              <w:right w:val="nil"/>
            </w:tcBorders>
            <w:shd w:val="clear" w:color="auto" w:fill="auto"/>
            <w:vAlign w:val="center"/>
            <w:hideMark/>
          </w:tcPr>
          <w:p w14:paraId="02C86A39" w14:textId="77777777" w:rsidR="00AD7825" w:rsidRPr="004834CB" w:rsidRDefault="00AD7825" w:rsidP="00AF0918">
            <w:pPr>
              <w:ind w:left="312"/>
              <w:rPr>
                <w:rFonts w:ascii="Arial Narrow" w:hAnsi="Arial Narrow"/>
                <w:sz w:val="20"/>
                <w:lang w:eastAsia="es-ES"/>
              </w:rPr>
            </w:pPr>
            <w:r w:rsidRPr="004834CB">
              <w:rPr>
                <w:rFonts w:ascii="Arial Narrow" w:hAnsi="Arial Narrow"/>
                <w:sz w:val="20"/>
                <w:lang w:eastAsia="es-ES"/>
              </w:rPr>
              <w:t>Otro inmovilizado</w:t>
            </w:r>
          </w:p>
        </w:tc>
        <w:tc>
          <w:tcPr>
            <w:tcW w:w="2040" w:type="dxa"/>
            <w:tcBorders>
              <w:top w:val="nil"/>
              <w:left w:val="nil"/>
              <w:bottom w:val="nil"/>
              <w:right w:val="nil"/>
            </w:tcBorders>
            <w:shd w:val="clear" w:color="auto" w:fill="auto"/>
            <w:vAlign w:val="center"/>
            <w:hideMark/>
          </w:tcPr>
          <w:p w14:paraId="5D9FB671" w14:textId="77777777" w:rsidR="00AD7825" w:rsidRPr="004834CB" w:rsidRDefault="00AD7825" w:rsidP="00AD7825">
            <w:pPr>
              <w:jc w:val="center"/>
              <w:rPr>
                <w:rFonts w:ascii="Arial Narrow" w:hAnsi="Arial Narrow"/>
                <w:sz w:val="20"/>
                <w:lang w:eastAsia="es-ES"/>
              </w:rPr>
            </w:pPr>
            <w:r w:rsidRPr="004834CB">
              <w:rPr>
                <w:rFonts w:ascii="Arial Narrow" w:hAnsi="Arial Narrow"/>
                <w:sz w:val="20"/>
                <w:lang w:eastAsia="es-ES"/>
              </w:rPr>
              <w:t>10</w:t>
            </w:r>
          </w:p>
        </w:tc>
      </w:tr>
      <w:tr w:rsidR="00F56ADE" w:rsidRPr="004834CB" w14:paraId="3C36BC89" w14:textId="77777777" w:rsidTr="00AD7825">
        <w:trPr>
          <w:trHeight w:val="272"/>
          <w:jc w:val="center"/>
        </w:trPr>
        <w:tc>
          <w:tcPr>
            <w:tcW w:w="3260" w:type="dxa"/>
            <w:tcBorders>
              <w:top w:val="nil"/>
              <w:left w:val="nil"/>
              <w:bottom w:val="nil"/>
              <w:right w:val="nil"/>
            </w:tcBorders>
            <w:shd w:val="clear" w:color="000000" w:fill="F2F2F2"/>
            <w:noWrap/>
            <w:vAlign w:val="center"/>
            <w:hideMark/>
          </w:tcPr>
          <w:p w14:paraId="177475FF" w14:textId="77777777" w:rsidR="00AD7825" w:rsidRPr="004834CB" w:rsidRDefault="00AD7825" w:rsidP="00AF0918">
            <w:pPr>
              <w:ind w:left="312"/>
              <w:rPr>
                <w:rFonts w:ascii="Arial Narrow" w:hAnsi="Arial Narrow"/>
                <w:sz w:val="20"/>
                <w:lang w:eastAsia="es-ES"/>
              </w:rPr>
            </w:pPr>
          </w:p>
        </w:tc>
        <w:tc>
          <w:tcPr>
            <w:tcW w:w="2040" w:type="dxa"/>
            <w:tcBorders>
              <w:top w:val="nil"/>
              <w:left w:val="nil"/>
              <w:bottom w:val="nil"/>
              <w:right w:val="nil"/>
            </w:tcBorders>
            <w:shd w:val="clear" w:color="000000" w:fill="F2F2F2"/>
            <w:noWrap/>
            <w:vAlign w:val="center"/>
            <w:hideMark/>
          </w:tcPr>
          <w:p w14:paraId="69DF7274" w14:textId="77777777" w:rsidR="00AD7825" w:rsidRPr="004834CB" w:rsidRDefault="00AD7825" w:rsidP="00AD7825">
            <w:pPr>
              <w:jc w:val="center"/>
              <w:rPr>
                <w:rFonts w:ascii="Arial Narrow" w:hAnsi="Arial Narrow"/>
                <w:sz w:val="20"/>
                <w:lang w:eastAsia="es-ES"/>
              </w:rPr>
            </w:pPr>
          </w:p>
        </w:tc>
      </w:tr>
    </w:tbl>
    <w:p w14:paraId="1AEB98EE"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El valor residual y la vida útil de los activos se revisa, ajustándose si fuese necesario, en la fecha de cada balance.</w:t>
      </w:r>
    </w:p>
    <w:p w14:paraId="5B56AF09" w14:textId="77777777" w:rsidR="00DD368E" w:rsidRDefault="00DD368E" w:rsidP="00515602">
      <w:pPr>
        <w:spacing w:before="120"/>
        <w:jc w:val="both"/>
        <w:rPr>
          <w:rFonts w:ascii="Arial Narrow" w:hAnsi="Arial Narrow" w:cs="Arial"/>
          <w:spacing w:val="-2"/>
          <w:sz w:val="24"/>
          <w:szCs w:val="24"/>
        </w:rPr>
      </w:pPr>
      <w:r w:rsidRPr="004834CB">
        <w:rPr>
          <w:rFonts w:ascii="Arial Narrow" w:hAnsi="Arial Narrow" w:cs="Arial"/>
          <w:spacing w:val="-2"/>
          <w:sz w:val="24"/>
          <w:szCs w:val="24"/>
        </w:rPr>
        <w:t>Las pérdidas y ganancias por la venta de inmovilizado material se calculan comparando los ingresos obtenidos por la venta con el valor</w:t>
      </w:r>
      <w:r w:rsidR="003B2EEB" w:rsidRPr="004834CB">
        <w:rPr>
          <w:rFonts w:ascii="Arial Narrow" w:hAnsi="Arial Narrow" w:cs="Arial"/>
          <w:spacing w:val="-2"/>
          <w:sz w:val="24"/>
          <w:szCs w:val="24"/>
        </w:rPr>
        <w:t xml:space="preserve"> neto</w:t>
      </w:r>
      <w:r w:rsidRPr="004834CB">
        <w:rPr>
          <w:rFonts w:ascii="Arial Narrow" w:hAnsi="Arial Narrow" w:cs="Arial"/>
          <w:spacing w:val="-2"/>
          <w:sz w:val="24"/>
          <w:szCs w:val="24"/>
        </w:rPr>
        <w:t xml:space="preserve"> contable y se registran en la cuenta de pérdidas y ganancias.</w:t>
      </w:r>
    </w:p>
    <w:p w14:paraId="2785DE89" w14:textId="77777777" w:rsidR="003A464B" w:rsidRDefault="003A464B" w:rsidP="00515602">
      <w:pPr>
        <w:spacing w:before="120"/>
        <w:jc w:val="both"/>
        <w:rPr>
          <w:rFonts w:ascii="Arial Narrow" w:hAnsi="Arial Narrow" w:cs="Arial"/>
          <w:spacing w:val="-2"/>
          <w:sz w:val="24"/>
          <w:szCs w:val="24"/>
        </w:rPr>
      </w:pPr>
    </w:p>
    <w:p w14:paraId="55B707AF" w14:textId="77777777" w:rsidR="003A464B" w:rsidRPr="00C4144E" w:rsidRDefault="003A464B" w:rsidP="003A464B">
      <w:pPr>
        <w:spacing w:before="120"/>
        <w:jc w:val="both"/>
        <w:rPr>
          <w:rFonts w:ascii="Arial Narrow" w:hAnsi="Arial Narrow" w:cs="Arial"/>
          <w:spacing w:val="-2"/>
          <w:sz w:val="24"/>
          <w:szCs w:val="24"/>
        </w:rPr>
      </w:pPr>
      <w:r w:rsidRPr="00C4144E">
        <w:rPr>
          <w:rFonts w:ascii="Arial Narrow" w:hAnsi="Arial Narrow" w:cs="Arial"/>
          <w:spacing w:val="-2"/>
          <w:sz w:val="24"/>
          <w:szCs w:val="24"/>
        </w:rPr>
        <w:t>Sí es aplicable la activación de grandes reparaciones y costes de retiro y rehabilitación.</w:t>
      </w:r>
    </w:p>
    <w:p w14:paraId="69AE9D36" w14:textId="77777777" w:rsidR="003A464B" w:rsidRPr="00C4144E" w:rsidRDefault="003A464B" w:rsidP="003A464B">
      <w:pPr>
        <w:spacing w:before="120"/>
        <w:jc w:val="both"/>
        <w:rPr>
          <w:rFonts w:ascii="Arial Narrow" w:hAnsi="Arial Narrow" w:cs="Arial"/>
          <w:spacing w:val="-2"/>
          <w:sz w:val="24"/>
          <w:szCs w:val="24"/>
        </w:rPr>
      </w:pPr>
      <w:r w:rsidRPr="00C4144E">
        <w:rPr>
          <w:rFonts w:ascii="Arial Narrow" w:hAnsi="Arial Narrow" w:cs="Arial"/>
          <w:spacing w:val="-2"/>
          <w:sz w:val="24"/>
          <w:szCs w:val="24"/>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14:paraId="6AD21C3F" w14:textId="77777777" w:rsidR="003A464B" w:rsidRPr="00C4144E" w:rsidRDefault="003A464B" w:rsidP="003A464B">
      <w:pPr>
        <w:spacing w:before="120"/>
        <w:jc w:val="both"/>
        <w:rPr>
          <w:rFonts w:ascii="Arial Narrow" w:hAnsi="Arial Narrow" w:cs="Arial"/>
          <w:spacing w:val="-2"/>
          <w:sz w:val="24"/>
          <w:szCs w:val="24"/>
        </w:rPr>
      </w:pPr>
    </w:p>
    <w:p w14:paraId="199291DA" w14:textId="77777777" w:rsidR="003A464B" w:rsidRPr="00C4144E" w:rsidRDefault="003A464B" w:rsidP="003A464B">
      <w:pPr>
        <w:spacing w:before="120"/>
        <w:jc w:val="both"/>
        <w:rPr>
          <w:rFonts w:ascii="Arial Narrow" w:hAnsi="Arial Narrow" w:cs="Arial"/>
          <w:spacing w:val="-2"/>
          <w:sz w:val="24"/>
          <w:szCs w:val="24"/>
        </w:rPr>
      </w:pPr>
      <w:r w:rsidRPr="00C4144E">
        <w:rPr>
          <w:rFonts w:ascii="Arial Narrow" w:hAnsi="Arial Narrow" w:cs="Arial"/>
          <w:spacing w:val="-2"/>
          <w:sz w:val="24"/>
          <w:szCs w:val="24"/>
        </w:rPr>
        <w:t>-</w:t>
      </w:r>
      <w:r w:rsidRPr="00C4144E">
        <w:rPr>
          <w:rFonts w:ascii="Arial Narrow" w:hAnsi="Arial Narrow" w:cs="Arial"/>
          <w:spacing w:val="-2"/>
          <w:sz w:val="24"/>
          <w:szCs w:val="24"/>
        </w:rPr>
        <w:tab/>
        <w:t xml:space="preserve">Un cambio en el calendario o en el importe de los flujos de efectivo estimados para cancelar la obligación asociada al desmantelamiento o la rehabilitación. </w:t>
      </w:r>
    </w:p>
    <w:p w14:paraId="26F22081" w14:textId="77777777" w:rsidR="003A464B" w:rsidRPr="00C4144E" w:rsidRDefault="003A464B" w:rsidP="003A464B">
      <w:pPr>
        <w:spacing w:before="120"/>
        <w:jc w:val="both"/>
        <w:rPr>
          <w:rFonts w:ascii="Arial Narrow" w:hAnsi="Arial Narrow" w:cs="Arial"/>
          <w:spacing w:val="-2"/>
          <w:sz w:val="24"/>
          <w:szCs w:val="24"/>
        </w:rPr>
      </w:pPr>
      <w:r w:rsidRPr="00C4144E">
        <w:rPr>
          <w:rFonts w:ascii="Arial Narrow" w:hAnsi="Arial Narrow" w:cs="Arial"/>
          <w:spacing w:val="-2"/>
          <w:sz w:val="24"/>
          <w:szCs w:val="24"/>
        </w:rPr>
        <w:t>-</w:t>
      </w:r>
      <w:r w:rsidRPr="00C4144E">
        <w:rPr>
          <w:rFonts w:ascii="Arial Narrow" w:hAnsi="Arial Narrow" w:cs="Arial"/>
          <w:spacing w:val="-2"/>
          <w:sz w:val="24"/>
          <w:szCs w:val="24"/>
        </w:rPr>
        <w:tab/>
        <w:t xml:space="preserve">El tipo de descuento empleado por la Sociedad para la determinación del valor actual de la provisión que, en principio, es el tipo de interés libre de riesgo, salvo que al estimar los flujos de efectivo no se hubiera tenido en cuenta el riesgo asociado al cumplimiento de la obligación. </w:t>
      </w:r>
    </w:p>
    <w:p w14:paraId="31D5B334" w14:textId="77777777" w:rsidR="003A464B" w:rsidRPr="00C4144E" w:rsidRDefault="003A464B" w:rsidP="003A464B">
      <w:pPr>
        <w:spacing w:before="120"/>
        <w:jc w:val="both"/>
        <w:rPr>
          <w:rFonts w:ascii="Arial Narrow" w:hAnsi="Arial Narrow" w:cs="Arial"/>
          <w:spacing w:val="-2"/>
          <w:sz w:val="24"/>
          <w:szCs w:val="24"/>
        </w:rPr>
      </w:pPr>
      <w:r w:rsidRPr="00C4144E">
        <w:rPr>
          <w:rFonts w:ascii="Arial Narrow" w:hAnsi="Arial Narrow" w:cs="Arial"/>
          <w:spacing w:val="-2"/>
          <w:sz w:val="24"/>
          <w:szCs w:val="24"/>
        </w:rPr>
        <w:t>El Consejo de Administración de la Sociedad consideran que el valor contable de los activos no supera el valor recuperable de los mismos</w:t>
      </w:r>
    </w:p>
    <w:p w14:paraId="6E48B086" w14:textId="77777777" w:rsidR="003A464B" w:rsidRPr="00C4144E" w:rsidRDefault="003A464B" w:rsidP="003A464B">
      <w:pPr>
        <w:spacing w:before="120"/>
        <w:jc w:val="both"/>
        <w:rPr>
          <w:rFonts w:ascii="Arial Narrow" w:hAnsi="Arial Narrow" w:cs="Arial"/>
          <w:spacing w:val="-2"/>
          <w:sz w:val="24"/>
          <w:szCs w:val="24"/>
        </w:rPr>
      </w:pPr>
      <w:r w:rsidRPr="00C4144E">
        <w:rPr>
          <w:rFonts w:ascii="Arial Narrow" w:hAnsi="Arial Narrow" w:cs="Arial"/>
          <w:spacing w:val="-2"/>
          <w:sz w:val="24"/>
          <w:szCs w:val="24"/>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14:paraId="75A8EE53" w14:textId="77777777" w:rsidR="003A464B" w:rsidRPr="00C4144E" w:rsidRDefault="003A464B" w:rsidP="00515602">
      <w:pPr>
        <w:spacing w:before="120"/>
        <w:jc w:val="both"/>
        <w:rPr>
          <w:rFonts w:ascii="Arial Narrow" w:hAnsi="Arial Narrow" w:cs="Arial"/>
          <w:spacing w:val="-2"/>
          <w:sz w:val="24"/>
          <w:szCs w:val="24"/>
        </w:rPr>
      </w:pPr>
      <w:r w:rsidRPr="00C4144E">
        <w:rPr>
          <w:rFonts w:ascii="Arial Narrow" w:hAnsi="Arial Narrow" w:cs="Arial"/>
          <w:spacing w:val="-2"/>
          <w:sz w:val="24"/>
          <w:szCs w:val="24"/>
        </w:rPr>
        <w:t xml:space="preserve">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w:t>
      </w:r>
    </w:p>
    <w:p w14:paraId="6CCBEAD9" w14:textId="77777777" w:rsidR="003A464B" w:rsidRPr="00C4144E" w:rsidRDefault="003A464B" w:rsidP="00515602">
      <w:pPr>
        <w:spacing w:before="120"/>
        <w:jc w:val="both"/>
        <w:rPr>
          <w:rFonts w:ascii="Arial Narrow" w:hAnsi="Arial Narrow" w:cs="Arial"/>
          <w:spacing w:val="-2"/>
          <w:sz w:val="24"/>
          <w:szCs w:val="24"/>
        </w:rPr>
      </w:pPr>
    </w:p>
    <w:p w14:paraId="65FD7B0B" w14:textId="77777777" w:rsidR="003A464B" w:rsidRPr="00C4144E" w:rsidRDefault="003A464B" w:rsidP="003A464B">
      <w:pPr>
        <w:pStyle w:val="Textoindependiente"/>
        <w:contextualSpacing/>
        <w:rPr>
          <w:rFonts w:ascii="Arial Narrow" w:hAnsi="Arial Narrow" w:cs="Arial"/>
          <w:i w:val="0"/>
          <w:snapToGrid/>
          <w:color w:val="auto"/>
          <w:spacing w:val="-2"/>
          <w:sz w:val="24"/>
          <w:szCs w:val="24"/>
          <w:lang w:eastAsia="en-US"/>
        </w:rPr>
      </w:pPr>
      <w:r w:rsidRPr="00C4144E">
        <w:rPr>
          <w:rFonts w:ascii="Arial Narrow" w:hAnsi="Arial Narrow" w:cs="Arial"/>
          <w:i w:val="0"/>
          <w:snapToGrid/>
          <w:color w:val="auto"/>
          <w:spacing w:val="-2"/>
          <w:sz w:val="24"/>
          <w:szCs w:val="24"/>
          <w:lang w:eastAsia="en-US"/>
        </w:rPr>
        <w:t>En el ejercicio 2019 la Sociedad no ha registrado pérdidas por deterioro de los inmovilizados materiales.</w:t>
      </w:r>
    </w:p>
    <w:p w14:paraId="174CE94F" w14:textId="77777777" w:rsidR="00DD368E" w:rsidRPr="004834CB" w:rsidRDefault="00DD368E" w:rsidP="009C5E01">
      <w:pPr>
        <w:pStyle w:val="TextePrinc"/>
        <w:keepNext/>
        <w:keepLines/>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Inversiones inmobiliarias</w:t>
      </w:r>
    </w:p>
    <w:p w14:paraId="7C9F3038" w14:textId="77777777" w:rsidR="00DD368E" w:rsidRPr="004834CB" w:rsidRDefault="00A32588" w:rsidP="00BC29DE">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 xml:space="preserve">La Sociedad clasifica como </w:t>
      </w:r>
      <w:r w:rsidR="00DD368E" w:rsidRPr="004834CB">
        <w:rPr>
          <w:rFonts w:ascii="Arial Narrow" w:hAnsi="Arial Narrow" w:cs="Arial"/>
          <w:spacing w:val="-2"/>
          <w:sz w:val="24"/>
          <w:szCs w:val="24"/>
        </w:rPr>
        <w:t xml:space="preserve">inversiones inmobiliarias </w:t>
      </w:r>
      <w:r w:rsidRPr="004834CB">
        <w:rPr>
          <w:rFonts w:ascii="Arial Narrow" w:hAnsi="Arial Narrow" w:cs="Arial"/>
          <w:spacing w:val="-2"/>
          <w:sz w:val="24"/>
          <w:szCs w:val="24"/>
        </w:rPr>
        <w:t>aquellos activos no corrientes que sean inmuebles (</w:t>
      </w:r>
      <w:r w:rsidR="00DD368E" w:rsidRPr="004834CB">
        <w:rPr>
          <w:rFonts w:ascii="Arial Narrow" w:hAnsi="Arial Narrow" w:cs="Arial"/>
          <w:spacing w:val="-2"/>
          <w:sz w:val="24"/>
          <w:szCs w:val="24"/>
        </w:rPr>
        <w:t>edificios de oficinas en propiedad</w:t>
      </w:r>
      <w:r w:rsidRPr="004834CB">
        <w:rPr>
          <w:rFonts w:ascii="Arial Narrow" w:hAnsi="Arial Narrow" w:cs="Arial"/>
          <w:spacing w:val="-2"/>
          <w:sz w:val="24"/>
          <w:szCs w:val="24"/>
        </w:rPr>
        <w:t>) y</w:t>
      </w:r>
      <w:r w:rsidR="00DD368E" w:rsidRPr="004834CB">
        <w:rPr>
          <w:rFonts w:ascii="Arial Narrow" w:hAnsi="Arial Narrow" w:cs="Arial"/>
          <w:spacing w:val="-2"/>
          <w:sz w:val="24"/>
          <w:szCs w:val="24"/>
        </w:rPr>
        <w:t xml:space="preserve"> que se mantienen para la obtención de rentas a largo plazo y no están ocupadas por la Sociedad.</w:t>
      </w:r>
    </w:p>
    <w:p w14:paraId="0209E137"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elementos incluidos en este epígrafe se presentan valorados por su coste de adquisición menos su correspondiente amortización acumulada y las pérdidas por deterioro que hayan experimentado.</w:t>
      </w:r>
    </w:p>
    <w:p w14:paraId="50119AAD" w14:textId="77777777" w:rsidR="004334F6" w:rsidRPr="00C4144E" w:rsidRDefault="004334F6" w:rsidP="004334F6">
      <w:pPr>
        <w:spacing w:before="120" w:after="120"/>
        <w:jc w:val="both"/>
        <w:rPr>
          <w:rFonts w:ascii="Arial Narrow" w:hAnsi="Arial Narrow" w:cs="Arial"/>
          <w:spacing w:val="-2"/>
          <w:sz w:val="24"/>
          <w:szCs w:val="24"/>
        </w:rPr>
      </w:pPr>
      <w:r w:rsidRPr="00C4144E">
        <w:rPr>
          <w:rFonts w:ascii="Arial Narrow" w:hAnsi="Arial Narrow" w:cs="Arial"/>
          <w:spacing w:val="-2"/>
          <w:sz w:val="24"/>
          <w:szCs w:val="24"/>
        </w:rPr>
        <w:t>Para la valoración de las inversiones inmobiliarias se utiliza los criterios del inmovilizado material para los terrenos y construcciones, siendo los siguientes:</w:t>
      </w:r>
    </w:p>
    <w:p w14:paraId="4E67B252" w14:textId="77777777" w:rsidR="004334F6" w:rsidRPr="00C4144E" w:rsidRDefault="004334F6" w:rsidP="004334F6">
      <w:pPr>
        <w:spacing w:before="120" w:after="120"/>
        <w:jc w:val="both"/>
        <w:rPr>
          <w:rFonts w:ascii="Arial Narrow" w:hAnsi="Arial Narrow" w:cs="Arial"/>
          <w:spacing w:val="-2"/>
          <w:sz w:val="24"/>
          <w:szCs w:val="24"/>
        </w:rPr>
      </w:pPr>
      <w:r w:rsidRPr="00C4144E">
        <w:rPr>
          <w:rFonts w:ascii="Arial Narrow" w:hAnsi="Arial Narrow" w:cs="Arial"/>
          <w:spacing w:val="-2"/>
          <w:sz w:val="24"/>
          <w:szCs w:val="24"/>
        </w:rPr>
        <w:t>-</w:t>
      </w:r>
      <w:r w:rsidRPr="00C4144E">
        <w:rPr>
          <w:rFonts w:ascii="Arial Narrow" w:hAnsi="Arial Narrow" w:cs="Arial"/>
          <w:spacing w:val="-2"/>
          <w:sz w:val="24"/>
          <w:szCs w:val="24"/>
        </w:rPr>
        <w:tab/>
        <w:t>Los solares sin edificar se valoran por su precio de adquisición más los gastos de acondicionamiento, como cierres, movimiento de tierras, obras de saneamiento y drenaje, los de derribo de construcciones cuando sea necesario para poder efectuar obras de nueva planta, los gastos de inspección y levantamiento de planos cuando se efectúan con carácter previo a su adquisición, así como, la estimación inicial del valor actual de las obligaciones presentes derivadas de los costes de rehabilitación del solar.</w:t>
      </w:r>
    </w:p>
    <w:p w14:paraId="1989B584" w14:textId="77777777" w:rsidR="00242CD2" w:rsidRDefault="004334F6" w:rsidP="00242CD2">
      <w:pPr>
        <w:spacing w:before="120" w:after="120"/>
        <w:jc w:val="both"/>
        <w:rPr>
          <w:rFonts w:ascii="Arial Narrow" w:hAnsi="Arial Narrow" w:cs="Arial"/>
          <w:spacing w:val="-2"/>
          <w:sz w:val="24"/>
          <w:szCs w:val="24"/>
        </w:rPr>
      </w:pPr>
      <w:r w:rsidRPr="00C4144E">
        <w:rPr>
          <w:rFonts w:ascii="Arial Narrow" w:hAnsi="Arial Narrow" w:cs="Arial"/>
          <w:spacing w:val="-2"/>
          <w:sz w:val="24"/>
          <w:szCs w:val="24"/>
        </w:rPr>
        <w:t>-</w:t>
      </w:r>
      <w:r w:rsidRPr="00C4144E">
        <w:rPr>
          <w:rFonts w:ascii="Arial Narrow" w:hAnsi="Arial Narrow" w:cs="Arial"/>
          <w:spacing w:val="-2"/>
          <w:sz w:val="24"/>
          <w:szCs w:val="24"/>
        </w:rPr>
        <w:tab/>
        <w:t>Las construcciones se valoran por su precio de adquisición o coste de producción incluidas aquellas instalaciones y elementos que tienen carácter de permanencia, por las tasas inherentes a la construcción y los honorarios facultativos de proyecto y dirección de obra.</w:t>
      </w:r>
    </w:p>
    <w:p w14:paraId="0F0BBD6A" w14:textId="77777777" w:rsidR="00242CD2" w:rsidRDefault="00DD368E" w:rsidP="00242CD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Para el cálculo de la amortización de las inversiones inmobiliarias se utiliza el método lineal en función de los años de vida útil estimados para los mismos que es de 50 años.</w:t>
      </w:r>
    </w:p>
    <w:p w14:paraId="0D707225" w14:textId="506E36E4" w:rsidR="00DD368E" w:rsidRPr="004834CB" w:rsidRDefault="00345DE7" w:rsidP="00242CD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w:t>
      </w:r>
      <w:r w:rsidR="00DD368E" w:rsidRPr="004834CB">
        <w:rPr>
          <w:rFonts w:ascii="Arial Narrow" w:hAnsi="Arial Narrow" w:cs="Arial"/>
          <w:spacing w:val="-2"/>
          <w:sz w:val="24"/>
          <w:szCs w:val="24"/>
        </w:rPr>
        <w:t>os gastos financieros directamente atribuibles a la adquisición o construcción de elementos del inmovilizado que necesiten un período de tiempo superior a un año para estar en condiciones de uso se incorporan a su coste hasta que se encuentran en condiciones de funcionamiento.</w:t>
      </w:r>
    </w:p>
    <w:p w14:paraId="2DD7A912" w14:textId="77777777" w:rsidR="00DD368E" w:rsidRPr="004834CB" w:rsidRDefault="00DD368E" w:rsidP="00242CD2">
      <w:pPr>
        <w:keepNext/>
        <w:keepLines/>
        <w:spacing w:before="120" w:after="120"/>
        <w:jc w:val="both"/>
        <w:rPr>
          <w:rFonts w:ascii="Arial Narrow" w:hAnsi="Arial Narrow" w:cs="Arial"/>
          <w:spacing w:val="-2"/>
          <w:sz w:val="24"/>
          <w:szCs w:val="24"/>
          <w:u w:val="single"/>
        </w:rPr>
      </w:pPr>
      <w:r w:rsidRPr="004834CB">
        <w:rPr>
          <w:rFonts w:ascii="Arial Narrow" w:hAnsi="Arial Narrow" w:cs="Arial"/>
          <w:spacing w:val="-2"/>
          <w:sz w:val="24"/>
          <w:szCs w:val="24"/>
          <w:u w:val="single"/>
        </w:rPr>
        <w:t>Pérdidas por deterioro del valor de los activos no financieros</w:t>
      </w:r>
    </w:p>
    <w:p w14:paraId="457DD0C9" w14:textId="77777777" w:rsidR="00DD368E" w:rsidRDefault="00DD368E" w:rsidP="00242CD2">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activos sujetos a amortización se someten a pruebas de pérdidas por deterioro siempre que algún suceso o cambio en las circunstancias</w:t>
      </w:r>
      <w:r w:rsidR="006C6021" w:rsidRPr="004834CB">
        <w:rPr>
          <w:rFonts w:ascii="Arial Narrow" w:hAnsi="Arial Narrow" w:cs="Arial"/>
          <w:spacing w:val="-2"/>
          <w:sz w:val="24"/>
          <w:szCs w:val="24"/>
        </w:rPr>
        <w:t xml:space="preserve"> que</w:t>
      </w:r>
      <w:r w:rsidRPr="004834CB">
        <w:rPr>
          <w:rFonts w:ascii="Arial Narrow" w:hAnsi="Arial Narrow" w:cs="Arial"/>
          <w:spacing w:val="-2"/>
          <w:sz w:val="24"/>
          <w:szCs w:val="24"/>
        </w:rPr>
        <w:t xml:space="preserve"> indique que el valor contable puede no ser recuperable. Se reconoce una pérdida por deterioro por el exceso del valor contable del activo sobre su importe recuperable, entendido éste como el valor razonable del activo menos los costes de venta o el valor en uso, el mayor de los dos. A efectos de evaluar las pérdidas por deterioro del valor, los activos se agrupan al nivel más bajo para el que hay flujos de efectivo identificables por separado (unidades generadoras de efectivo).</w:t>
      </w:r>
      <w:r w:rsidR="00881B28" w:rsidRPr="004834CB">
        <w:rPr>
          <w:rFonts w:ascii="Arial Narrow" w:hAnsi="Arial Narrow" w:cs="Arial"/>
          <w:spacing w:val="-2"/>
          <w:sz w:val="24"/>
          <w:szCs w:val="24"/>
        </w:rPr>
        <w:t xml:space="preserve"> </w:t>
      </w:r>
      <w:r w:rsidRPr="004834CB">
        <w:rPr>
          <w:rFonts w:ascii="Arial Narrow" w:hAnsi="Arial Narrow" w:cs="Arial"/>
          <w:spacing w:val="-2"/>
          <w:sz w:val="24"/>
          <w:szCs w:val="24"/>
        </w:rPr>
        <w:t>Los activos no financieros que hubieran sufrido una pérdida por deterioro se someten a revisiones a cada fecha de balance por si se hubieran producido reversiones de la pérdida.</w:t>
      </w:r>
    </w:p>
    <w:p w14:paraId="7BA4C098" w14:textId="77777777" w:rsidR="00A32588" w:rsidRPr="004834CB" w:rsidRDefault="00A32588" w:rsidP="009C5E01">
      <w:pPr>
        <w:pStyle w:val="TextePrinc"/>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Arrendamientos</w:t>
      </w:r>
    </w:p>
    <w:p w14:paraId="7A7D724A" w14:textId="77777777" w:rsidR="00A32588" w:rsidRPr="004834CB" w:rsidRDefault="00A32588" w:rsidP="009C5E01">
      <w:pPr>
        <w:pStyle w:val="TextePrinc"/>
        <w:numPr>
          <w:ilvl w:val="0"/>
          <w:numId w:val="8"/>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0" w:firstLine="0"/>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Cuando la Sociedad es el arrendatario -  Arrendamiento operativo</w:t>
      </w:r>
    </w:p>
    <w:p w14:paraId="39967074" w14:textId="77777777" w:rsidR="00A32588" w:rsidRPr="004834CB" w:rsidRDefault="00A32588" w:rsidP="00A32588">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arrendamientos en los que el arrendador conserva una parte importante de los riesgos y beneficios derivados de la titularidad se clasifican como arrendamientos operativos. Los pagos en concepto de arrendamiento operativo se cargan en la cuenta de pérdidas y ganancias del ejercicio en que se devengan sobre una base lineal durante el periodo de arrendamiento.</w:t>
      </w:r>
    </w:p>
    <w:p w14:paraId="5B64D773" w14:textId="77777777" w:rsidR="00A32588" w:rsidRPr="004834CB" w:rsidRDefault="00A32588" w:rsidP="009C5E01">
      <w:pPr>
        <w:pStyle w:val="TextePrinc"/>
        <w:numPr>
          <w:ilvl w:val="0"/>
          <w:numId w:val="8"/>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0" w:firstLine="0"/>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Cuando la Sociedad es el arrendador</w:t>
      </w:r>
    </w:p>
    <w:p w14:paraId="46AA314A" w14:textId="77777777" w:rsidR="00A32588" w:rsidRPr="004834CB" w:rsidRDefault="00A32588" w:rsidP="00A32588">
      <w:pPr>
        <w:spacing w:before="120"/>
        <w:jc w:val="both"/>
        <w:rPr>
          <w:rFonts w:ascii="Arial Narrow" w:hAnsi="Arial Narrow" w:cs="Arial"/>
          <w:spacing w:val="-2"/>
          <w:sz w:val="24"/>
          <w:szCs w:val="24"/>
        </w:rPr>
      </w:pPr>
      <w:r w:rsidRPr="004834CB">
        <w:rPr>
          <w:rFonts w:ascii="Arial Narrow" w:hAnsi="Arial Narrow" w:cs="Arial"/>
          <w:spacing w:val="-2"/>
          <w:sz w:val="24"/>
          <w:szCs w:val="24"/>
        </w:rPr>
        <w:t>Cuando los activos son arrendados bajo arrendamiento operativo, el activo se incluye en el balance de acuerdo con su naturaleza. Los ingresos derivados del arrendamiento se reconocen de forma lineal durante el plazo del arrendamiento</w:t>
      </w:r>
      <w:r w:rsidR="00933546">
        <w:rPr>
          <w:rFonts w:ascii="Arial Narrow" w:hAnsi="Arial Narrow" w:cs="Arial"/>
          <w:spacing w:val="-2"/>
          <w:sz w:val="24"/>
          <w:szCs w:val="24"/>
        </w:rPr>
        <w:t>.</w:t>
      </w:r>
    </w:p>
    <w:p w14:paraId="0A31CDE9" w14:textId="77777777" w:rsidR="00A32588" w:rsidRPr="004834CB" w:rsidRDefault="00A32588" w:rsidP="009C5E01">
      <w:pPr>
        <w:pStyle w:val="TextePrinc"/>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Instrumentos Financieros</w:t>
      </w:r>
    </w:p>
    <w:p w14:paraId="33B517F2" w14:textId="77777777" w:rsidR="00090843" w:rsidRDefault="00A32588" w:rsidP="00090843">
      <w:pPr>
        <w:pStyle w:val="TextePrinc"/>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noProof w:val="0"/>
          <w:color w:val="auto"/>
          <w:sz w:val="24"/>
          <w:szCs w:val="24"/>
        </w:rPr>
      </w:pPr>
      <w:r w:rsidRPr="004834CB">
        <w:rPr>
          <w:rFonts w:ascii="Arial Narrow" w:hAnsi="Arial Narrow" w:cs="Arial"/>
          <w:noProof w:val="0"/>
          <w:color w:val="auto"/>
          <w:sz w:val="24"/>
          <w:szCs w:val="24"/>
        </w:rPr>
        <w:t xml:space="preserve">La sociedad tiene registrados en el capítulo de instrumentos financieros, </w:t>
      </w:r>
      <w:r w:rsidR="003B31C7" w:rsidRPr="004834CB">
        <w:rPr>
          <w:rFonts w:ascii="Arial Narrow" w:hAnsi="Arial Narrow" w:cs="Arial"/>
          <w:noProof w:val="0"/>
          <w:color w:val="auto"/>
          <w:sz w:val="24"/>
          <w:szCs w:val="24"/>
        </w:rPr>
        <w:t>aquellos contratos</w:t>
      </w:r>
      <w:r w:rsidRPr="004834CB">
        <w:rPr>
          <w:rFonts w:ascii="Arial Narrow" w:hAnsi="Arial Narrow" w:cs="Arial"/>
          <w:noProof w:val="0"/>
          <w:color w:val="auto"/>
          <w:sz w:val="24"/>
          <w:szCs w:val="24"/>
        </w:rPr>
        <w:t xml:space="preserve"> que dan lugar a un activo financiero en una empresa y, simultáneamente, a un pasivo financiero o a un instrumento de patrimonio en otra empresa. Por tanto</w:t>
      </w:r>
      <w:r w:rsidR="00FD02FE">
        <w:rPr>
          <w:rFonts w:ascii="Arial Narrow" w:hAnsi="Arial Narrow" w:cs="Arial"/>
          <w:noProof w:val="0"/>
          <w:color w:val="auto"/>
          <w:sz w:val="24"/>
          <w:szCs w:val="24"/>
        </w:rPr>
        <w:t>,</w:t>
      </w:r>
      <w:r w:rsidRPr="004834CB">
        <w:rPr>
          <w:rFonts w:ascii="Arial Narrow" w:hAnsi="Arial Narrow" w:cs="Arial"/>
          <w:noProof w:val="0"/>
          <w:color w:val="auto"/>
          <w:sz w:val="24"/>
          <w:szCs w:val="24"/>
        </w:rPr>
        <w:t xml:space="preserve"> la presente norma resulta de aplicación a los siguientes instrumentos financieros:</w:t>
      </w:r>
    </w:p>
    <w:p w14:paraId="45647083" w14:textId="77777777" w:rsidR="00090843" w:rsidRDefault="003B31C7" w:rsidP="00430AE3">
      <w:pPr>
        <w:pStyle w:val="TextePrinc"/>
        <w:keepNext/>
        <w:keepLines/>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rPr>
      </w:pPr>
      <w:r w:rsidRPr="004834CB">
        <w:rPr>
          <w:rFonts w:ascii="Arial Narrow" w:hAnsi="Arial Narrow" w:cs="Arial"/>
          <w:b/>
          <w:noProof w:val="0"/>
          <w:color w:val="auto"/>
          <w:sz w:val="24"/>
          <w:szCs w:val="24"/>
        </w:rPr>
        <w:t>a) _</w:t>
      </w:r>
      <w:r w:rsidR="00DD368E" w:rsidRPr="004834CB">
        <w:rPr>
          <w:rFonts w:ascii="Arial Narrow" w:hAnsi="Arial Narrow" w:cs="Arial"/>
          <w:b/>
          <w:noProof w:val="0"/>
          <w:color w:val="auto"/>
          <w:sz w:val="24"/>
          <w:szCs w:val="24"/>
        </w:rPr>
        <w:t>Activos financieros</w:t>
      </w:r>
    </w:p>
    <w:p w14:paraId="393D2403" w14:textId="77777777" w:rsidR="00090843" w:rsidRDefault="00DD368E" w:rsidP="00430AE3">
      <w:pPr>
        <w:pStyle w:val="TextePrinc"/>
        <w:keepNext/>
        <w:keepLines/>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sz w:val="24"/>
          <w:szCs w:val="24"/>
          <w:u w:val="single"/>
        </w:rPr>
      </w:pPr>
      <w:r w:rsidRPr="004834CB">
        <w:rPr>
          <w:rFonts w:ascii="Arial Narrow" w:hAnsi="Arial Narrow" w:cs="Arial"/>
          <w:sz w:val="24"/>
          <w:szCs w:val="24"/>
          <w:u w:val="single"/>
        </w:rPr>
        <w:t>Préstamos y partidas a cobrar</w:t>
      </w:r>
    </w:p>
    <w:p w14:paraId="799B596F" w14:textId="77777777" w:rsidR="00090843" w:rsidRDefault="00DD368E" w:rsidP="00430AE3">
      <w:pPr>
        <w:pStyle w:val="TextePrinc"/>
        <w:keepNext/>
        <w:keepLines/>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sz w:val="24"/>
          <w:szCs w:val="24"/>
        </w:rPr>
      </w:pPr>
      <w:r w:rsidRPr="004834CB">
        <w:rPr>
          <w:rFonts w:ascii="Arial Narrow" w:hAnsi="Arial Narrow" w:cs="Arial"/>
          <w:sz w:val="24"/>
          <w:szCs w:val="24"/>
        </w:rPr>
        <w:t xml:space="preserve">Los préstamos y partidas a cobrar son activos financieros no derivados con cobros fijos o determinables que no cotizan en un mercado activo. </w:t>
      </w:r>
    </w:p>
    <w:p w14:paraId="57C2E910" w14:textId="77777777" w:rsidR="00AE4272" w:rsidRDefault="00DD368E" w:rsidP="00090843">
      <w:pPr>
        <w:pStyle w:val="TextePrinc"/>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sz w:val="24"/>
          <w:szCs w:val="24"/>
        </w:rPr>
      </w:pPr>
      <w:r w:rsidRPr="004834CB">
        <w:rPr>
          <w:rFonts w:ascii="Arial Narrow" w:hAnsi="Arial Narrow" w:cs="Arial"/>
          <w:sz w:val="24"/>
          <w:szCs w:val="24"/>
        </w:rPr>
        <w:t xml:space="preserve">Se incluyen en activos corrientes, excepto para vencimientos superiores a 12 meses desde de la fecha del balance que se clasifican como activos no corrientes. Los préstamos y partidas a cobrar se incluyen en “Créditos a empresas” y “Deudores comerciales y otras cuentas a cobrar” en el balance. </w:t>
      </w:r>
    </w:p>
    <w:p w14:paraId="6B7400D2" w14:textId="77777777" w:rsidR="00FB6797" w:rsidRPr="004834CB" w:rsidRDefault="00DD368E" w:rsidP="00AE4272">
      <w:pPr>
        <w:widowControl w:val="0"/>
        <w:spacing w:before="120" w:line="280" w:lineRule="atLeast"/>
        <w:jc w:val="both"/>
        <w:rPr>
          <w:rFonts w:ascii="Arial Narrow" w:hAnsi="Arial Narrow" w:cs="Arial"/>
          <w:spacing w:val="-2"/>
          <w:sz w:val="24"/>
          <w:szCs w:val="24"/>
        </w:rPr>
      </w:pPr>
      <w:r w:rsidRPr="004834CB">
        <w:rPr>
          <w:rFonts w:ascii="Arial Narrow" w:hAnsi="Arial Narrow" w:cs="Arial"/>
          <w:spacing w:val="-2"/>
          <w:sz w:val="24"/>
          <w:szCs w:val="24"/>
        </w:rPr>
        <w:t>Estos activos financieros se valoran inicialmente por su valor razonable, incluidos los costes de transacción que les sean directamente imputables, y posteriormente a coste amortizado reconociendo los intereses devengados en función de su tipo de interés efectivo, entendido como el tipo de actualización que iguala el valor en libros del instrumento con la totalidad de sus flujos de efectivo estimados hasta su vencimiento. No obstante lo anterior, los créditos por operaciones comerciales con vencimiento no superior a un año se valoran, tanto en el momento de reconocimiento inicial como posteriormente, por su valor nominal siempre que el efecto de no actualizar los flujos no sea significativo.</w:t>
      </w:r>
    </w:p>
    <w:p w14:paraId="5C507BB6" w14:textId="77777777" w:rsidR="00FB6797"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Al menos al cierre del ejercicio, se efectúan las correcciones valorativas necesarias por deterioro de valor si existe evidencia objetiva de que no se cobrarán to</w:t>
      </w:r>
      <w:r w:rsidR="00FB6797" w:rsidRPr="004834CB">
        <w:rPr>
          <w:rFonts w:ascii="Arial Narrow" w:hAnsi="Arial Narrow" w:cs="Arial"/>
          <w:spacing w:val="-2"/>
          <w:sz w:val="24"/>
          <w:szCs w:val="24"/>
        </w:rPr>
        <w:t>dos los importes que se adeudan</w:t>
      </w:r>
    </w:p>
    <w:p w14:paraId="16A6E609" w14:textId="77777777" w:rsidR="00DD368E" w:rsidRPr="004834CB" w:rsidRDefault="00DD368E" w:rsidP="00515602">
      <w:pPr>
        <w:spacing w:before="120"/>
        <w:jc w:val="both"/>
        <w:rPr>
          <w:rFonts w:ascii="Arial Narrow" w:hAnsi="Arial Narrow" w:cs="Arial"/>
          <w:spacing w:val="-2"/>
          <w:sz w:val="24"/>
          <w:szCs w:val="24"/>
        </w:rPr>
      </w:pPr>
      <w:r w:rsidRPr="004834CB">
        <w:rPr>
          <w:rFonts w:ascii="Arial Narrow" w:hAnsi="Arial Narrow" w:cs="Arial"/>
          <w:spacing w:val="-2"/>
          <w:sz w:val="24"/>
          <w:szCs w:val="24"/>
        </w:rPr>
        <w:t>El importe de la pérdida por deterioro del valor es la diferencia entre el valor en libros del activo y el valor actual de los flujos de efectivo futuros estimados, descontados al tipo de interés efectivo en el momento de reconocimiento inicial. Las correcciones de valor, así como en su caso su reversión, se reconocen en la cuenta de pérdidas y ganancias.</w:t>
      </w:r>
    </w:p>
    <w:p w14:paraId="1BD3B6D9" w14:textId="77777777" w:rsidR="00345DE7" w:rsidRPr="004834CB" w:rsidRDefault="00DD368E" w:rsidP="00A32588">
      <w:pPr>
        <w:keepNext/>
        <w:keepLines/>
        <w:widowControl w:val="0"/>
        <w:spacing w:before="240" w:after="120" w:line="280" w:lineRule="atLeast"/>
        <w:jc w:val="both"/>
        <w:rPr>
          <w:rFonts w:ascii="Arial Narrow" w:hAnsi="Arial Narrow" w:cs="Arial"/>
          <w:sz w:val="24"/>
          <w:szCs w:val="24"/>
          <w:u w:val="single"/>
        </w:rPr>
      </w:pPr>
      <w:r w:rsidRPr="004834CB">
        <w:rPr>
          <w:rFonts w:ascii="Arial Narrow" w:hAnsi="Arial Narrow" w:cs="Arial"/>
          <w:sz w:val="24"/>
          <w:szCs w:val="24"/>
          <w:u w:val="single"/>
        </w:rPr>
        <w:t xml:space="preserve">Inversiones en el patrimonio de empresas del grupo, multigrupo y asociadas </w:t>
      </w:r>
    </w:p>
    <w:p w14:paraId="241A5290" w14:textId="77777777" w:rsidR="00DD368E" w:rsidRPr="004834CB" w:rsidRDefault="00DD368E" w:rsidP="00515602">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Se valoran por su coste menos, en su caso, el importe acumulado de las correcciones por deterioro del valor. No obstante, cuando existe una inversión anterior a su calificación como empresa del grupo, multigrupo o asociada, se considera como coste de la inversión su valor contable antes de tener esa calificación. Los ajustes valorativos previos contabilizados directamente en el patrimonio neto se mantienen en éste hasta que se dan de baja.</w:t>
      </w:r>
    </w:p>
    <w:p w14:paraId="20DE2CD7"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Si existe evidencia objetiva de que el valor en libros no es recuperable, se efectúan las oportunas correcciones valorativas por la diferencia entre su valor en libros y el importe recuperable, entendido éste como el mayor importe entre su valor razonable menos los costes de venta y el valor actual de los flujos de efectivo derivados de la inversión. Salvo mejor evidencia del importe recuperable, en la estimación del deterioro de estas inversiones se toma en consideración el patrimonio neto de la sociedad participada corregido por las plusvalías tácitas existentes en la fecha de la valoración. La corrección de valor y, en su caso, su reversión se registra en la cuenta de pérdidas y ganancias del ejercicio en que se produce.</w:t>
      </w:r>
    </w:p>
    <w:p w14:paraId="066AF55F" w14:textId="77777777" w:rsidR="00345DE7" w:rsidRPr="004834CB" w:rsidRDefault="00DD368E" w:rsidP="00A32588">
      <w:pPr>
        <w:widowControl w:val="0"/>
        <w:spacing w:before="240" w:after="120" w:line="280" w:lineRule="atLeast"/>
        <w:jc w:val="both"/>
        <w:rPr>
          <w:rFonts w:ascii="Arial Narrow" w:hAnsi="Arial Narrow" w:cs="Arial"/>
          <w:sz w:val="24"/>
          <w:szCs w:val="24"/>
          <w:u w:val="single"/>
        </w:rPr>
      </w:pPr>
      <w:r w:rsidRPr="004834CB">
        <w:rPr>
          <w:rFonts w:ascii="Arial Narrow" w:hAnsi="Arial Narrow" w:cs="Arial"/>
          <w:sz w:val="24"/>
          <w:szCs w:val="24"/>
          <w:u w:val="single"/>
        </w:rPr>
        <w:t>Activos financieros disponibles para la venta</w:t>
      </w:r>
    </w:p>
    <w:p w14:paraId="5053F901" w14:textId="77777777" w:rsidR="00F34004"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 xml:space="preserve">En esta categoría se incluyen los valores representativos de deuda e instrumentos de patrimonio que no se clasifican en ninguna de las categorías anteriores. Se incluyen en activos no corrientes a menos que la dirección pretenda enajenar la inversión en los 12 meses siguientes a la fecha del balance. </w:t>
      </w:r>
    </w:p>
    <w:p w14:paraId="40847DBF"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 xml:space="preserve">Se valoran por su valor razonable, registrando los cambios que se produzcan directamente en el patrimonio neto hasta que el activo se enajene o deteriore, momento en que las pérdidas y ganancias acumuladas en el patrimonio neto se imputan a la cuenta de pérdidas y ganancias, siempre que sea posible determinar el mencionado valor razonable. En caso contrario, se registran por su coste menos </w:t>
      </w:r>
      <w:r w:rsidR="00881B28" w:rsidRPr="004834CB">
        <w:rPr>
          <w:rFonts w:ascii="Arial Narrow" w:hAnsi="Arial Narrow" w:cs="Arial"/>
          <w:spacing w:val="-2"/>
          <w:sz w:val="24"/>
          <w:szCs w:val="24"/>
        </w:rPr>
        <w:t>p</w:t>
      </w:r>
      <w:r w:rsidRPr="004834CB">
        <w:rPr>
          <w:rFonts w:ascii="Arial Narrow" w:hAnsi="Arial Narrow" w:cs="Arial"/>
          <w:spacing w:val="-2"/>
          <w:sz w:val="24"/>
          <w:szCs w:val="24"/>
        </w:rPr>
        <w:t>érdidas por deterioro del valor. Se valoran por su valor razonable, registrando los cambios que se produzcan directamente en el patrimonio neto hasta que el activo se enajene o deteriore, momento en que las pérdidas y ganancias acumuladas en el patrimonio neto se imputan a la cuenta de pérdidas y ganancias, siempre que sea posible determinar el mencionado valor razonable. En caso contrario, se registran por su coste menos pérdidas por deterioro del valor.</w:t>
      </w:r>
    </w:p>
    <w:p w14:paraId="35D8CED2"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En el caso de los activos financieros disponibles para la venta, se efectúan correcciones valorativas si existe evidencia objetiva de que su valor se ha deteriorado como resultado de una reducción o retraso en los flujos de efectivo estimados futuros en el caso de instrumentos de deuda adquiridos o por la falta de recuperabilidad del valor en libros del activo en el caso de inversiones en instrumentos de patrimonio. La corrección valorativa es la diferencia entre su coste o coste amortizado menos, en su caso, cualquier corrección valorativa previamente reconocida en la cuenta de pérdidas y ganancias y el valor razonable en el momento en que se efectúe la valoración. En el caso de los instrumentos de patrimonio que se valoran por su coste por no poder determinarse su valor razonable, la corrección de valor se determina del mismo modo que para las inversiones en el patrimonio de empresas del grupo, multigrupo y asociadas.</w:t>
      </w:r>
    </w:p>
    <w:p w14:paraId="59831E3C" w14:textId="77777777" w:rsidR="00DD368E" w:rsidRPr="004834CB" w:rsidRDefault="00DD368E" w:rsidP="00515602">
      <w:pPr>
        <w:spacing w:before="120"/>
        <w:jc w:val="both"/>
        <w:rPr>
          <w:rFonts w:ascii="Arial Narrow" w:hAnsi="Arial Narrow" w:cs="Arial"/>
          <w:spacing w:val="-2"/>
          <w:sz w:val="24"/>
          <w:szCs w:val="24"/>
        </w:rPr>
      </w:pPr>
      <w:r w:rsidRPr="004834CB">
        <w:rPr>
          <w:rFonts w:ascii="Arial Narrow" w:hAnsi="Arial Narrow" w:cs="Arial"/>
          <w:spacing w:val="-2"/>
          <w:sz w:val="24"/>
          <w:szCs w:val="24"/>
        </w:rPr>
        <w:t>Si existe evidencia objetiva de deterioro, la Sociedad reconoce en la cuenta de pérdidas y ganancias las pérdidas acumuladas reconocidas previamente en el patrimonio neto por disminución del valor razonable. Las pérdidas por deterioro del valor reconocidas en la cuenta de pérdidas y ganancias por instrumentos de patrimonio no se revierten a través de la cuenta de pérdidas y ganancias.</w:t>
      </w:r>
    </w:p>
    <w:p w14:paraId="162BDCBC" w14:textId="77777777" w:rsidR="00555F18" w:rsidRPr="004834CB" w:rsidRDefault="00DD368E" w:rsidP="00A32588">
      <w:pPr>
        <w:keepNext/>
        <w:keepLines/>
        <w:widowControl w:val="0"/>
        <w:spacing w:before="240" w:after="120" w:line="280" w:lineRule="atLeast"/>
        <w:jc w:val="both"/>
        <w:rPr>
          <w:rFonts w:ascii="Arial Narrow" w:hAnsi="Arial Narrow" w:cs="Arial"/>
          <w:sz w:val="24"/>
          <w:szCs w:val="24"/>
          <w:u w:val="single"/>
        </w:rPr>
      </w:pPr>
      <w:r w:rsidRPr="004834CB">
        <w:rPr>
          <w:rFonts w:ascii="Arial Narrow" w:hAnsi="Arial Narrow" w:cs="Arial"/>
          <w:sz w:val="24"/>
          <w:szCs w:val="24"/>
          <w:u w:val="single"/>
        </w:rPr>
        <w:t xml:space="preserve">Inversiones </w:t>
      </w:r>
      <w:r w:rsidR="00345DE7" w:rsidRPr="004834CB">
        <w:rPr>
          <w:rFonts w:ascii="Arial Narrow" w:hAnsi="Arial Narrow" w:cs="Arial"/>
          <w:sz w:val="24"/>
          <w:szCs w:val="24"/>
          <w:u w:val="single"/>
        </w:rPr>
        <w:t>mantenidas hasta el vencimiento</w:t>
      </w:r>
    </w:p>
    <w:p w14:paraId="2BBFD238" w14:textId="77777777" w:rsidR="00DD368E" w:rsidRPr="004834CB" w:rsidRDefault="00DD368E" w:rsidP="00AD7825">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activos financieros mantenidos hasta su vencimiento son valores representativos de deuda con cobros fijos o determinables y vencimiento fijo, que se negocien en un mercado activo y que la dirección de la Sociedad tiene la intención efectiva y la capacidad de mantener hasta su vencimiento. Si la Sociedad vendiese un importe que no fuese insignificante de los activos financieros mantenidos hasta su vencimiento, la categoría completa se reclasificaría como disponible para la venta. Estos activos financieros se incluyen en activos no corrientes, excepto aquellos con vencimiento inferior a 12 meses a partir de la fecha del balance que se clasifican como activos corrientes.</w:t>
      </w:r>
    </w:p>
    <w:p w14:paraId="78F0717A" w14:textId="77777777" w:rsidR="00F34004"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criterios de valoración de estas inversiones son los mismos que para los préstamos y partidas a cobrar.</w:t>
      </w:r>
    </w:p>
    <w:p w14:paraId="3B3E4BEF" w14:textId="77777777" w:rsidR="00DD368E" w:rsidRPr="004834CB" w:rsidRDefault="00DD368E" w:rsidP="00345DE7">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valores razonables de las inversiones que cotizan se basan en precios de compra corrientes. Si el mercado para un activo financiero no es activo (y para los títulos que no cotizan), la Sociedad establece el valor razonable empleando técnicas de valoración que incluyen el uso de transacciones recientes entre partes interesadas y debidamente informadas, referencias a otros instrumentos sustancialmente iguales, métodos de descuento de flujos de efectivo futuros estimados y modelos de fijación de precios de opciones haciendo un uso máximo de datos observables del mercado y confiando lo menos posible en consideraciones subjetivas de la Sociedad.</w:t>
      </w:r>
    </w:p>
    <w:p w14:paraId="5FF3D7FB" w14:textId="77777777" w:rsidR="00881B28" w:rsidRPr="004834CB" w:rsidRDefault="00DD368E" w:rsidP="00881B28">
      <w:pPr>
        <w:spacing w:before="120"/>
        <w:jc w:val="both"/>
        <w:rPr>
          <w:rFonts w:ascii="Arial Narrow" w:hAnsi="Arial Narrow" w:cs="Arial"/>
          <w:spacing w:val="-2"/>
          <w:sz w:val="24"/>
          <w:szCs w:val="24"/>
        </w:rPr>
      </w:pPr>
      <w:r w:rsidRPr="004834CB">
        <w:rPr>
          <w:rFonts w:ascii="Arial Narrow" w:hAnsi="Arial Narrow" w:cs="Arial"/>
          <w:spacing w:val="-2"/>
          <w:sz w:val="24"/>
          <w:szCs w:val="24"/>
        </w:rPr>
        <w:t>Los activos financieros se dan de baja en el balance cuando se traspasan sustancialmente todos los riesgos y beneficios inherentes a la propiedad del activo. En el caso concreto de cuentas a cobrar se entiende que este hecho se produce en general si se han transmitido los riesgos de insolvencia y de mora.</w:t>
      </w:r>
    </w:p>
    <w:p w14:paraId="28B18EF4" w14:textId="77777777" w:rsidR="00F61892" w:rsidRDefault="003B31C7" w:rsidP="001C2C16">
      <w:pPr>
        <w:keepNext/>
        <w:keepLines/>
        <w:spacing w:before="120"/>
        <w:jc w:val="both"/>
        <w:rPr>
          <w:rFonts w:ascii="Arial Narrow" w:hAnsi="Arial Narrow" w:cs="Arial"/>
          <w:b/>
          <w:sz w:val="24"/>
          <w:szCs w:val="24"/>
        </w:rPr>
      </w:pPr>
      <w:r w:rsidRPr="004834CB">
        <w:rPr>
          <w:rFonts w:ascii="Arial Narrow" w:hAnsi="Arial Narrow" w:cs="Arial"/>
          <w:b/>
          <w:sz w:val="24"/>
          <w:szCs w:val="24"/>
        </w:rPr>
        <w:t>b) _</w:t>
      </w:r>
      <w:r w:rsidR="00F61892" w:rsidRPr="004834CB">
        <w:rPr>
          <w:rFonts w:ascii="Arial Narrow" w:hAnsi="Arial Narrow" w:cs="Arial"/>
          <w:b/>
          <w:sz w:val="24"/>
          <w:szCs w:val="24"/>
        </w:rPr>
        <w:t>Pasivos financieros</w:t>
      </w:r>
    </w:p>
    <w:p w14:paraId="3EC5E727" w14:textId="77777777" w:rsidR="004A1607" w:rsidRDefault="004A1607" w:rsidP="001C2C16">
      <w:pPr>
        <w:pStyle w:val="TextePrinc"/>
        <w:keepNext/>
        <w:keepLines/>
        <w:tabs>
          <w:tab w:val="left" w:pos="-384"/>
          <w:tab w:val="left" w:pos="325"/>
          <w:tab w:val="num" w:pos="567"/>
          <w:tab w:val="left" w:pos="1035"/>
          <w:tab w:val="left" w:pos="1741"/>
          <w:tab w:val="left" w:pos="2451"/>
          <w:tab w:val="left" w:pos="3160"/>
          <w:tab w:val="left" w:pos="3864"/>
          <w:tab w:val="left" w:pos="4571"/>
          <w:tab w:val="left" w:pos="5280"/>
          <w:tab w:val="left" w:pos="5990"/>
          <w:tab w:val="left" w:pos="6699"/>
        </w:tabs>
        <w:spacing w:line="280" w:lineRule="atLeast"/>
        <w:jc w:val="both"/>
        <w:rPr>
          <w:rFonts w:ascii="Arial Narrow" w:hAnsi="Arial Narrow" w:cs="Arial"/>
          <w:noProof w:val="0"/>
          <w:color w:val="auto"/>
          <w:sz w:val="24"/>
          <w:szCs w:val="24"/>
          <w:u w:val="single"/>
        </w:rPr>
      </w:pPr>
    </w:p>
    <w:p w14:paraId="4941AC11" w14:textId="77777777" w:rsidR="00881B28" w:rsidRPr="004834CB" w:rsidRDefault="00F61892" w:rsidP="001C2C16">
      <w:pPr>
        <w:pStyle w:val="TextePrinc"/>
        <w:keepNext/>
        <w:keepLines/>
        <w:tabs>
          <w:tab w:val="left" w:pos="-384"/>
          <w:tab w:val="left" w:pos="325"/>
          <w:tab w:val="num" w:pos="567"/>
          <w:tab w:val="left" w:pos="1035"/>
          <w:tab w:val="left" w:pos="1741"/>
          <w:tab w:val="left" w:pos="2451"/>
          <w:tab w:val="left" w:pos="3160"/>
          <w:tab w:val="left" w:pos="3864"/>
          <w:tab w:val="left" w:pos="4571"/>
          <w:tab w:val="left" w:pos="5280"/>
          <w:tab w:val="left" w:pos="5990"/>
          <w:tab w:val="left" w:pos="6699"/>
        </w:tabs>
        <w:spacing w:line="280" w:lineRule="atLeast"/>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Débitos y partidas a pagar</w:t>
      </w:r>
    </w:p>
    <w:p w14:paraId="7772ED67" w14:textId="77777777" w:rsidR="00881B28" w:rsidRPr="004834CB" w:rsidRDefault="00881B28" w:rsidP="001C2C16">
      <w:pPr>
        <w:pStyle w:val="TextePrinc"/>
        <w:keepNext/>
        <w:keepLines/>
        <w:tabs>
          <w:tab w:val="left" w:pos="-384"/>
          <w:tab w:val="left" w:pos="325"/>
          <w:tab w:val="num" w:pos="567"/>
          <w:tab w:val="left" w:pos="1035"/>
          <w:tab w:val="left" w:pos="1741"/>
          <w:tab w:val="left" w:pos="2451"/>
          <w:tab w:val="left" w:pos="3160"/>
          <w:tab w:val="left" w:pos="3864"/>
          <w:tab w:val="left" w:pos="4571"/>
          <w:tab w:val="left" w:pos="5280"/>
          <w:tab w:val="left" w:pos="5990"/>
          <w:tab w:val="left" w:pos="6699"/>
        </w:tabs>
        <w:spacing w:line="280" w:lineRule="atLeast"/>
        <w:jc w:val="both"/>
        <w:rPr>
          <w:rFonts w:ascii="Arial Narrow" w:hAnsi="Arial Narrow" w:cs="Arial"/>
          <w:noProof w:val="0"/>
          <w:color w:val="auto"/>
          <w:sz w:val="24"/>
          <w:szCs w:val="24"/>
          <w:u w:val="single"/>
        </w:rPr>
      </w:pPr>
    </w:p>
    <w:p w14:paraId="0F0A7179" w14:textId="77777777" w:rsidR="00F61892" w:rsidRPr="004834CB" w:rsidRDefault="00F61892" w:rsidP="001C2C16">
      <w:pPr>
        <w:pStyle w:val="TextePrinc"/>
        <w:keepNext/>
        <w:keepLines/>
        <w:tabs>
          <w:tab w:val="left" w:pos="-384"/>
          <w:tab w:val="left" w:pos="325"/>
          <w:tab w:val="num" w:pos="567"/>
          <w:tab w:val="left" w:pos="1035"/>
          <w:tab w:val="left" w:pos="1741"/>
          <w:tab w:val="left" w:pos="2451"/>
          <w:tab w:val="left" w:pos="3160"/>
          <w:tab w:val="left" w:pos="3864"/>
          <w:tab w:val="left" w:pos="4571"/>
          <w:tab w:val="left" w:pos="5280"/>
          <w:tab w:val="left" w:pos="5990"/>
          <w:tab w:val="left" w:pos="6699"/>
        </w:tabs>
        <w:spacing w:line="280" w:lineRule="atLeast"/>
        <w:jc w:val="both"/>
        <w:rPr>
          <w:rFonts w:ascii="Arial Narrow" w:hAnsi="Arial Narrow" w:cs="Arial"/>
          <w:color w:val="auto"/>
          <w:spacing w:val="-2"/>
          <w:sz w:val="24"/>
          <w:szCs w:val="24"/>
        </w:rPr>
      </w:pPr>
      <w:r w:rsidRPr="004834CB">
        <w:rPr>
          <w:rFonts w:ascii="Arial Narrow" w:hAnsi="Arial Narrow" w:cs="Arial"/>
          <w:color w:val="auto"/>
          <w:spacing w:val="-2"/>
          <w:sz w:val="24"/>
          <w:szCs w:val="24"/>
        </w:rPr>
        <w:t>Esta categoría incluye débitos por operaciones comerciales y débitos por operaciones no comerciales. Estos recursos ajenos se clasifican como pasivos corrientes, a menos que la Sociedad tenga un derecho incondicional a diferir su liquidación durante al menos 12 meses después de la fecha del balance.</w:t>
      </w:r>
    </w:p>
    <w:p w14:paraId="1EAFD58C" w14:textId="77777777" w:rsidR="00F61892" w:rsidRPr="004834CB" w:rsidRDefault="00F61892" w:rsidP="00F6189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Estas deudas se reconocen inicialmente a su valor razonable ajustado por los costes de transacción directamente imputables, registrándose posteriormente por su coste amortizado según el método del tipo de interés efectivo. Dicho interés efectivo es el tipo de actualización que iguala el valor en libros del instrumento con la corriente esperada de pagos futuros previstos hasta el vencimiento del pasivo.</w:t>
      </w:r>
    </w:p>
    <w:p w14:paraId="5AA0243D" w14:textId="77777777" w:rsidR="00F61892" w:rsidRPr="004834CB" w:rsidRDefault="00F61892" w:rsidP="00F6189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No obstante lo anterior, los débitos por operaciones comerciales con vencimiento no superior a un año y que no tienen un tipo de interés contractual se valoran, tanto en el momento inicial como posteriormente, por su valor nominal cuando el efecto de no actualizar los flujos de efectivo no es significativo.</w:t>
      </w:r>
    </w:p>
    <w:p w14:paraId="4C9B23D5" w14:textId="77777777" w:rsidR="00FB6797" w:rsidRDefault="00F61892" w:rsidP="00515602">
      <w:pPr>
        <w:spacing w:before="120"/>
        <w:jc w:val="both"/>
        <w:rPr>
          <w:rFonts w:ascii="Arial Narrow" w:hAnsi="Arial Narrow" w:cs="Arial"/>
          <w:spacing w:val="-2"/>
          <w:sz w:val="24"/>
          <w:szCs w:val="24"/>
        </w:rPr>
      </w:pPr>
      <w:r w:rsidRPr="004834CB">
        <w:rPr>
          <w:rFonts w:ascii="Arial Narrow" w:hAnsi="Arial Narrow" w:cs="Arial"/>
          <w:spacing w:val="-2"/>
          <w:sz w:val="24"/>
          <w:szCs w:val="24"/>
        </w:rPr>
        <w:t>En el caso de producirse renegociación de deudas existentes, se considera que no existen modificaciones sustanciales del pasivo financiero cuando el prestamista del nuevo préstamo es el mismo que el que otorgó el préstamo inicial y el valor actual de los flujos de efectivo, incluyendo las comisiones netas, no difiere en más de un 10% del valor actual de los flujos de efectivo pendientes de pagar del pasivo original calculado bajo ese mismo método.</w:t>
      </w:r>
    </w:p>
    <w:p w14:paraId="76BA7CE4" w14:textId="77777777" w:rsidR="00EE2AF4" w:rsidRPr="004834CB" w:rsidRDefault="00EE2AF4" w:rsidP="009C5E01">
      <w:pPr>
        <w:pStyle w:val="TextePrinc"/>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Transacciones en moneda extranjera</w:t>
      </w:r>
    </w:p>
    <w:p w14:paraId="6B5620D9" w14:textId="77777777" w:rsidR="00EE2AF4" w:rsidRPr="004834CB" w:rsidRDefault="00EE2AF4" w:rsidP="009C5E01">
      <w:pPr>
        <w:pStyle w:val="TextePrinc"/>
        <w:numPr>
          <w:ilvl w:val="0"/>
          <w:numId w:val="9"/>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0" w:firstLine="0"/>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Moneda funcional y de presentación</w:t>
      </w:r>
    </w:p>
    <w:p w14:paraId="623725EF" w14:textId="77777777" w:rsidR="00845159" w:rsidRDefault="00EE2AF4" w:rsidP="00E40F6D">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cuentas anuales de la Sociedad se presentan en euros, que es la moneda de presentación y funcional de la Sociedad.</w:t>
      </w:r>
    </w:p>
    <w:p w14:paraId="78B71A76" w14:textId="77777777" w:rsidR="00845159" w:rsidRDefault="00E40F6D" w:rsidP="00E40F6D">
      <w:pPr>
        <w:spacing w:before="120" w:after="120"/>
        <w:jc w:val="both"/>
        <w:rPr>
          <w:rFonts w:ascii="Arial Narrow" w:hAnsi="Arial Narrow" w:cs="Arial"/>
          <w:sz w:val="24"/>
          <w:szCs w:val="24"/>
          <w:u w:val="single"/>
        </w:rPr>
      </w:pPr>
      <w:r>
        <w:rPr>
          <w:rFonts w:ascii="Arial Narrow" w:hAnsi="Arial Narrow" w:cs="Arial"/>
          <w:sz w:val="24"/>
          <w:szCs w:val="24"/>
          <w:u w:val="single"/>
        </w:rPr>
        <w:t xml:space="preserve">b) </w:t>
      </w:r>
      <w:r w:rsidR="00EE2AF4" w:rsidRPr="004834CB">
        <w:rPr>
          <w:rFonts w:ascii="Arial Narrow" w:hAnsi="Arial Narrow" w:cs="Arial"/>
          <w:sz w:val="24"/>
          <w:szCs w:val="24"/>
          <w:u w:val="single"/>
        </w:rPr>
        <w:t>Transacciones y saldos</w:t>
      </w:r>
    </w:p>
    <w:p w14:paraId="237F1C80" w14:textId="77777777" w:rsidR="00EE2AF4" w:rsidRDefault="00EE2AF4" w:rsidP="00E40F6D">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 excepto si se difieren en patrimonio neto como las coberturas de flujos de efectivo cualificadas y las coberturas de inversión neta cualificadas.</w:t>
      </w:r>
    </w:p>
    <w:p w14:paraId="5E752940" w14:textId="77777777" w:rsidR="00EE2AF4" w:rsidRPr="004834CB" w:rsidRDefault="00EE2AF4" w:rsidP="009C5E01">
      <w:pPr>
        <w:pStyle w:val="TextePrinc"/>
        <w:keepNext/>
        <w:keepLines/>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 xml:space="preserve"> Impuestos sobre beneficios</w:t>
      </w:r>
    </w:p>
    <w:p w14:paraId="4FBC526B" w14:textId="77777777" w:rsidR="00EE2AF4" w:rsidRPr="004834CB" w:rsidRDefault="00EE2AF4" w:rsidP="004A1607">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El gasto (ingreso) por impuesto sobre beneficios es el importe que, por este concepto, se devenga en el ejercicio y que comprende tanto el gasto (ingreso) por impuesto corriente como por impuesto diferido.</w:t>
      </w:r>
    </w:p>
    <w:p w14:paraId="06B2A85E" w14:textId="77777777" w:rsidR="00EE2AF4" w:rsidRPr="004834CB" w:rsidRDefault="00EE2AF4" w:rsidP="00EE2AF4">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0EF1DB4B" w14:textId="77777777" w:rsidR="00090843" w:rsidRDefault="00EE2AF4" w:rsidP="00EE2AF4">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activos y pasivos por impuesto corriente se valorarán por las cantidades que se espera pagar o recuperar de las autoridades fiscales, de acuerdo con la normativa vigente o aprobada y pendiente de publicación en la fecha de cierre del ejercicio.</w:t>
      </w:r>
    </w:p>
    <w:p w14:paraId="6F76881C" w14:textId="77777777" w:rsidR="00EE2AF4" w:rsidRPr="004834CB" w:rsidRDefault="00EE2AF4" w:rsidP="00EE2AF4">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 xml:space="preserve">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w:t>
      </w:r>
    </w:p>
    <w:p w14:paraId="31509F65" w14:textId="77777777" w:rsidR="00EE2AF4" w:rsidRPr="004834CB" w:rsidRDefault="00EE2AF4" w:rsidP="00EE2AF4">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2F3CA930" w14:textId="383D6697" w:rsidR="00242CD2" w:rsidRDefault="00EE2AF4" w:rsidP="00242CD2">
      <w:pPr>
        <w:spacing w:after="120"/>
        <w:jc w:val="both"/>
        <w:rPr>
          <w:rFonts w:ascii="Arial Narrow" w:hAnsi="Arial Narrow" w:cs="Arial"/>
          <w:spacing w:val="-2"/>
          <w:sz w:val="24"/>
          <w:szCs w:val="24"/>
        </w:rPr>
      </w:pPr>
      <w:r w:rsidRPr="004834CB">
        <w:rPr>
          <w:rFonts w:ascii="Arial Narrow" w:hAnsi="Arial Narrow" w:cs="Arial"/>
          <w:spacing w:val="-2"/>
          <w:sz w:val="24"/>
          <w:szCs w:val="24"/>
        </w:rPr>
        <w:t>Los activos por impuestos diferidos se reconocen en la medida en que resulte probable que se vaya a disponer de ganancias fiscales futuras con las que poder compensar las diferencias temporarias.</w:t>
      </w:r>
    </w:p>
    <w:p w14:paraId="26959356" w14:textId="77777777" w:rsidR="00242CD2" w:rsidRDefault="00242CD2" w:rsidP="00242CD2">
      <w:pPr>
        <w:spacing w:after="120"/>
        <w:jc w:val="both"/>
        <w:rPr>
          <w:rFonts w:ascii="Arial Narrow" w:hAnsi="Arial Narrow" w:cs="Arial"/>
          <w:spacing w:val="-2"/>
          <w:sz w:val="24"/>
          <w:szCs w:val="24"/>
        </w:rPr>
      </w:pPr>
    </w:p>
    <w:p w14:paraId="3C0110FE" w14:textId="77777777" w:rsidR="00EE2AF4" w:rsidRPr="004834CB" w:rsidRDefault="00EE2AF4" w:rsidP="00242CD2">
      <w:pPr>
        <w:pStyle w:val="Prrafodelista"/>
        <w:numPr>
          <w:ilvl w:val="1"/>
          <w:numId w:val="16"/>
        </w:numPr>
        <w:spacing w:after="120"/>
        <w:jc w:val="both"/>
        <w:rPr>
          <w:rFonts w:ascii="Arial Narrow" w:hAnsi="Arial Narrow" w:cs="Arial"/>
          <w:b/>
          <w:spacing w:val="-2"/>
          <w:sz w:val="24"/>
          <w:szCs w:val="24"/>
          <w:u w:val="single"/>
        </w:rPr>
      </w:pPr>
      <w:r w:rsidRPr="004834CB">
        <w:rPr>
          <w:rFonts w:ascii="Arial Narrow" w:hAnsi="Arial Narrow" w:cs="Arial"/>
          <w:b/>
          <w:spacing w:val="-2"/>
          <w:sz w:val="24"/>
          <w:szCs w:val="24"/>
          <w:u w:val="single"/>
        </w:rPr>
        <w:t xml:space="preserve">Ingresos y Gastos </w:t>
      </w:r>
    </w:p>
    <w:p w14:paraId="0FF5B505" w14:textId="77777777" w:rsidR="00090843" w:rsidRDefault="00EE2AF4" w:rsidP="00090843">
      <w:pPr>
        <w:spacing w:before="120"/>
        <w:jc w:val="both"/>
        <w:rPr>
          <w:rFonts w:ascii="Arial Narrow" w:hAnsi="Arial Narrow" w:cs="Arial"/>
          <w:spacing w:val="-2"/>
          <w:sz w:val="24"/>
          <w:szCs w:val="24"/>
        </w:rPr>
      </w:pPr>
      <w:r w:rsidRPr="004834CB">
        <w:rPr>
          <w:rFonts w:ascii="Arial Narrow" w:hAnsi="Arial Narrow" w:cs="Arial"/>
          <w:spacing w:val="-2"/>
          <w:sz w:val="24"/>
          <w:szCs w:val="24"/>
        </w:rPr>
        <w:t>Los ingresos se registran por el valor razonable de la contraprestación a recibir y representan los importes a cobrar por los bienes entregados y los servicios prestados en el curso ordinario de las actividades de la Sociedad, menos devoluciones, rebajas, descuentos y el impuesto sobre el valor añadido.</w:t>
      </w:r>
    </w:p>
    <w:p w14:paraId="602E4500" w14:textId="77777777" w:rsidR="00090843" w:rsidRPr="00090843" w:rsidRDefault="00EE2AF4" w:rsidP="009C5E01">
      <w:pPr>
        <w:pStyle w:val="TextePrinc"/>
        <w:keepNext/>
        <w:keepLines/>
        <w:numPr>
          <w:ilvl w:val="0"/>
          <w:numId w:val="7"/>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0" w:firstLine="0"/>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Ingresos por ventas y prestaciones de servicios</w:t>
      </w:r>
    </w:p>
    <w:p w14:paraId="6A19F613" w14:textId="77777777" w:rsidR="00EE2AF4" w:rsidRPr="004834CB" w:rsidRDefault="00EE2AF4" w:rsidP="00090843">
      <w:pPr>
        <w:spacing w:before="120"/>
        <w:jc w:val="both"/>
        <w:rPr>
          <w:rFonts w:ascii="Arial Narrow" w:hAnsi="Arial Narrow" w:cs="Arial"/>
          <w:spacing w:val="-2"/>
          <w:sz w:val="24"/>
          <w:szCs w:val="24"/>
        </w:rPr>
      </w:pPr>
      <w:r w:rsidRPr="004834CB">
        <w:rPr>
          <w:rFonts w:ascii="Arial Narrow" w:hAnsi="Arial Narrow" w:cs="Arial"/>
          <w:spacing w:val="-2"/>
          <w:sz w:val="24"/>
          <w:szCs w:val="24"/>
        </w:rPr>
        <w:t>La Sociedad reconoce los ingresos cuando el importe de los mismos se puede valorar con fiabilidad, es probable que los beneficios económicos futuros vayan a fluir a la Sociedad y se cumplen las condiciones específicas para cada una de las actividades tal y como se detalla a continuación. No se considera que se pueda valorar el importe de los ingresos con fiabilidad hasta que no se han resuelto todas las contingencias relacionadas con la venta. La Sociedad basa sus estimaciones en resultados históricos, teniendo en cuenta el tipo de cliente, el tipo de transacción y los términos concretos de cada acuerdo.</w:t>
      </w:r>
    </w:p>
    <w:p w14:paraId="01023862" w14:textId="77777777" w:rsidR="00EE2AF4" w:rsidRPr="004834CB" w:rsidRDefault="00EE2AF4" w:rsidP="009C5E01">
      <w:pPr>
        <w:pStyle w:val="TextePrinc"/>
        <w:keepNext/>
        <w:keepLines/>
        <w:numPr>
          <w:ilvl w:val="0"/>
          <w:numId w:val="7"/>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0" w:firstLine="0"/>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Ingresos por intereses</w:t>
      </w:r>
    </w:p>
    <w:p w14:paraId="4D39B648" w14:textId="77777777" w:rsidR="00EE2AF4" w:rsidRPr="004834CB" w:rsidRDefault="00EE2AF4" w:rsidP="00090843">
      <w:pPr>
        <w:keepNext/>
        <w:keepLines/>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Los ingresos por intereses se reconocen usando el método del tipo de interés efectivo. Cuando una cuenta a cobrar sufre pérdida por deterioro del valor, la Sociedad reduce el valor contable a su importe recuperable, descontando los flujos futuros de efectivo estimados al tipo de interés efectivo original del instrumento, y continúa llevando el descuento como menos ingreso por intereses. Los ingresos por intereses de préstamos que hayan sufrido pérdidas por deterioro del valor se reconocen utilizando el método del tipo de interés efectivo.</w:t>
      </w:r>
    </w:p>
    <w:p w14:paraId="3A12C837" w14:textId="77777777" w:rsidR="00EE2AF4" w:rsidRPr="004834CB" w:rsidRDefault="00EE2AF4" w:rsidP="009C5E01">
      <w:pPr>
        <w:pStyle w:val="TextePrinc"/>
        <w:keepNext/>
        <w:keepLines/>
        <w:numPr>
          <w:ilvl w:val="0"/>
          <w:numId w:val="7"/>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0" w:firstLine="0"/>
        <w:jc w:val="both"/>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Ingresos por dividendos</w:t>
      </w:r>
    </w:p>
    <w:p w14:paraId="7D97C609" w14:textId="77777777" w:rsidR="00EE2AF4" w:rsidRDefault="00EE2AF4" w:rsidP="00E40F6D">
      <w:pPr>
        <w:keepNext/>
        <w:keepLines/>
        <w:spacing w:before="120"/>
        <w:jc w:val="both"/>
        <w:rPr>
          <w:rFonts w:ascii="Arial Narrow" w:hAnsi="Arial Narrow" w:cs="Arial"/>
          <w:spacing w:val="-2"/>
          <w:sz w:val="24"/>
          <w:szCs w:val="24"/>
        </w:rPr>
      </w:pPr>
      <w:r w:rsidRPr="004834CB">
        <w:rPr>
          <w:rFonts w:ascii="Arial Narrow" w:hAnsi="Arial Narrow" w:cs="Arial"/>
          <w:spacing w:val="-2"/>
          <w:sz w:val="24"/>
          <w:szCs w:val="24"/>
        </w:rPr>
        <w:t>Los ingresos por dividendos se reconocen como ingresos en la cuenta de pérdidas y ganancias cuando se establece el derecho a recibir el cobro. No obstante lo anterior, si los dividendos distribuidos procedan de resultados generados con anterioridad a la fecha de adquisición no se reconocen como ingresos, minorando el valor contable de la inversión.</w:t>
      </w:r>
    </w:p>
    <w:p w14:paraId="4295423A" w14:textId="77777777" w:rsidR="00DD368E" w:rsidRPr="004834CB" w:rsidRDefault="00DD368E" w:rsidP="009C5E01">
      <w:pPr>
        <w:pStyle w:val="TextePrinc"/>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 xml:space="preserve">Provisiones y </w:t>
      </w:r>
      <w:r w:rsidR="00A32588" w:rsidRPr="004834CB">
        <w:rPr>
          <w:rFonts w:ascii="Arial Narrow" w:hAnsi="Arial Narrow" w:cs="Arial"/>
          <w:b/>
          <w:noProof w:val="0"/>
          <w:color w:val="auto"/>
          <w:sz w:val="24"/>
          <w:szCs w:val="24"/>
          <w:u w:val="single"/>
        </w:rPr>
        <w:t>contingencias</w:t>
      </w:r>
    </w:p>
    <w:p w14:paraId="731A87C1" w14:textId="77777777" w:rsidR="00DD368E" w:rsidRPr="004834CB" w:rsidRDefault="00DD368E" w:rsidP="00F6189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provisiones para restauración medioambiental, costes de reestructuración y litigios se reconocen cuando la Sociedad tiene una obligación presente, ya sea legal o implícita, como resultado de sucesos pasados, es probable que vaya a ser necesaria una salida de recursos para liquidar la obligación y el importe se puede estimar de forma fiable. Las provisiones por reestructuración incluyen sanciones por cancelación del arrendamiento y pagos por despido a los empleados. No se reconocen provisiones para pérdidas de explotación futuras.</w:t>
      </w:r>
    </w:p>
    <w:p w14:paraId="5BD6EB67" w14:textId="77777777" w:rsidR="00DD368E" w:rsidRPr="004834CB" w:rsidRDefault="00DD368E" w:rsidP="00F61892">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provisiones se valoran por el valor actual de los desembolsos que se espera que sean necesarios para liquidar la obligación usando un tipo antes de impuestos que refleje las evaluaciones del mercado actual del valor temporal del dinero y los riesgos específicos de la obligación. Los ajustes en la provisión con motivo de su actualización se reconocen como un gasto financiero conforme se van devengando.</w:t>
      </w:r>
    </w:p>
    <w:p w14:paraId="5F11A4A9" w14:textId="77777777" w:rsidR="00EE2AF4" w:rsidRDefault="00DD368E" w:rsidP="00EE2AF4">
      <w:pPr>
        <w:spacing w:before="120"/>
        <w:jc w:val="both"/>
        <w:rPr>
          <w:rFonts w:ascii="Arial Narrow" w:hAnsi="Arial Narrow" w:cs="Arial"/>
          <w:spacing w:val="-2"/>
          <w:sz w:val="24"/>
          <w:szCs w:val="24"/>
        </w:rPr>
      </w:pPr>
      <w:r w:rsidRPr="004834CB">
        <w:rPr>
          <w:rFonts w:ascii="Arial Narrow" w:hAnsi="Arial Narrow" w:cs="Arial"/>
          <w:spacing w:val="-2"/>
          <w:sz w:val="24"/>
          <w:szCs w:val="24"/>
        </w:rPr>
        <w:t>Las provisiones con vencimiento inferior o igual a un año, con un efecto financiero no significativo no se descuentan.</w:t>
      </w:r>
    </w:p>
    <w:p w14:paraId="42E6C3DB" w14:textId="77777777" w:rsidR="00EE2AF4" w:rsidRPr="004834CB" w:rsidRDefault="005B63BD" w:rsidP="009C5E01">
      <w:pPr>
        <w:pStyle w:val="Prrafodelista"/>
        <w:numPr>
          <w:ilvl w:val="1"/>
          <w:numId w:val="16"/>
        </w:numPr>
        <w:spacing w:before="120"/>
        <w:jc w:val="both"/>
        <w:rPr>
          <w:rFonts w:ascii="Arial Narrow" w:hAnsi="Arial Narrow" w:cs="Arial"/>
          <w:b/>
          <w:spacing w:val="-2"/>
          <w:sz w:val="24"/>
          <w:szCs w:val="24"/>
          <w:u w:val="single"/>
        </w:rPr>
      </w:pPr>
      <w:r w:rsidRPr="004834CB">
        <w:rPr>
          <w:rFonts w:ascii="Arial Narrow" w:hAnsi="Arial Narrow" w:cs="Arial"/>
          <w:b/>
          <w:spacing w:val="-2"/>
          <w:sz w:val="24"/>
          <w:szCs w:val="24"/>
          <w:u w:val="single"/>
        </w:rPr>
        <w:t xml:space="preserve"> </w:t>
      </w:r>
      <w:r w:rsidR="00EE2AF4" w:rsidRPr="004834CB">
        <w:rPr>
          <w:rFonts w:ascii="Arial Narrow" w:hAnsi="Arial Narrow" w:cs="Arial"/>
          <w:b/>
          <w:spacing w:val="-2"/>
          <w:sz w:val="24"/>
          <w:szCs w:val="24"/>
          <w:u w:val="single"/>
        </w:rPr>
        <w:t>Elementos patrimoniales de naturaleza medioambiental.</w:t>
      </w:r>
    </w:p>
    <w:p w14:paraId="29F487F2" w14:textId="77777777" w:rsidR="00EE2AF4" w:rsidRPr="004834CB" w:rsidRDefault="00EE2AF4" w:rsidP="005B63BD">
      <w:pPr>
        <w:spacing w:before="120"/>
        <w:jc w:val="both"/>
        <w:rPr>
          <w:rFonts w:ascii="Arial Narrow" w:hAnsi="Arial Narrow" w:cs="Arial"/>
          <w:spacing w:val="-2"/>
          <w:sz w:val="24"/>
          <w:szCs w:val="24"/>
        </w:rPr>
      </w:pPr>
      <w:r w:rsidRPr="004834CB">
        <w:rPr>
          <w:rFonts w:ascii="Arial Narrow" w:hAnsi="Arial Narrow" w:cs="Arial"/>
          <w:spacing w:val="-2"/>
          <w:sz w:val="24"/>
          <w:szCs w:val="24"/>
        </w:rPr>
        <w:t>Los gastos derivados de las actuaciones empresariales encaminadas a la protección y mejora del medio ambiente se contabilizan como gasto en el ejercicio en que se incurren.</w:t>
      </w:r>
    </w:p>
    <w:p w14:paraId="25100B29" w14:textId="77777777" w:rsidR="00EE2AF4" w:rsidRDefault="00EE2AF4" w:rsidP="00EE2AF4">
      <w:pPr>
        <w:spacing w:before="120"/>
        <w:jc w:val="both"/>
        <w:rPr>
          <w:rFonts w:ascii="Arial Narrow" w:hAnsi="Arial Narrow" w:cs="Arial"/>
          <w:spacing w:val="-2"/>
          <w:sz w:val="24"/>
          <w:szCs w:val="24"/>
        </w:rPr>
      </w:pPr>
      <w:r w:rsidRPr="004834CB">
        <w:rPr>
          <w:rFonts w:ascii="Arial Narrow" w:hAnsi="Arial Narrow" w:cs="Arial"/>
          <w:spacing w:val="-2"/>
          <w:sz w:val="24"/>
          <w:szCs w:val="24"/>
        </w:rPr>
        <w:t>Cuando dichos gastos supongan incorporaciones al inmovilizado material, cuyo fin sea la minimización del impacto medio ambiental y la protección y mejora del medio ambiente, se contabilizan como mayor valor del inmovilizado</w:t>
      </w:r>
    </w:p>
    <w:p w14:paraId="7388D8DE" w14:textId="77777777" w:rsidR="00DD368E" w:rsidRPr="004834CB" w:rsidRDefault="00A32588" w:rsidP="00242CD2">
      <w:pPr>
        <w:pStyle w:val="TextePrinc"/>
        <w:keepNext/>
        <w:keepLines/>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Criterios empleados para el registro y valoración de los gastos de personal</w:t>
      </w:r>
    </w:p>
    <w:p w14:paraId="63F4A698" w14:textId="77777777" w:rsidR="00DD368E" w:rsidRPr="004834CB" w:rsidRDefault="00DD368E" w:rsidP="00242CD2">
      <w:pPr>
        <w:pStyle w:val="TextePrinc"/>
        <w:keepNext/>
        <w:keepLines/>
        <w:tabs>
          <w:tab w:val="left" w:pos="1741"/>
          <w:tab w:val="left" w:pos="2451"/>
          <w:tab w:val="left" w:pos="3160"/>
          <w:tab w:val="left" w:pos="3864"/>
          <w:tab w:val="left" w:pos="4571"/>
          <w:tab w:val="left" w:pos="5280"/>
          <w:tab w:val="left" w:pos="5990"/>
          <w:tab w:val="left" w:pos="6699"/>
        </w:tabs>
        <w:spacing w:line="280" w:lineRule="atLeast"/>
        <w:rPr>
          <w:rFonts w:ascii="Arial Narrow" w:hAnsi="Arial Narrow" w:cs="Arial"/>
          <w:noProof w:val="0"/>
          <w:color w:val="auto"/>
          <w:sz w:val="24"/>
          <w:szCs w:val="24"/>
          <w:u w:val="single"/>
        </w:rPr>
      </w:pPr>
      <w:r w:rsidRPr="004834CB">
        <w:rPr>
          <w:rFonts w:ascii="Arial Narrow" w:hAnsi="Arial Narrow" w:cs="Arial"/>
          <w:noProof w:val="0"/>
          <w:color w:val="auto"/>
          <w:sz w:val="24"/>
          <w:szCs w:val="24"/>
          <w:u w:val="single"/>
        </w:rPr>
        <w:t>Indemnizaciones por cese</w:t>
      </w:r>
    </w:p>
    <w:p w14:paraId="3BA80F6D" w14:textId="77777777" w:rsidR="00317DF8" w:rsidRDefault="00DD368E" w:rsidP="00242CD2">
      <w:pPr>
        <w:keepNext/>
        <w:keepLines/>
        <w:spacing w:before="120"/>
        <w:jc w:val="both"/>
        <w:rPr>
          <w:rFonts w:ascii="Arial Narrow" w:hAnsi="Arial Narrow" w:cs="Arial"/>
          <w:spacing w:val="-2"/>
          <w:sz w:val="24"/>
          <w:szCs w:val="24"/>
        </w:rPr>
      </w:pPr>
      <w:r w:rsidRPr="004834CB">
        <w:rPr>
          <w:rFonts w:ascii="Arial Narrow" w:hAnsi="Arial Narrow" w:cs="Arial"/>
          <w:spacing w:val="-2"/>
          <w:sz w:val="24"/>
          <w:szCs w:val="24"/>
        </w:rPr>
        <w:t>Las indemnizaciones por cese se pagan a los empleados como consecuencia de la decisión de la Sociedad de rescindir su contrato de trabajo antes de la edad normal de jubilación o cuando el empleado acepta renunciar voluntariamente a cambio de esas prestaciones. La Sociedad reconoce estas prestaciones cuando se ha comprometido de forma demostrable a cesar en su empleo a los trabajadores de acuerdo con un plan formal detallado sin posibilidad de retirada o a proporcionar indemnizaciones por cese como consecuencia de una oferta para animar a una renuncia voluntaria. Las prestaciones que no se van a pagar en los doce meses siguientes a la fecha del balance se descuentan a su valor actual.</w:t>
      </w:r>
    </w:p>
    <w:p w14:paraId="3964AC41" w14:textId="77777777" w:rsidR="00EE2AF4" w:rsidRPr="00430AE3" w:rsidRDefault="00EE2AF4" w:rsidP="009C5E01">
      <w:pPr>
        <w:pStyle w:val="TextePrinc"/>
        <w:numPr>
          <w:ilvl w:val="1"/>
          <w:numId w:val="16"/>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30AE3">
        <w:rPr>
          <w:rFonts w:ascii="Arial Narrow" w:hAnsi="Arial Narrow" w:cs="Arial"/>
          <w:b/>
          <w:noProof w:val="0"/>
          <w:color w:val="auto"/>
          <w:sz w:val="24"/>
          <w:szCs w:val="24"/>
          <w:u w:val="single"/>
        </w:rPr>
        <w:t>Patrimonio neto</w:t>
      </w:r>
    </w:p>
    <w:p w14:paraId="6631036A" w14:textId="77777777" w:rsidR="00EE2AF4" w:rsidRPr="004834CB" w:rsidRDefault="00EE2AF4" w:rsidP="00E40F6D">
      <w:pPr>
        <w:keepNext/>
        <w:keepLines/>
        <w:spacing w:before="120"/>
        <w:jc w:val="both"/>
        <w:rPr>
          <w:rFonts w:ascii="Arial Narrow" w:hAnsi="Arial Narrow" w:cs="Arial"/>
          <w:spacing w:val="-2"/>
          <w:sz w:val="24"/>
          <w:szCs w:val="24"/>
        </w:rPr>
      </w:pPr>
      <w:r w:rsidRPr="004834CB">
        <w:rPr>
          <w:rFonts w:ascii="Arial Narrow" w:hAnsi="Arial Narrow" w:cs="Arial"/>
          <w:spacing w:val="-2"/>
          <w:sz w:val="24"/>
          <w:szCs w:val="24"/>
        </w:rPr>
        <w:t>El capital social está representado por acciones ordinarias.</w:t>
      </w:r>
    </w:p>
    <w:p w14:paraId="015CF67E" w14:textId="77777777" w:rsidR="00EE2AF4" w:rsidRPr="004834CB" w:rsidRDefault="00EE2AF4" w:rsidP="00EE2AF4">
      <w:pPr>
        <w:keepNext/>
        <w:keepLines/>
        <w:spacing w:before="120"/>
        <w:jc w:val="both"/>
        <w:rPr>
          <w:rFonts w:ascii="Arial Narrow" w:hAnsi="Arial Narrow" w:cs="Arial"/>
          <w:spacing w:val="-2"/>
          <w:sz w:val="24"/>
          <w:szCs w:val="24"/>
        </w:rPr>
      </w:pPr>
      <w:r w:rsidRPr="004834CB">
        <w:rPr>
          <w:rFonts w:ascii="Arial Narrow" w:hAnsi="Arial Narrow" w:cs="Arial"/>
          <w:spacing w:val="-2"/>
          <w:sz w:val="24"/>
          <w:szCs w:val="24"/>
        </w:rPr>
        <w:t>Los costes de emisión de nuevas acciones u opciones se presentan directamente contra el patrimonio neto, como menores reservas.</w:t>
      </w:r>
    </w:p>
    <w:p w14:paraId="6668F259" w14:textId="77777777" w:rsidR="00EE2AF4" w:rsidRDefault="00EE2AF4" w:rsidP="00EE2AF4">
      <w:pPr>
        <w:keepNext/>
        <w:keepLines/>
        <w:spacing w:before="120"/>
        <w:jc w:val="both"/>
        <w:rPr>
          <w:rFonts w:ascii="Arial Narrow" w:hAnsi="Arial Narrow" w:cs="Arial"/>
          <w:spacing w:val="-2"/>
          <w:sz w:val="24"/>
          <w:szCs w:val="24"/>
        </w:rPr>
      </w:pPr>
      <w:r w:rsidRPr="004834CB">
        <w:rPr>
          <w:rFonts w:ascii="Arial Narrow" w:hAnsi="Arial Narrow" w:cs="Arial"/>
          <w:spacing w:val="-2"/>
          <w:sz w:val="24"/>
          <w:szCs w:val="24"/>
        </w:rPr>
        <w:t>En el caso de adquisición de acciones propias de la Sociedad, la contraprestación pagada, incluido cualquier coste incremental directamente atribuible, se deduce del patrimonio neto hasta su cancelación, emisión de nuevo o enajenación. Cuando estas acciones se venden o se vuelven a emitir posteriormente, cualquier importe recibido, neto de cualquier coste incremental de la transacción directamente atribuible, se incluye en el patrimonio neto.</w:t>
      </w:r>
    </w:p>
    <w:p w14:paraId="63263179" w14:textId="77777777" w:rsidR="00EE2AF4" w:rsidRPr="004834CB" w:rsidRDefault="00EE2AF4" w:rsidP="009C5E01">
      <w:pPr>
        <w:pStyle w:val="TextePrinc"/>
        <w:numPr>
          <w:ilvl w:val="1"/>
          <w:numId w:val="19"/>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Subvenciones, donaciones y legados</w:t>
      </w:r>
    </w:p>
    <w:p w14:paraId="4B44DEE6" w14:textId="77777777" w:rsidR="00EE2AF4" w:rsidRPr="004834CB" w:rsidRDefault="00EE2AF4" w:rsidP="00EE2AF4">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Las subvenciones no reintegrables recibidas de los socios se registran directamente en fondos propios.</w:t>
      </w:r>
    </w:p>
    <w:p w14:paraId="2C2805A2" w14:textId="77777777" w:rsidR="00EE2AF4" w:rsidRPr="004834CB" w:rsidRDefault="00EE2AF4" w:rsidP="00EE2AF4">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166CD6CB" w14:textId="77777777" w:rsidR="00881B28" w:rsidRPr="004834CB" w:rsidRDefault="00EE2AF4" w:rsidP="00881B28">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Las subvenciones de carácter monetario se valoran por el valor razonable del importe concedido y las subvenciones no monetarias por el valor razonable del bien recibido, referidos ambos valores al momento de su reconocimiento.</w:t>
      </w:r>
    </w:p>
    <w:p w14:paraId="6878F366" w14:textId="77777777" w:rsidR="00EE2AF4" w:rsidRPr="004834CB" w:rsidRDefault="00EE2AF4" w:rsidP="00881B28">
      <w:pPr>
        <w:spacing w:before="120" w:after="120"/>
        <w:jc w:val="both"/>
        <w:rPr>
          <w:rFonts w:ascii="Arial Narrow" w:hAnsi="Arial Narrow" w:cs="Arial"/>
          <w:spacing w:val="-2"/>
          <w:sz w:val="24"/>
          <w:szCs w:val="24"/>
        </w:rPr>
      </w:pPr>
      <w:r w:rsidRPr="004834CB">
        <w:rPr>
          <w:rFonts w:ascii="Arial Narrow" w:hAnsi="Arial Narrow" w:cs="Arial"/>
          <w:spacing w:val="-2"/>
          <w:sz w:val="24"/>
          <w:szCs w:val="24"/>
        </w:rPr>
        <w:t xml:space="preserve">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  </w:t>
      </w:r>
    </w:p>
    <w:p w14:paraId="031E7F1A" w14:textId="77777777" w:rsidR="00EE2AF4" w:rsidRDefault="00EE2AF4" w:rsidP="00EE2AF4">
      <w:pPr>
        <w:spacing w:before="120"/>
        <w:jc w:val="both"/>
        <w:rPr>
          <w:rFonts w:ascii="Arial Narrow" w:hAnsi="Arial Narrow" w:cs="Arial"/>
          <w:spacing w:val="-2"/>
          <w:sz w:val="24"/>
          <w:szCs w:val="24"/>
        </w:rPr>
      </w:pPr>
      <w:r w:rsidRPr="004834CB">
        <w:rPr>
          <w:rFonts w:ascii="Arial Narrow" w:hAnsi="Arial Narrow" w:cs="Arial"/>
          <w:spacing w:val="-2"/>
          <w:sz w:val="24"/>
          <w:szCs w:val="24"/>
        </w:rPr>
        <w:t>Las trasferencias recibidas de su accionista único (Comunidad Autónoma de Canarias) con el objeto de financiar gastos generales de funcionamiento de la empresa, no asociadas con ninguna actividad o área de actividad en concreto, sino con el conjunto de actividades que realiza el ITC, tienen la consideración de “Aportaciones de socios” y como tales, son clasificadas en el capítulo “Patrimonio neto” del balance de situación.</w:t>
      </w:r>
    </w:p>
    <w:p w14:paraId="43FEC344" w14:textId="77777777" w:rsidR="00DD368E" w:rsidRPr="004834CB" w:rsidRDefault="00EE2AF4" w:rsidP="009C5E01">
      <w:pPr>
        <w:pStyle w:val="TextePrinc"/>
        <w:numPr>
          <w:ilvl w:val="1"/>
          <w:numId w:val="19"/>
        </w:numPr>
        <w:tabs>
          <w:tab w:val="clear" w:pos="1413"/>
          <w:tab w:val="left" w:pos="426"/>
          <w:tab w:val="left" w:pos="1741"/>
          <w:tab w:val="left" w:pos="2451"/>
          <w:tab w:val="left" w:pos="3160"/>
          <w:tab w:val="left" w:pos="3864"/>
          <w:tab w:val="left" w:pos="4571"/>
          <w:tab w:val="left" w:pos="5280"/>
          <w:tab w:val="left" w:pos="5990"/>
          <w:tab w:val="left" w:pos="6699"/>
        </w:tabs>
        <w:spacing w:before="240" w:after="120"/>
        <w:jc w:val="both"/>
        <w:rPr>
          <w:rFonts w:ascii="Arial Narrow" w:hAnsi="Arial Narrow" w:cs="Arial"/>
          <w:b/>
          <w:noProof w:val="0"/>
          <w:color w:val="auto"/>
          <w:sz w:val="24"/>
          <w:szCs w:val="24"/>
          <w:u w:val="single"/>
        </w:rPr>
      </w:pPr>
      <w:r w:rsidRPr="004834CB">
        <w:rPr>
          <w:rFonts w:ascii="Arial Narrow" w:hAnsi="Arial Narrow" w:cs="Arial"/>
          <w:b/>
          <w:noProof w:val="0"/>
          <w:color w:val="auto"/>
          <w:sz w:val="24"/>
          <w:szCs w:val="24"/>
          <w:u w:val="single"/>
        </w:rPr>
        <w:t>Criterios empleados en transacciones entre partes vinculadas</w:t>
      </w:r>
    </w:p>
    <w:p w14:paraId="1F95D1BD" w14:textId="77777777" w:rsidR="00845159" w:rsidRDefault="00DD368E" w:rsidP="00AE4272">
      <w:pPr>
        <w:spacing w:before="120"/>
        <w:jc w:val="both"/>
        <w:rPr>
          <w:rFonts w:ascii="Arial Narrow" w:hAnsi="Arial Narrow" w:cs="Arial"/>
          <w:spacing w:val="-2"/>
          <w:sz w:val="24"/>
          <w:szCs w:val="24"/>
        </w:rPr>
      </w:pPr>
      <w:r w:rsidRPr="004834CB">
        <w:rPr>
          <w:rFonts w:ascii="Arial Narrow" w:hAnsi="Arial Narrow" w:cs="Arial"/>
          <w:spacing w:val="-2"/>
          <w:sz w:val="24"/>
          <w:szCs w:val="24"/>
        </w:rPr>
        <w:t>Con carácter general, las operaciones entre empresas del grupo se contabilizan en el momento inicial por su valor razonable. En su caso, si el precio acordado difiere de su valor razonable, la diferencia se registra atendiendo a la realidad económica de la operación. La valoración posterior se realiza conforme con lo previsto en las correspondientes normas.</w:t>
      </w:r>
    </w:p>
    <w:p w14:paraId="519BF575" w14:textId="77777777" w:rsidR="0070080D" w:rsidRDefault="0070080D" w:rsidP="00850B72">
      <w:pPr>
        <w:rPr>
          <w:rFonts w:ascii="Arial Narrow" w:hAnsi="Arial Narrow" w:cs="Arial"/>
          <w:b/>
          <w:caps/>
          <w:snapToGrid w:val="0"/>
          <w:sz w:val="24"/>
          <w:szCs w:val="24"/>
          <w:u w:val="single"/>
          <w:lang w:eastAsia="es-ES"/>
        </w:rPr>
      </w:pPr>
    </w:p>
    <w:p w14:paraId="67247360" w14:textId="77777777" w:rsidR="003C1D8E" w:rsidRPr="00EC2E58" w:rsidRDefault="003C1D8E" w:rsidP="003C1D8E">
      <w:pPr>
        <w:pStyle w:val="Textoindependiente"/>
        <w:jc w:val="both"/>
        <w:rPr>
          <w:rFonts w:ascii="Arial Narrow" w:hAnsi="Arial Narrow" w:cs="Arial"/>
          <w:i w:val="0"/>
          <w:snapToGrid/>
          <w:color w:val="auto"/>
          <w:spacing w:val="-2"/>
          <w:sz w:val="24"/>
          <w:szCs w:val="24"/>
          <w:lang w:eastAsia="en-US"/>
        </w:rPr>
      </w:pPr>
      <w:r w:rsidRPr="00EC2E58">
        <w:rPr>
          <w:rFonts w:ascii="Arial Narrow" w:hAnsi="Arial Narrow" w:cs="Arial"/>
          <w:i w:val="0"/>
          <w:snapToGrid/>
          <w:color w:val="auto"/>
          <w:spacing w:val="-2"/>
          <w:sz w:val="24"/>
          <w:szCs w:val="24"/>
          <w:lang w:eastAsia="en-US"/>
        </w:rPr>
        <w:t>Esta norma de valoración afecta a las partes vinculadas que se explicitan en la Norma de elaboración de las cuentas anuales 13ª del Plan General de Contabilidad. En este sentido:</w:t>
      </w:r>
    </w:p>
    <w:p w14:paraId="7C6B1CF6" w14:textId="77777777" w:rsidR="003C1D8E" w:rsidRPr="00EC2E58" w:rsidRDefault="003C1D8E" w:rsidP="009C5E01">
      <w:pPr>
        <w:pStyle w:val="Textoindependiente"/>
        <w:widowControl/>
        <w:numPr>
          <w:ilvl w:val="1"/>
          <w:numId w:val="21"/>
        </w:numPr>
        <w:tabs>
          <w:tab w:val="clear" w:pos="720"/>
          <w:tab w:val="clear" w:pos="939"/>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20"/>
        <w:ind w:left="284" w:hanging="284"/>
        <w:jc w:val="both"/>
        <w:outlineLvl w:val="9"/>
        <w:rPr>
          <w:rFonts w:ascii="Arial Narrow" w:hAnsi="Arial Narrow" w:cs="Arial"/>
          <w:i w:val="0"/>
          <w:snapToGrid/>
          <w:color w:val="auto"/>
          <w:spacing w:val="-2"/>
          <w:sz w:val="24"/>
          <w:szCs w:val="24"/>
          <w:lang w:eastAsia="en-US"/>
        </w:rPr>
      </w:pPr>
      <w:r w:rsidRPr="00EC2E58">
        <w:rPr>
          <w:rFonts w:ascii="Arial Narrow" w:hAnsi="Arial Narrow" w:cs="Arial"/>
          <w:i w:val="0"/>
          <w:snapToGrid/>
          <w:color w:val="auto"/>
          <w:spacing w:val="-2"/>
          <w:sz w:val="24"/>
          <w:szCs w:val="24"/>
          <w:lang w:eastAsia="en-US"/>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14:paraId="34430992" w14:textId="77777777" w:rsidR="003C1D8E" w:rsidRPr="00EC2E58" w:rsidRDefault="003C1D8E" w:rsidP="009C5E01">
      <w:pPr>
        <w:pStyle w:val="Textoindependiente"/>
        <w:widowControl/>
        <w:numPr>
          <w:ilvl w:val="1"/>
          <w:numId w:val="21"/>
        </w:numPr>
        <w:tabs>
          <w:tab w:val="clear" w:pos="720"/>
          <w:tab w:val="clear" w:pos="939"/>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20"/>
        <w:ind w:left="284" w:hanging="240"/>
        <w:jc w:val="both"/>
        <w:outlineLvl w:val="9"/>
        <w:rPr>
          <w:rFonts w:ascii="Arial Narrow" w:hAnsi="Arial Narrow" w:cs="Arial"/>
          <w:i w:val="0"/>
          <w:snapToGrid/>
          <w:color w:val="auto"/>
          <w:spacing w:val="-2"/>
          <w:sz w:val="24"/>
          <w:szCs w:val="24"/>
          <w:lang w:eastAsia="en-US"/>
        </w:rPr>
      </w:pPr>
      <w:bookmarkStart w:id="2" w:name="OLE_LINK3"/>
      <w:bookmarkStart w:id="3" w:name="OLE_LINK4"/>
      <w:r w:rsidRPr="00EC2E58">
        <w:rPr>
          <w:rFonts w:ascii="Arial Narrow" w:hAnsi="Arial Narrow" w:cs="Arial"/>
          <w:i w:val="0"/>
          <w:snapToGrid/>
          <w:color w:val="auto"/>
          <w:spacing w:val="-2"/>
          <w:sz w:val="24"/>
          <w:szCs w:val="24"/>
          <w:lang w:eastAsia="en-US"/>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14:paraId="0AD2F7CA" w14:textId="77777777" w:rsidR="003C1D8E" w:rsidRPr="00EC2E58" w:rsidRDefault="003C1D8E" w:rsidP="009C5E01">
      <w:pPr>
        <w:pStyle w:val="Textoindependiente"/>
        <w:widowControl/>
        <w:numPr>
          <w:ilvl w:val="1"/>
          <w:numId w:val="21"/>
        </w:numPr>
        <w:tabs>
          <w:tab w:val="clear" w:pos="720"/>
          <w:tab w:val="clear" w:pos="939"/>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20"/>
        <w:ind w:left="284" w:hanging="240"/>
        <w:jc w:val="both"/>
        <w:outlineLvl w:val="9"/>
        <w:rPr>
          <w:rFonts w:ascii="Arial Narrow" w:hAnsi="Arial Narrow" w:cs="Arial"/>
          <w:i w:val="0"/>
          <w:snapToGrid/>
          <w:color w:val="auto"/>
          <w:spacing w:val="-2"/>
          <w:sz w:val="24"/>
          <w:szCs w:val="24"/>
          <w:lang w:eastAsia="en-US"/>
        </w:rPr>
      </w:pPr>
      <w:r w:rsidRPr="00EC2E58">
        <w:rPr>
          <w:rFonts w:ascii="Arial Narrow" w:hAnsi="Arial Narrow" w:cs="Arial"/>
          <w:i w:val="0"/>
          <w:snapToGrid/>
          <w:color w:val="auto"/>
          <w:spacing w:val="-2"/>
          <w:sz w:val="24"/>
          <w:szCs w:val="24"/>
          <w:lang w:eastAsia="en-US"/>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bookmarkEnd w:id="2"/>
    <w:bookmarkEnd w:id="3"/>
    <w:p w14:paraId="5A78BA60" w14:textId="77777777" w:rsidR="003C1D8E" w:rsidRPr="003C1D8E" w:rsidRDefault="003C1D8E" w:rsidP="003C1D8E">
      <w:pPr>
        <w:pStyle w:val="Textoindependiente"/>
        <w:ind w:left="44"/>
        <w:jc w:val="both"/>
        <w:rPr>
          <w:rFonts w:ascii="Arial Narrow" w:hAnsi="Arial Narrow" w:cs="Arial"/>
          <w:i w:val="0"/>
          <w:snapToGrid/>
          <w:color w:val="auto"/>
          <w:spacing w:val="-2"/>
          <w:sz w:val="24"/>
          <w:szCs w:val="24"/>
          <w:lang w:eastAsia="en-US"/>
        </w:rPr>
      </w:pPr>
      <w:r w:rsidRPr="00EC2E58">
        <w:rPr>
          <w:rFonts w:ascii="Arial Narrow" w:hAnsi="Arial Narrow" w:cs="Arial"/>
          <w:i w:val="0"/>
          <w:snapToGrid/>
          <w:color w:val="auto"/>
          <w:spacing w:val="-2"/>
          <w:sz w:val="24"/>
          <w:szCs w:val="24"/>
          <w:lang w:eastAsia="en-US"/>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14:paraId="6680C233" w14:textId="74A719A2" w:rsidR="009C5E01" w:rsidRDefault="009C5E01" w:rsidP="00850B72">
      <w:pPr>
        <w:rPr>
          <w:rFonts w:ascii="Arial Narrow" w:hAnsi="Arial Narrow" w:cs="Arial"/>
          <w:b/>
          <w:caps/>
          <w:snapToGrid w:val="0"/>
          <w:sz w:val="24"/>
          <w:szCs w:val="24"/>
          <w:u w:val="single"/>
          <w:lang w:eastAsia="es-ES"/>
        </w:rPr>
      </w:pPr>
    </w:p>
    <w:p w14:paraId="498F4666" w14:textId="77777777" w:rsidR="009C5E01" w:rsidRDefault="009C5E01" w:rsidP="00850B72">
      <w:pPr>
        <w:rPr>
          <w:rFonts w:ascii="Arial Narrow" w:hAnsi="Arial Narrow" w:cs="Arial"/>
          <w:b/>
          <w:caps/>
          <w:snapToGrid w:val="0"/>
          <w:sz w:val="24"/>
          <w:szCs w:val="24"/>
          <w:u w:val="single"/>
          <w:lang w:eastAsia="es-ES"/>
        </w:rPr>
      </w:pPr>
    </w:p>
    <w:p w14:paraId="175F1010" w14:textId="77777777" w:rsidR="00430AE3" w:rsidRDefault="005F665F" w:rsidP="00430AE3">
      <w:pPr>
        <w:rPr>
          <w:rFonts w:ascii="Arial Narrow" w:hAnsi="Arial Narrow" w:cs="Arial"/>
          <w:b/>
          <w:caps/>
          <w:snapToGrid w:val="0"/>
          <w:sz w:val="24"/>
          <w:szCs w:val="24"/>
          <w:u w:val="single"/>
          <w:lang w:eastAsia="es-ES"/>
        </w:rPr>
      </w:pPr>
      <w:r w:rsidRPr="004834CB">
        <w:rPr>
          <w:rFonts w:ascii="Arial Narrow" w:hAnsi="Arial Narrow" w:cs="Arial"/>
          <w:b/>
          <w:caps/>
          <w:snapToGrid w:val="0"/>
          <w:sz w:val="24"/>
          <w:szCs w:val="24"/>
          <w:u w:val="single"/>
          <w:lang w:eastAsia="es-ES"/>
        </w:rPr>
        <w:t xml:space="preserve">NOTA 5. </w:t>
      </w:r>
      <w:r w:rsidR="00DD368E" w:rsidRPr="004834CB">
        <w:rPr>
          <w:rFonts w:ascii="Arial Narrow" w:hAnsi="Arial Narrow" w:cs="Arial"/>
          <w:b/>
          <w:caps/>
          <w:snapToGrid w:val="0"/>
          <w:sz w:val="24"/>
          <w:szCs w:val="24"/>
          <w:u w:val="single"/>
          <w:lang w:eastAsia="es-ES"/>
        </w:rPr>
        <w:t>Inmovilizado intangible</w:t>
      </w:r>
    </w:p>
    <w:p w14:paraId="34F7E70B" w14:textId="77777777" w:rsidR="00430AE3" w:rsidRPr="005D34F2" w:rsidRDefault="00430AE3" w:rsidP="009C5E01">
      <w:pPr>
        <w:pStyle w:val="TextePrinc"/>
        <w:numPr>
          <w:ilvl w:val="0"/>
          <w:numId w:val="11"/>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ind w:left="714" w:hanging="357"/>
        <w:jc w:val="both"/>
        <w:rPr>
          <w:rFonts w:ascii="Arial Narrow" w:hAnsi="Arial Narrow" w:cs="Arial"/>
          <w:noProof w:val="0"/>
          <w:color w:val="000000" w:themeColor="text1"/>
          <w:sz w:val="24"/>
          <w:szCs w:val="24"/>
          <w:u w:val="single"/>
        </w:rPr>
      </w:pPr>
      <w:r w:rsidRPr="005D34F2">
        <w:rPr>
          <w:rFonts w:ascii="Arial Narrow" w:hAnsi="Arial Narrow" w:cs="Arial"/>
          <w:noProof w:val="0"/>
          <w:color w:val="000000" w:themeColor="text1"/>
          <w:sz w:val="24"/>
          <w:szCs w:val="24"/>
          <w:u w:val="single"/>
        </w:rPr>
        <w:t xml:space="preserve">Altas </w:t>
      </w:r>
    </w:p>
    <w:p w14:paraId="25675170" w14:textId="77777777" w:rsidR="00430AE3" w:rsidRDefault="00430AE3" w:rsidP="00430AE3">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jc w:val="both"/>
        <w:rPr>
          <w:rFonts w:ascii="Arial Narrow" w:hAnsi="Arial Narrow" w:cs="Arial"/>
          <w:color w:val="000000" w:themeColor="text1"/>
          <w:spacing w:val="-2"/>
          <w:sz w:val="24"/>
          <w:szCs w:val="24"/>
        </w:rPr>
      </w:pPr>
      <w:r w:rsidRPr="00E22607">
        <w:rPr>
          <w:rFonts w:ascii="Arial Narrow" w:hAnsi="Arial Narrow" w:cs="Arial"/>
          <w:color w:val="000000" w:themeColor="text1"/>
          <w:sz w:val="24"/>
          <w:szCs w:val="24"/>
        </w:rPr>
        <w:t>Las Altas del ejercicio se corresponden, exclusivamente, con Licencias de programas informáticos incluidos en la partida de Aplicaciones informáticas y a la cuota anual de una de las patentes de la sociedad.</w:t>
      </w:r>
      <w:r w:rsidRPr="00FF649C">
        <w:rPr>
          <w:rFonts w:ascii="Arial Narrow" w:hAnsi="Arial Narrow" w:cs="Arial"/>
          <w:color w:val="000000" w:themeColor="text1"/>
          <w:spacing w:val="-2"/>
          <w:sz w:val="24"/>
          <w:szCs w:val="24"/>
        </w:rPr>
        <w:t xml:space="preserve"> </w:t>
      </w:r>
    </w:p>
    <w:p w14:paraId="07ABF142" w14:textId="77777777" w:rsidR="00430AE3" w:rsidRPr="000D6FC2" w:rsidRDefault="00430AE3" w:rsidP="00430AE3">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jc w:val="both"/>
        <w:rPr>
          <w:rFonts w:ascii="Arial Narrow" w:hAnsi="Arial Narrow" w:cs="Arial"/>
          <w:noProof w:val="0"/>
          <w:color w:val="auto"/>
          <w:sz w:val="24"/>
          <w:szCs w:val="24"/>
          <w:u w:val="single"/>
        </w:rPr>
      </w:pPr>
      <w:r w:rsidRPr="000D6FC2">
        <w:rPr>
          <w:rFonts w:ascii="Arial Narrow" w:hAnsi="Arial Narrow" w:cs="Arial"/>
          <w:noProof w:val="0"/>
          <w:color w:val="auto"/>
          <w:sz w:val="24"/>
          <w:szCs w:val="24"/>
          <w:u w:val="single"/>
        </w:rPr>
        <w:t>Inmovilizado intangible totalmente amortizado.</w:t>
      </w:r>
    </w:p>
    <w:p w14:paraId="6A5333F6" w14:textId="77777777" w:rsidR="00430AE3" w:rsidRDefault="00430AE3" w:rsidP="00430AE3">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jc w:val="both"/>
        <w:rPr>
          <w:rFonts w:ascii="Arial Narrow" w:hAnsi="Arial Narrow" w:cs="Arial"/>
          <w:color w:val="000000" w:themeColor="text1"/>
          <w:spacing w:val="-2"/>
          <w:sz w:val="24"/>
          <w:szCs w:val="24"/>
        </w:rPr>
      </w:pPr>
      <w:r w:rsidRPr="000D6FC2">
        <w:rPr>
          <w:rFonts w:ascii="Arial Narrow" w:hAnsi="Arial Narrow" w:cs="Arial"/>
          <w:color w:val="auto"/>
          <w:spacing w:val="-2"/>
          <w:sz w:val="24"/>
          <w:szCs w:val="24"/>
        </w:rPr>
        <w:t>La Sociedad tiene los siguientes inmovilizados intangibles totalmente amortizados a</w:t>
      </w:r>
      <w:r w:rsidRPr="00DE6415">
        <w:rPr>
          <w:rFonts w:ascii="Arial Narrow" w:hAnsi="Arial Narrow" w:cs="Arial"/>
          <w:color w:val="000000" w:themeColor="text1"/>
          <w:spacing w:val="-2"/>
          <w:sz w:val="24"/>
          <w:szCs w:val="24"/>
        </w:rPr>
        <w:t xml:space="preserve"> 31 de diciembre de 201</w:t>
      </w:r>
      <w:r w:rsidR="003E1C60">
        <w:rPr>
          <w:rFonts w:ascii="Arial Narrow" w:hAnsi="Arial Narrow" w:cs="Arial"/>
          <w:color w:val="000000" w:themeColor="text1"/>
          <w:spacing w:val="-2"/>
          <w:sz w:val="24"/>
          <w:szCs w:val="24"/>
        </w:rPr>
        <w:t>9</w:t>
      </w:r>
      <w:r>
        <w:rPr>
          <w:rFonts w:ascii="Arial Narrow" w:hAnsi="Arial Narrow" w:cs="Arial"/>
          <w:color w:val="000000" w:themeColor="text1"/>
          <w:spacing w:val="-2"/>
          <w:sz w:val="24"/>
          <w:szCs w:val="24"/>
        </w:rPr>
        <w:t xml:space="preserve"> y 201</w:t>
      </w:r>
      <w:r w:rsidR="003E1C60">
        <w:rPr>
          <w:rFonts w:ascii="Arial Narrow" w:hAnsi="Arial Narrow" w:cs="Arial"/>
          <w:color w:val="000000" w:themeColor="text1"/>
          <w:spacing w:val="-2"/>
          <w:sz w:val="24"/>
          <w:szCs w:val="24"/>
        </w:rPr>
        <w:t>8</w:t>
      </w:r>
      <w:r w:rsidRPr="00DE6415">
        <w:rPr>
          <w:rFonts w:ascii="Arial Narrow" w:hAnsi="Arial Narrow" w:cs="Arial"/>
          <w:color w:val="000000" w:themeColor="text1"/>
          <w:spacing w:val="-2"/>
          <w:sz w:val="24"/>
          <w:szCs w:val="24"/>
        </w:rPr>
        <w:t>:</w:t>
      </w:r>
    </w:p>
    <w:p w14:paraId="14FD4D0C" w14:textId="77777777" w:rsidR="00430AE3" w:rsidRDefault="003E1C60" w:rsidP="00430AE3">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jc w:val="center"/>
        <w:rPr>
          <w:rFonts w:ascii="Arial Narrow" w:hAnsi="Arial Narrow" w:cs="Arial"/>
          <w:color w:val="000000" w:themeColor="text1"/>
          <w:spacing w:val="-2"/>
          <w:sz w:val="24"/>
          <w:szCs w:val="24"/>
        </w:rPr>
      </w:pPr>
      <w:r w:rsidRPr="003E1C60">
        <w:rPr>
          <w:lang w:val="es-ES"/>
        </w:rPr>
        <w:drawing>
          <wp:inline distT="0" distB="0" distL="0" distR="0" wp14:anchorId="5FC9A36E" wp14:editId="558F8FA5">
            <wp:extent cx="5236210" cy="1095375"/>
            <wp:effectExtent l="0" t="0" r="254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6210" cy="1095375"/>
                    </a:xfrm>
                    <a:prstGeom prst="rect">
                      <a:avLst/>
                    </a:prstGeom>
                    <a:noFill/>
                    <a:ln>
                      <a:noFill/>
                    </a:ln>
                  </pic:spPr>
                </pic:pic>
              </a:graphicData>
            </a:graphic>
          </wp:inline>
        </w:drawing>
      </w:r>
    </w:p>
    <w:p w14:paraId="54816F51" w14:textId="77777777" w:rsidR="00430AE3" w:rsidRPr="002502CE" w:rsidRDefault="00430AE3" w:rsidP="009C5E01">
      <w:pPr>
        <w:pStyle w:val="TextePrinc"/>
        <w:numPr>
          <w:ilvl w:val="0"/>
          <w:numId w:val="20"/>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jc w:val="both"/>
        <w:rPr>
          <w:rFonts w:ascii="Arial Narrow" w:hAnsi="Arial Narrow" w:cs="Arial"/>
          <w:noProof w:val="0"/>
          <w:color w:val="auto"/>
          <w:sz w:val="24"/>
          <w:szCs w:val="24"/>
          <w:u w:val="single"/>
        </w:rPr>
      </w:pPr>
      <w:r w:rsidRPr="002502CE">
        <w:rPr>
          <w:rFonts w:ascii="Arial Narrow" w:hAnsi="Arial Narrow" w:cs="Arial"/>
          <w:noProof w:val="0"/>
          <w:color w:val="auto"/>
          <w:sz w:val="24"/>
          <w:szCs w:val="24"/>
          <w:u w:val="single"/>
        </w:rPr>
        <w:t>Activos afectos a garantías y restricciones a la titularidad</w:t>
      </w:r>
    </w:p>
    <w:p w14:paraId="04986BD8" w14:textId="77777777" w:rsidR="00430AE3" w:rsidRDefault="00430AE3" w:rsidP="00430AE3">
      <w:pPr>
        <w:spacing w:line="280" w:lineRule="atLeast"/>
        <w:jc w:val="both"/>
        <w:rPr>
          <w:rFonts w:ascii="Arial Narrow" w:hAnsi="Arial Narrow" w:cs="Arial"/>
          <w:snapToGrid w:val="0"/>
          <w:sz w:val="24"/>
          <w:szCs w:val="24"/>
        </w:rPr>
      </w:pPr>
      <w:r w:rsidRPr="002502CE">
        <w:rPr>
          <w:rFonts w:ascii="Arial Narrow" w:hAnsi="Arial Narrow" w:cs="Arial"/>
          <w:snapToGrid w:val="0"/>
          <w:sz w:val="24"/>
          <w:szCs w:val="24"/>
        </w:rPr>
        <w:t xml:space="preserve">A </w:t>
      </w:r>
      <w:r w:rsidRPr="00DE6415">
        <w:rPr>
          <w:rFonts w:ascii="Arial Narrow" w:hAnsi="Arial Narrow" w:cs="Arial"/>
          <w:snapToGrid w:val="0"/>
          <w:color w:val="000000" w:themeColor="text1"/>
          <w:sz w:val="24"/>
          <w:szCs w:val="24"/>
        </w:rPr>
        <w:t>31 de diciembre de 201</w:t>
      </w:r>
      <w:r w:rsidR="003E1C60">
        <w:rPr>
          <w:rFonts w:ascii="Arial Narrow" w:hAnsi="Arial Narrow" w:cs="Arial"/>
          <w:snapToGrid w:val="0"/>
          <w:color w:val="000000" w:themeColor="text1"/>
          <w:sz w:val="24"/>
          <w:szCs w:val="24"/>
        </w:rPr>
        <w:t>9</w:t>
      </w:r>
      <w:r w:rsidRPr="002502CE">
        <w:rPr>
          <w:rFonts w:ascii="Arial Narrow" w:hAnsi="Arial Narrow" w:cs="Arial"/>
          <w:snapToGrid w:val="0"/>
          <w:sz w:val="24"/>
          <w:szCs w:val="24"/>
        </w:rPr>
        <w:t xml:space="preserve"> no existen activos intangibles significativos sujetos a restricciones de titularidad o pignorados como garantías de pasivos.</w:t>
      </w:r>
    </w:p>
    <w:p w14:paraId="666DE2C8" w14:textId="77777777" w:rsidR="00430AE3" w:rsidRPr="004D336A" w:rsidRDefault="00430AE3" w:rsidP="009C5E01">
      <w:pPr>
        <w:pStyle w:val="TextePrinc"/>
        <w:numPr>
          <w:ilvl w:val="0"/>
          <w:numId w:val="20"/>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ind w:left="714" w:hanging="357"/>
        <w:jc w:val="both"/>
        <w:rPr>
          <w:rFonts w:ascii="Arial Narrow" w:hAnsi="Arial Narrow" w:cs="Arial"/>
          <w:noProof w:val="0"/>
          <w:color w:val="auto"/>
          <w:sz w:val="24"/>
          <w:szCs w:val="24"/>
          <w:u w:val="single"/>
        </w:rPr>
      </w:pPr>
      <w:r w:rsidRPr="004D336A">
        <w:rPr>
          <w:rFonts w:ascii="Arial Narrow" w:hAnsi="Arial Narrow" w:cs="Arial"/>
          <w:noProof w:val="0"/>
          <w:color w:val="auto"/>
          <w:sz w:val="24"/>
          <w:szCs w:val="24"/>
          <w:u w:val="single"/>
        </w:rPr>
        <w:t>Seguros</w:t>
      </w:r>
    </w:p>
    <w:p w14:paraId="20A1FE08" w14:textId="77777777" w:rsidR="00430AE3" w:rsidRDefault="00430AE3" w:rsidP="00430AE3">
      <w:pPr>
        <w:spacing w:line="280" w:lineRule="atLeast"/>
        <w:jc w:val="both"/>
        <w:rPr>
          <w:rFonts w:ascii="Arial Narrow" w:hAnsi="Arial Narrow" w:cs="Arial"/>
          <w:sz w:val="24"/>
          <w:szCs w:val="24"/>
        </w:rPr>
      </w:pPr>
      <w:r w:rsidRPr="006A730F">
        <w:rPr>
          <w:rFonts w:ascii="Arial Narrow" w:hAnsi="Arial Narrow" w:cs="Arial"/>
          <w:sz w:val="24"/>
          <w:szCs w:val="24"/>
        </w:rPr>
        <w:t>La Sociedad tiene contratadas varias pólizas de seguro para cubrir los riesgos a que están sujetos los bienes del inmovilizado intangible. La cobertura de estas pólizas se considera suficiente.</w:t>
      </w:r>
    </w:p>
    <w:p w14:paraId="5E886187" w14:textId="77777777" w:rsidR="00430AE3" w:rsidRPr="00E951B1" w:rsidRDefault="00430AE3" w:rsidP="009C5E01">
      <w:pPr>
        <w:pStyle w:val="TextePrinc"/>
        <w:numPr>
          <w:ilvl w:val="0"/>
          <w:numId w:val="20"/>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ind w:left="714" w:hanging="357"/>
        <w:jc w:val="both"/>
        <w:rPr>
          <w:rFonts w:ascii="Arial Narrow" w:hAnsi="Arial Narrow" w:cs="Arial"/>
          <w:spacing w:val="-2"/>
          <w:sz w:val="24"/>
          <w:szCs w:val="24"/>
        </w:rPr>
      </w:pPr>
      <w:r w:rsidRPr="00430AE3">
        <w:rPr>
          <w:rFonts w:ascii="Arial Narrow" w:hAnsi="Arial Narrow" w:cs="Arial"/>
          <w:noProof w:val="0"/>
          <w:color w:val="auto"/>
          <w:sz w:val="24"/>
          <w:szCs w:val="24"/>
          <w:u w:val="single"/>
        </w:rPr>
        <w:t xml:space="preserve">Bajas </w:t>
      </w:r>
    </w:p>
    <w:p w14:paraId="31126331" w14:textId="77777777" w:rsidR="00E951B1" w:rsidRPr="00EC2E58" w:rsidRDefault="00E951B1" w:rsidP="00E951B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noProof w:val="0"/>
          <w:color w:val="auto"/>
          <w:sz w:val="24"/>
          <w:szCs w:val="24"/>
        </w:rPr>
      </w:pPr>
      <w:r w:rsidRPr="00EC2E58">
        <w:rPr>
          <w:rFonts w:ascii="Arial Narrow" w:hAnsi="Arial Narrow" w:cs="Arial"/>
          <w:noProof w:val="0"/>
          <w:color w:val="auto"/>
          <w:sz w:val="24"/>
          <w:szCs w:val="24"/>
        </w:rPr>
        <w:t xml:space="preserve">Durante 2019 se formaliza escritura de modificación de Unión Temporal de Empresas otorgada por la “Fundación Parque Científico Tecnológico de la Universidad de las Palmas de Gran Canaria” y por el Instituto Tecnológico de Canarias S.A”, escritura con protocolo nº 1477 y de fecha 15 de julio de 2019. En esta escritura se acuerda en otros puntos: </w:t>
      </w:r>
    </w:p>
    <w:p w14:paraId="29741EE7" w14:textId="77777777" w:rsidR="00E951B1" w:rsidRPr="00EC2E58" w:rsidRDefault="00E951B1" w:rsidP="009C5E01">
      <w:pPr>
        <w:pStyle w:val="TextePrinc"/>
        <w:numPr>
          <w:ilvl w:val="0"/>
          <w:numId w:val="2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r w:rsidRPr="00EC2E58">
        <w:rPr>
          <w:rFonts w:ascii="Arial Narrow" w:hAnsi="Arial Narrow" w:cs="Arial"/>
          <w:spacing w:val="-2"/>
          <w:sz w:val="24"/>
          <w:szCs w:val="24"/>
        </w:rPr>
        <w:t xml:space="preserve">Reducir  el  objeto  de  la  Unión  Temporal  dejando  solo  la  construcción  del  " Edificio  Polivalente </w:t>
      </w:r>
      <w:r w:rsidR="00EC2E58" w:rsidRPr="00EC2E58">
        <w:rPr>
          <w:rFonts w:ascii="Arial Narrow" w:hAnsi="Arial Narrow" w:cs="Arial"/>
          <w:spacing w:val="-2"/>
          <w:sz w:val="24"/>
          <w:szCs w:val="24"/>
        </w:rPr>
        <w:t>III</w:t>
      </w:r>
      <w:r w:rsidRPr="00EC2E58">
        <w:rPr>
          <w:rFonts w:ascii="Arial Narrow" w:hAnsi="Arial Narrow" w:cs="Arial"/>
          <w:spacing w:val="-2"/>
          <w:sz w:val="24"/>
          <w:szCs w:val="24"/>
        </w:rPr>
        <w:t xml:space="preserve">  del  Parque  Científico  Tecnológico  en  el  Campus Universitario  de  Tafira. "  (UTE  30  Subparcela  B)</w:t>
      </w:r>
      <w:r w:rsidR="00EC2E58" w:rsidRPr="00EC2E58">
        <w:rPr>
          <w:rFonts w:ascii="Arial Narrow" w:hAnsi="Arial Narrow" w:cs="Arial"/>
          <w:spacing w:val="-2"/>
          <w:sz w:val="24"/>
          <w:szCs w:val="24"/>
        </w:rPr>
        <w:t>. En Reunión de Comité de Gerencia la “FPCT-ITC, UTE” de 29 de mayo de 2013, se aprueba el proyecto y pliego para la contratación de la construcción del Edificio Polivalente III, a la vez que se acuerda por las partes la no ejecución del resto del proyecto para el que se había creado la UTE.</w:t>
      </w:r>
    </w:p>
    <w:p w14:paraId="66D23E0F" w14:textId="6ABE7A5C" w:rsidR="00E951B1" w:rsidRDefault="00E951B1" w:rsidP="009C5E01">
      <w:pPr>
        <w:pStyle w:val="TextePrinc"/>
        <w:numPr>
          <w:ilvl w:val="0"/>
          <w:numId w:val="2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r w:rsidRPr="00EC2E58">
        <w:rPr>
          <w:rFonts w:ascii="Arial Narrow" w:hAnsi="Arial Narrow" w:cs="Arial"/>
          <w:spacing w:val="-2"/>
          <w:sz w:val="24"/>
          <w:szCs w:val="24"/>
        </w:rPr>
        <w:t xml:space="preserve">Ajustar  las  aportaciones  por  parte  de  los  dos miembros  de  la  UTE  por  valor  total  de  DOS  MILLONES OCHOCIENTOS  OCHENTA  Y  TRES  MIL  SETENTA  Y  SEIS  EUROS  con  SETENTA  Y </w:t>
      </w:r>
      <w:r w:rsidR="00230768">
        <w:rPr>
          <w:rFonts w:ascii="Arial Narrow" w:hAnsi="Arial Narrow" w:cs="Arial"/>
          <w:spacing w:val="-2"/>
          <w:sz w:val="24"/>
          <w:szCs w:val="24"/>
        </w:rPr>
        <w:t xml:space="preserve"> NUEVE  CÉNTIMOS  DE  EURO (2.</w:t>
      </w:r>
      <w:r w:rsidRPr="00EC2E58">
        <w:rPr>
          <w:rFonts w:ascii="Arial Narrow" w:hAnsi="Arial Narrow" w:cs="Arial"/>
          <w:spacing w:val="-2"/>
          <w:sz w:val="24"/>
          <w:szCs w:val="24"/>
        </w:rPr>
        <w:t>883.076,79  euros) .</w:t>
      </w:r>
    </w:p>
    <w:p w14:paraId="2AA3C3DB" w14:textId="77777777" w:rsidR="00EC2E58" w:rsidRPr="00EC2E58" w:rsidRDefault="00EC2E58" w:rsidP="00E951B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p>
    <w:p w14:paraId="679D6C71" w14:textId="77777777" w:rsidR="00EC2E58" w:rsidRPr="00EC2E58" w:rsidRDefault="00E951B1" w:rsidP="00EC2E58">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r w:rsidRPr="00EC2E58">
        <w:rPr>
          <w:rFonts w:ascii="Arial Narrow" w:hAnsi="Arial Narrow" w:cs="Arial"/>
          <w:spacing w:val="-2"/>
          <w:sz w:val="24"/>
          <w:szCs w:val="24"/>
        </w:rPr>
        <w:t>Por estos motivos se registra  BAJA CONC DEM UT-28 10.660 M2 por importe de 846.909,60 €</w:t>
      </w:r>
      <w:r w:rsidR="000173EF" w:rsidRPr="00EC2E58">
        <w:rPr>
          <w:rFonts w:ascii="Arial Narrow" w:hAnsi="Arial Narrow" w:cs="Arial"/>
          <w:spacing w:val="-2"/>
          <w:sz w:val="24"/>
          <w:szCs w:val="24"/>
        </w:rPr>
        <w:t xml:space="preserve"> del valor de adquisición y 143.094,31 € por la amortización acumulada</w:t>
      </w:r>
      <w:r w:rsidR="00EC2E58">
        <w:rPr>
          <w:rFonts w:ascii="Arial Narrow" w:hAnsi="Arial Narrow" w:cs="Arial"/>
          <w:spacing w:val="-2"/>
          <w:sz w:val="24"/>
          <w:szCs w:val="24"/>
        </w:rPr>
        <w:t xml:space="preserve">, </w:t>
      </w:r>
      <w:r w:rsidR="00EC2E58" w:rsidRPr="00EC2E58">
        <w:rPr>
          <w:rFonts w:ascii="Arial Narrow" w:hAnsi="Arial Narrow" w:cs="Arial"/>
          <w:spacing w:val="-2"/>
          <w:sz w:val="24"/>
          <w:szCs w:val="24"/>
        </w:rPr>
        <w:t>por la Cesión de uso de los terrenos cedidos por parte de la ULPGC de la Parcela donde se tenía previsto construir los dos edificios restantes, que figuranban en la escritura de constitutición inicial de la Unión Temporal de Empresas, denominada “Fundación Parque Científico-Tecnológico de la ULPGC-Instituto Tecnológico de Canarias, S.A., Ley 18/1982” , de anagrama “FPCT-ITC, UTE. En dicha escritura figuraba como objeto la construcción de tres edificios: Polivalente III (ubicado en la SubParcela UT-30) y Polivalentes V y VI (a ubicar en la Parcela UT-28) en el Campus de Tafira, del Parque Científico-TecnológicoULPGC destinados a su utilización por la comunidad científica y tecnológica en general, y en especial para albergar a empresas de base tecnológica o innovadoras y construidos en unos terrenos cedidos a la Fundación Parque Científico-Tecnológico de la ULPGC.</w:t>
      </w:r>
    </w:p>
    <w:p w14:paraId="64B3EE83" w14:textId="2E241612" w:rsidR="00EC2E58" w:rsidRDefault="00EC2E58" w:rsidP="00EC2E58">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r w:rsidRPr="00EC2E58">
        <w:rPr>
          <w:rFonts w:ascii="Arial Narrow" w:hAnsi="Arial Narrow" w:cs="Arial"/>
          <w:spacing w:val="-2"/>
          <w:sz w:val="24"/>
          <w:szCs w:val="24"/>
        </w:rPr>
        <w:t>Además en 2019 se lleva a cabo la baja de participación en las “Concesiones Administrativas” por las concesiones demaniales cedidas en las UTES en las que participa el ITC por los cuales se compensa cuota de participación de forma anual por los gastos de explotación y gestión no cubiertos por los alquileres generados por los inquilinos de los edificios. En 2019 se compensó un 1,83% de participación por los gastos de 2018 del edificio cuya propiedad pertenece a la “UTE PTFSA-ITCSA” y se compensó además un 4,94% de participación por los gastos derivados entre 2016 y 2018 por el Convenio firmado, este primer año, para “UTE FPCT ULPG-ITCSA”,  y en consecuencia todo esto supone una baja en cada partida contable de su valor neto contable por dicho porcentaje.</w:t>
      </w:r>
    </w:p>
    <w:p w14:paraId="65D20103" w14:textId="77777777" w:rsidR="00430AE3" w:rsidRDefault="00D464D1" w:rsidP="00430AE3">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r w:rsidRPr="004834CB">
        <w:rPr>
          <w:rFonts w:ascii="Arial Narrow" w:hAnsi="Arial Narrow" w:cs="Arial"/>
          <w:spacing w:val="-2"/>
          <w:sz w:val="24"/>
          <w:szCs w:val="24"/>
        </w:rPr>
        <w:t>El detalle de movimientos del inmovilizado intangible a lo largo d</w:t>
      </w:r>
      <w:r w:rsidRPr="00DE6415">
        <w:rPr>
          <w:rFonts w:ascii="Arial Narrow" w:hAnsi="Arial Narrow" w:cs="Arial"/>
          <w:color w:val="000000" w:themeColor="text1"/>
          <w:spacing w:val="-2"/>
          <w:sz w:val="24"/>
          <w:szCs w:val="24"/>
        </w:rPr>
        <w:t>el ejercicio 201</w:t>
      </w:r>
      <w:r w:rsidR="000173EF">
        <w:rPr>
          <w:rFonts w:ascii="Arial Narrow" w:hAnsi="Arial Narrow" w:cs="Arial"/>
          <w:color w:val="000000" w:themeColor="text1"/>
          <w:spacing w:val="-2"/>
          <w:sz w:val="24"/>
          <w:szCs w:val="24"/>
        </w:rPr>
        <w:t>9</w:t>
      </w:r>
      <w:r w:rsidRPr="00DE6415">
        <w:rPr>
          <w:rFonts w:ascii="Arial Narrow" w:hAnsi="Arial Narrow" w:cs="Arial"/>
          <w:color w:val="FF0000"/>
          <w:spacing w:val="-2"/>
          <w:sz w:val="24"/>
          <w:szCs w:val="24"/>
        </w:rPr>
        <w:t xml:space="preserve"> </w:t>
      </w:r>
      <w:r w:rsidRPr="004834CB">
        <w:rPr>
          <w:rFonts w:ascii="Arial Narrow" w:hAnsi="Arial Narrow" w:cs="Arial"/>
          <w:spacing w:val="-2"/>
          <w:sz w:val="24"/>
          <w:szCs w:val="24"/>
        </w:rPr>
        <w:t>es el siguiente, en euros:</w:t>
      </w:r>
    </w:p>
    <w:p w14:paraId="447DBFBC" w14:textId="77777777" w:rsidR="00AE4272" w:rsidRDefault="000173EF" w:rsidP="00AE4272">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pacing w:val="-2"/>
          <w:sz w:val="24"/>
          <w:szCs w:val="24"/>
        </w:rPr>
      </w:pPr>
      <w:r w:rsidRPr="000173EF">
        <w:rPr>
          <w:lang w:val="es-ES"/>
        </w:rPr>
        <w:drawing>
          <wp:inline distT="0" distB="0" distL="0" distR="0" wp14:anchorId="7F86A13A" wp14:editId="6AE42AAC">
            <wp:extent cx="5554846" cy="5978106"/>
            <wp:effectExtent l="0" t="0" r="8255"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0606" cy="5984304"/>
                    </a:xfrm>
                    <a:prstGeom prst="rect">
                      <a:avLst/>
                    </a:prstGeom>
                    <a:noFill/>
                    <a:ln>
                      <a:noFill/>
                    </a:ln>
                  </pic:spPr>
                </pic:pic>
              </a:graphicData>
            </a:graphic>
          </wp:inline>
        </w:drawing>
      </w:r>
    </w:p>
    <w:p w14:paraId="27315B80" w14:textId="77777777" w:rsidR="00AE4272" w:rsidRDefault="005F665F" w:rsidP="00A47157">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b/>
          <w:caps/>
          <w:snapToGrid w:val="0"/>
          <w:sz w:val="24"/>
          <w:szCs w:val="24"/>
          <w:u w:val="single"/>
        </w:rPr>
      </w:pPr>
      <w:bookmarkStart w:id="4" w:name="_Hlk34905430"/>
      <w:r w:rsidRPr="00FD02FE">
        <w:rPr>
          <w:rFonts w:ascii="Arial Narrow" w:hAnsi="Arial Narrow" w:cs="Arial"/>
          <w:b/>
          <w:caps/>
          <w:snapToGrid w:val="0"/>
          <w:sz w:val="24"/>
          <w:szCs w:val="24"/>
        </w:rPr>
        <w:t xml:space="preserve">NOTA 6. </w:t>
      </w:r>
      <w:r w:rsidR="00DD368E" w:rsidRPr="00FD02FE">
        <w:rPr>
          <w:rFonts w:ascii="Arial Narrow" w:hAnsi="Arial Narrow" w:cs="Arial"/>
          <w:b/>
          <w:caps/>
          <w:snapToGrid w:val="0"/>
          <w:sz w:val="24"/>
          <w:szCs w:val="24"/>
          <w:u w:val="single"/>
        </w:rPr>
        <w:t>Inmovilizado material</w:t>
      </w:r>
    </w:p>
    <w:bookmarkEnd w:id="4"/>
    <w:p w14:paraId="2B900CED" w14:textId="77777777" w:rsidR="00AE4272" w:rsidRDefault="00D464D1" w:rsidP="00A47157">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sz w:val="24"/>
          <w:szCs w:val="24"/>
        </w:rPr>
      </w:pPr>
      <w:r w:rsidRPr="00FD02FE">
        <w:rPr>
          <w:rFonts w:ascii="Arial Narrow" w:hAnsi="Arial Narrow" w:cs="Arial"/>
          <w:sz w:val="24"/>
          <w:szCs w:val="24"/>
        </w:rPr>
        <w:t>El detalle y movimiento del inmovilizado material a lo largo de</w:t>
      </w:r>
      <w:r w:rsidRPr="00DE6415">
        <w:rPr>
          <w:rFonts w:ascii="Arial Narrow" w:hAnsi="Arial Narrow" w:cs="Arial"/>
          <w:color w:val="000000" w:themeColor="text1"/>
          <w:sz w:val="24"/>
          <w:szCs w:val="24"/>
        </w:rPr>
        <w:t>l ejercicio 201</w:t>
      </w:r>
      <w:r w:rsidR="000173EF">
        <w:rPr>
          <w:rFonts w:ascii="Arial Narrow" w:hAnsi="Arial Narrow" w:cs="Arial"/>
          <w:color w:val="000000" w:themeColor="text1"/>
          <w:sz w:val="24"/>
          <w:szCs w:val="24"/>
        </w:rPr>
        <w:t>9</w:t>
      </w:r>
      <w:r w:rsidRPr="00DE6415">
        <w:rPr>
          <w:rFonts w:ascii="Arial Narrow" w:hAnsi="Arial Narrow" w:cs="Arial"/>
          <w:color w:val="000000" w:themeColor="text1"/>
          <w:sz w:val="24"/>
          <w:szCs w:val="24"/>
        </w:rPr>
        <w:t xml:space="preserve"> e</w:t>
      </w:r>
      <w:r w:rsidRPr="00FD02FE">
        <w:rPr>
          <w:rFonts w:ascii="Arial Narrow" w:hAnsi="Arial Narrow" w:cs="Arial"/>
          <w:sz w:val="24"/>
          <w:szCs w:val="24"/>
        </w:rPr>
        <w:t>s el siguiente, en euros:</w:t>
      </w:r>
    </w:p>
    <w:p w14:paraId="504CA841" w14:textId="77777777" w:rsidR="00D464D1" w:rsidRDefault="00D464D1" w:rsidP="00AE4272">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color w:val="FF0000"/>
          <w:sz w:val="24"/>
          <w:szCs w:val="24"/>
        </w:rPr>
      </w:pPr>
      <w:r w:rsidRPr="005D34F2">
        <w:rPr>
          <w:rFonts w:ascii="Arial Narrow" w:hAnsi="Arial Narrow" w:cs="Arial"/>
          <w:color w:val="FF0000"/>
          <w:sz w:val="24"/>
          <w:szCs w:val="24"/>
        </w:rPr>
        <w:t xml:space="preserve"> </w:t>
      </w:r>
      <w:bookmarkStart w:id="5" w:name="_MON_1582456086"/>
      <w:bookmarkEnd w:id="5"/>
      <w:r w:rsidR="000173EF" w:rsidRPr="000173EF">
        <w:rPr>
          <w:lang w:val="es-ES"/>
        </w:rPr>
        <w:drawing>
          <wp:inline distT="0" distB="0" distL="0" distR="0" wp14:anchorId="4E460B62" wp14:editId="702F9507">
            <wp:extent cx="5520474" cy="7650721"/>
            <wp:effectExtent l="0" t="0" r="4445"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275" cy="7654603"/>
                    </a:xfrm>
                    <a:prstGeom prst="rect">
                      <a:avLst/>
                    </a:prstGeom>
                    <a:noFill/>
                    <a:ln>
                      <a:noFill/>
                    </a:ln>
                  </pic:spPr>
                </pic:pic>
              </a:graphicData>
            </a:graphic>
          </wp:inline>
        </w:drawing>
      </w:r>
    </w:p>
    <w:p w14:paraId="27DF9C62" w14:textId="77777777" w:rsidR="00D464D1" w:rsidRPr="00FD02FE" w:rsidRDefault="00D464D1" w:rsidP="009C5E01">
      <w:pPr>
        <w:pStyle w:val="TextePrinc"/>
        <w:keepNext/>
        <w:keepLines/>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ind w:left="714" w:hanging="357"/>
        <w:jc w:val="both"/>
        <w:rPr>
          <w:rFonts w:ascii="Arial Narrow" w:hAnsi="Arial Narrow" w:cs="Arial"/>
          <w:noProof w:val="0"/>
          <w:color w:val="auto"/>
          <w:sz w:val="24"/>
          <w:szCs w:val="24"/>
          <w:u w:val="single"/>
        </w:rPr>
      </w:pPr>
      <w:r w:rsidRPr="00FD02FE">
        <w:rPr>
          <w:rFonts w:ascii="Arial Narrow" w:hAnsi="Arial Narrow" w:cs="Arial"/>
          <w:noProof w:val="0"/>
          <w:color w:val="auto"/>
          <w:sz w:val="24"/>
          <w:szCs w:val="24"/>
          <w:u w:val="single"/>
        </w:rPr>
        <w:t>Altas</w:t>
      </w:r>
    </w:p>
    <w:p w14:paraId="487F1C1D" w14:textId="77777777" w:rsidR="000112DB" w:rsidRPr="003C01CA" w:rsidRDefault="00D464D1" w:rsidP="00121A77">
      <w:pPr>
        <w:keepNext/>
        <w:keepLines/>
        <w:jc w:val="both"/>
        <w:rPr>
          <w:rFonts w:ascii="Arial Narrow" w:hAnsi="Arial Narrow" w:cs="Arial"/>
          <w:sz w:val="24"/>
          <w:szCs w:val="24"/>
        </w:rPr>
      </w:pPr>
      <w:r w:rsidRPr="003C01CA">
        <w:rPr>
          <w:rFonts w:ascii="Arial Narrow" w:hAnsi="Arial Narrow" w:cs="Arial"/>
          <w:sz w:val="24"/>
          <w:szCs w:val="24"/>
        </w:rPr>
        <w:t xml:space="preserve">Las altas en “Inmovilizado </w:t>
      </w:r>
      <w:r w:rsidR="000112DB" w:rsidRPr="003C01CA">
        <w:rPr>
          <w:rFonts w:ascii="Arial Narrow" w:hAnsi="Arial Narrow" w:cs="Arial"/>
          <w:sz w:val="24"/>
          <w:szCs w:val="24"/>
        </w:rPr>
        <w:t>material</w:t>
      </w:r>
      <w:r w:rsidRPr="003C01CA">
        <w:rPr>
          <w:rFonts w:ascii="Arial Narrow" w:hAnsi="Arial Narrow" w:cs="Arial"/>
          <w:sz w:val="24"/>
          <w:szCs w:val="24"/>
        </w:rPr>
        <w:t>” del</w:t>
      </w:r>
      <w:r w:rsidRPr="003C01CA">
        <w:rPr>
          <w:rFonts w:ascii="Arial Narrow" w:hAnsi="Arial Narrow" w:cs="Arial"/>
          <w:color w:val="000000" w:themeColor="text1"/>
          <w:sz w:val="24"/>
          <w:szCs w:val="24"/>
        </w:rPr>
        <w:t xml:space="preserve"> ejercicio </w:t>
      </w:r>
      <w:r w:rsidR="000112DB" w:rsidRPr="003C01CA">
        <w:rPr>
          <w:rFonts w:ascii="Arial Narrow" w:hAnsi="Arial Narrow" w:cs="Arial"/>
          <w:color w:val="000000" w:themeColor="text1"/>
          <w:sz w:val="24"/>
          <w:szCs w:val="24"/>
        </w:rPr>
        <w:t>201</w:t>
      </w:r>
      <w:r w:rsidR="000173EF" w:rsidRPr="003C01CA">
        <w:rPr>
          <w:rFonts w:ascii="Arial Narrow" w:hAnsi="Arial Narrow" w:cs="Arial"/>
          <w:color w:val="000000" w:themeColor="text1"/>
          <w:sz w:val="24"/>
          <w:szCs w:val="24"/>
        </w:rPr>
        <w:t>9</w:t>
      </w:r>
      <w:r w:rsidRPr="003C01CA">
        <w:rPr>
          <w:rFonts w:ascii="Arial Narrow" w:hAnsi="Arial Narrow" w:cs="Arial"/>
          <w:color w:val="000000" w:themeColor="text1"/>
          <w:sz w:val="24"/>
          <w:szCs w:val="24"/>
        </w:rPr>
        <w:t xml:space="preserve">, </w:t>
      </w:r>
      <w:r w:rsidRPr="003C01CA">
        <w:rPr>
          <w:rFonts w:ascii="Arial Narrow" w:hAnsi="Arial Narrow" w:cs="Arial"/>
          <w:sz w:val="24"/>
          <w:szCs w:val="24"/>
        </w:rPr>
        <w:t>se corresponden con inversiones llevadas a cabo en el marco de las actividades para dar cumplimiento a los objetivos de los proyectos en los que el ITC se encuentra inmerso, y para el desarrollo de la propia actividad de la Sociedad en cuanto a su mantenimiento estructural</w:t>
      </w:r>
      <w:r w:rsidR="00121A77" w:rsidRPr="003C01CA">
        <w:rPr>
          <w:rFonts w:ascii="Arial Narrow" w:hAnsi="Arial Narrow" w:cs="Arial"/>
          <w:sz w:val="24"/>
          <w:szCs w:val="24"/>
        </w:rPr>
        <w:t>.</w:t>
      </w:r>
    </w:p>
    <w:p w14:paraId="4F666D6F" w14:textId="77777777" w:rsidR="00D464D1" w:rsidRPr="003C01CA" w:rsidRDefault="000112DB" w:rsidP="00D247AE">
      <w:pPr>
        <w:keepNext/>
        <w:keepLines/>
        <w:widowControl w:val="0"/>
        <w:jc w:val="both"/>
        <w:rPr>
          <w:rFonts w:ascii="Arial Narrow" w:hAnsi="Arial Narrow" w:cs="Arial"/>
          <w:sz w:val="24"/>
          <w:szCs w:val="24"/>
        </w:rPr>
      </w:pPr>
      <w:r w:rsidRPr="003C01CA">
        <w:rPr>
          <w:rFonts w:ascii="Arial Narrow" w:hAnsi="Arial Narrow" w:cs="Arial"/>
          <w:sz w:val="24"/>
          <w:szCs w:val="24"/>
        </w:rPr>
        <w:t>Cabe destacar que en 201</w:t>
      </w:r>
      <w:r w:rsidR="002C77CE" w:rsidRPr="003C01CA">
        <w:rPr>
          <w:rFonts w:ascii="Arial Narrow" w:hAnsi="Arial Narrow" w:cs="Arial"/>
          <w:sz w:val="24"/>
          <w:szCs w:val="24"/>
        </w:rPr>
        <w:t>9</w:t>
      </w:r>
      <w:r w:rsidRPr="003C01CA">
        <w:rPr>
          <w:rFonts w:ascii="Arial Narrow" w:hAnsi="Arial Narrow" w:cs="Arial"/>
          <w:sz w:val="24"/>
          <w:szCs w:val="24"/>
        </w:rPr>
        <w:t xml:space="preserve"> se ha </w:t>
      </w:r>
      <w:r w:rsidR="004570C0" w:rsidRPr="003C01CA">
        <w:rPr>
          <w:rFonts w:ascii="Arial Narrow" w:hAnsi="Arial Narrow" w:cs="Arial"/>
          <w:sz w:val="24"/>
          <w:szCs w:val="24"/>
        </w:rPr>
        <w:t xml:space="preserve">producido </w:t>
      </w:r>
      <w:r w:rsidRPr="003C01CA">
        <w:rPr>
          <w:rFonts w:ascii="Arial Narrow" w:hAnsi="Arial Narrow" w:cs="Arial"/>
          <w:sz w:val="24"/>
          <w:szCs w:val="24"/>
        </w:rPr>
        <w:t xml:space="preserve"> un incremento importante en </w:t>
      </w:r>
      <w:r w:rsidR="004570C0" w:rsidRPr="003C01CA">
        <w:rPr>
          <w:rFonts w:ascii="Arial Narrow" w:hAnsi="Arial Narrow" w:cs="Arial"/>
          <w:sz w:val="24"/>
          <w:szCs w:val="24"/>
        </w:rPr>
        <w:t xml:space="preserve">la </w:t>
      </w:r>
      <w:r w:rsidRPr="003C01CA">
        <w:rPr>
          <w:rFonts w:ascii="Arial Narrow" w:hAnsi="Arial Narrow" w:cs="Arial"/>
          <w:sz w:val="24"/>
          <w:szCs w:val="24"/>
        </w:rPr>
        <w:t xml:space="preserve">financiación </w:t>
      </w:r>
      <w:r w:rsidR="004570C0" w:rsidRPr="003C01CA">
        <w:rPr>
          <w:rFonts w:ascii="Arial Narrow" w:hAnsi="Arial Narrow" w:cs="Arial"/>
          <w:sz w:val="24"/>
          <w:szCs w:val="24"/>
        </w:rPr>
        <w:t xml:space="preserve">captada y </w:t>
      </w:r>
      <w:r w:rsidRPr="003C01CA">
        <w:rPr>
          <w:rFonts w:ascii="Arial Narrow" w:hAnsi="Arial Narrow" w:cs="Arial"/>
          <w:sz w:val="24"/>
          <w:szCs w:val="24"/>
        </w:rPr>
        <w:t>destinada a inversiones</w:t>
      </w:r>
      <w:r w:rsidR="004570C0" w:rsidRPr="003C01CA">
        <w:rPr>
          <w:rFonts w:ascii="Arial Narrow" w:hAnsi="Arial Narrow" w:cs="Arial"/>
          <w:sz w:val="24"/>
          <w:szCs w:val="24"/>
        </w:rPr>
        <w:t>,</w:t>
      </w:r>
      <w:r w:rsidRPr="003C01CA">
        <w:rPr>
          <w:rFonts w:ascii="Arial Narrow" w:hAnsi="Arial Narrow" w:cs="Arial"/>
          <w:sz w:val="24"/>
          <w:szCs w:val="24"/>
        </w:rPr>
        <w:t xml:space="preserve"> y es por lo que se </w:t>
      </w:r>
      <w:r w:rsidR="004570C0" w:rsidRPr="003C01CA">
        <w:rPr>
          <w:rFonts w:ascii="Arial Narrow" w:hAnsi="Arial Narrow" w:cs="Arial"/>
          <w:sz w:val="24"/>
          <w:szCs w:val="24"/>
        </w:rPr>
        <w:t>recoge</w:t>
      </w:r>
      <w:r w:rsidRPr="003C01CA">
        <w:rPr>
          <w:rFonts w:ascii="Arial Narrow" w:hAnsi="Arial Narrow" w:cs="Arial"/>
          <w:sz w:val="24"/>
          <w:szCs w:val="24"/>
        </w:rPr>
        <w:t xml:space="preserve"> un </w:t>
      </w:r>
      <w:r w:rsidR="004570C0" w:rsidRPr="003C01CA">
        <w:rPr>
          <w:rFonts w:ascii="Arial Narrow" w:hAnsi="Arial Narrow" w:cs="Arial"/>
          <w:sz w:val="24"/>
          <w:szCs w:val="24"/>
        </w:rPr>
        <w:t>mayor</w:t>
      </w:r>
      <w:r w:rsidRPr="003C01CA">
        <w:rPr>
          <w:rFonts w:ascii="Arial Narrow" w:hAnsi="Arial Narrow" w:cs="Arial"/>
          <w:sz w:val="24"/>
          <w:szCs w:val="24"/>
        </w:rPr>
        <w:t xml:space="preserve"> número de altas en este ejercicio y siguientes</w:t>
      </w:r>
      <w:r w:rsidR="00D464D1" w:rsidRPr="003C01CA">
        <w:rPr>
          <w:rFonts w:ascii="Arial Narrow" w:hAnsi="Arial Narrow" w:cs="Arial"/>
          <w:sz w:val="24"/>
          <w:szCs w:val="24"/>
        </w:rPr>
        <w:t>.</w:t>
      </w:r>
      <w:r w:rsidRPr="003C01CA">
        <w:rPr>
          <w:rFonts w:ascii="Arial Narrow" w:hAnsi="Arial Narrow" w:cs="Arial"/>
          <w:sz w:val="24"/>
          <w:szCs w:val="24"/>
        </w:rPr>
        <w:t xml:space="preserve"> Entre las altas de mayor importe y más relevantes está </w:t>
      </w:r>
      <w:r w:rsidR="002C77CE" w:rsidRPr="003C01CA">
        <w:rPr>
          <w:rFonts w:ascii="Arial Narrow" w:hAnsi="Arial Narrow" w:cs="Arial"/>
          <w:sz w:val="24"/>
          <w:szCs w:val="24"/>
        </w:rPr>
        <w:t>el</w:t>
      </w:r>
      <w:r w:rsidRPr="003C01CA">
        <w:rPr>
          <w:rFonts w:ascii="Arial Narrow" w:hAnsi="Arial Narrow" w:cs="Arial"/>
          <w:sz w:val="24"/>
          <w:szCs w:val="24"/>
        </w:rPr>
        <w:t xml:space="preserve"> </w:t>
      </w:r>
      <w:r w:rsidR="002C77CE" w:rsidRPr="003C01CA">
        <w:rPr>
          <w:rFonts w:ascii="Arial Narrow" w:hAnsi="Arial Narrow" w:cs="Arial"/>
          <w:sz w:val="24"/>
          <w:szCs w:val="24"/>
        </w:rPr>
        <w:t>almacenamiento</w:t>
      </w:r>
      <w:r w:rsidR="00EE4474" w:rsidRPr="003C01CA">
        <w:rPr>
          <w:rFonts w:ascii="Arial Narrow" w:hAnsi="Arial Narrow" w:cs="Arial"/>
          <w:sz w:val="24"/>
          <w:szCs w:val="24"/>
        </w:rPr>
        <w:t>,</w:t>
      </w:r>
      <w:r w:rsidR="002C77CE" w:rsidRPr="003C01CA">
        <w:rPr>
          <w:rFonts w:ascii="Arial Narrow" w:hAnsi="Arial Narrow" w:cs="Arial"/>
          <w:sz w:val="24"/>
          <w:szCs w:val="24"/>
        </w:rPr>
        <w:t xml:space="preserve"> Microred, baterías, convertidores de potencia, resto componentes del sistema por</w:t>
      </w:r>
      <w:r w:rsidRPr="003C01CA">
        <w:rPr>
          <w:rFonts w:ascii="Arial Narrow" w:hAnsi="Arial Narrow" w:cs="Arial"/>
          <w:sz w:val="24"/>
          <w:szCs w:val="24"/>
        </w:rPr>
        <w:t xml:space="preserve"> importe de </w:t>
      </w:r>
      <w:r w:rsidR="002C77CE" w:rsidRPr="003C01CA">
        <w:rPr>
          <w:rFonts w:ascii="Arial Narrow" w:hAnsi="Arial Narrow" w:cs="Arial"/>
          <w:sz w:val="24"/>
          <w:szCs w:val="24"/>
        </w:rPr>
        <w:t>137.380</w:t>
      </w:r>
      <w:r w:rsidRPr="003C01CA">
        <w:rPr>
          <w:rFonts w:ascii="Arial Narrow" w:hAnsi="Arial Narrow" w:cs="Arial"/>
          <w:sz w:val="24"/>
          <w:szCs w:val="24"/>
        </w:rPr>
        <w:t xml:space="preserve"> € afecta al </w:t>
      </w:r>
      <w:r w:rsidR="00EE4474" w:rsidRPr="003C01CA">
        <w:rPr>
          <w:rFonts w:ascii="Arial Narrow" w:hAnsi="Arial Narrow" w:cs="Arial"/>
          <w:sz w:val="24"/>
          <w:szCs w:val="24"/>
        </w:rPr>
        <w:t xml:space="preserve">proyecto </w:t>
      </w:r>
      <w:proofErr w:type="spellStart"/>
      <w:r w:rsidR="00EE4474" w:rsidRPr="003C01CA">
        <w:rPr>
          <w:rFonts w:ascii="Arial Narrow" w:hAnsi="Arial Narrow" w:cs="Arial"/>
          <w:sz w:val="24"/>
          <w:szCs w:val="24"/>
        </w:rPr>
        <w:t>Multi-microgrids</w:t>
      </w:r>
      <w:proofErr w:type="spellEnd"/>
      <w:r w:rsidR="00EE4474" w:rsidRPr="003C01CA">
        <w:rPr>
          <w:rFonts w:ascii="Arial Narrow" w:hAnsi="Arial Narrow" w:cs="Arial"/>
          <w:sz w:val="24"/>
          <w:szCs w:val="24"/>
        </w:rPr>
        <w:t xml:space="preserve">, </w:t>
      </w:r>
      <w:r w:rsidRPr="003C01CA">
        <w:rPr>
          <w:rFonts w:ascii="Arial Narrow" w:hAnsi="Arial Narrow" w:cs="Arial"/>
          <w:sz w:val="24"/>
          <w:szCs w:val="24"/>
        </w:rPr>
        <w:t xml:space="preserve">y </w:t>
      </w:r>
      <w:r w:rsidR="002C77CE" w:rsidRPr="003C01CA">
        <w:rPr>
          <w:rFonts w:ascii="Arial Narrow" w:hAnsi="Arial Narrow" w:cs="Arial"/>
          <w:sz w:val="24"/>
          <w:szCs w:val="24"/>
        </w:rPr>
        <w:t xml:space="preserve">suministro,  instalación y puesta marcha de la red de monitorización automática de los servicios de  televisión digital terrestre </w:t>
      </w:r>
      <w:r w:rsidRPr="003C01CA">
        <w:rPr>
          <w:rFonts w:ascii="Arial Narrow" w:hAnsi="Arial Narrow" w:cs="Arial"/>
          <w:sz w:val="24"/>
          <w:szCs w:val="24"/>
        </w:rPr>
        <w:t xml:space="preserve">por importe de </w:t>
      </w:r>
      <w:r w:rsidR="002C77CE" w:rsidRPr="003C01CA">
        <w:rPr>
          <w:rFonts w:ascii="Arial Narrow" w:hAnsi="Arial Narrow" w:cs="Arial"/>
          <w:sz w:val="24"/>
          <w:szCs w:val="24"/>
        </w:rPr>
        <w:t>104.370</w:t>
      </w:r>
      <w:r w:rsidRPr="003C01CA">
        <w:rPr>
          <w:rFonts w:ascii="Arial Narrow" w:hAnsi="Arial Narrow" w:cs="Arial"/>
          <w:sz w:val="24"/>
          <w:szCs w:val="24"/>
        </w:rPr>
        <w:t xml:space="preserve"> € del Departamento de </w:t>
      </w:r>
      <w:r w:rsidR="002C77CE" w:rsidRPr="003C01CA">
        <w:rPr>
          <w:rFonts w:ascii="Arial Narrow" w:hAnsi="Arial Narrow" w:cs="Arial"/>
          <w:sz w:val="24"/>
          <w:szCs w:val="24"/>
        </w:rPr>
        <w:t>Sociedad de Información</w:t>
      </w:r>
      <w:r w:rsidRPr="003C01CA">
        <w:rPr>
          <w:rFonts w:ascii="Arial Narrow" w:hAnsi="Arial Narrow" w:cs="Arial"/>
          <w:sz w:val="24"/>
          <w:szCs w:val="24"/>
        </w:rPr>
        <w:t xml:space="preserve">. Así como </w:t>
      </w:r>
      <w:r w:rsidR="003C01CA" w:rsidRPr="003C01CA">
        <w:rPr>
          <w:rFonts w:ascii="Arial Narrow" w:hAnsi="Arial Narrow" w:cs="Arial"/>
          <w:sz w:val="24"/>
          <w:szCs w:val="24"/>
        </w:rPr>
        <w:t>cromatógrafos</w:t>
      </w:r>
      <w:r w:rsidR="00EE4474" w:rsidRPr="003C01CA">
        <w:rPr>
          <w:rFonts w:ascii="Arial Narrow" w:hAnsi="Arial Narrow" w:cs="Arial"/>
          <w:sz w:val="24"/>
          <w:szCs w:val="24"/>
        </w:rPr>
        <w:t xml:space="preserve"> y centrifugadoras</w:t>
      </w:r>
      <w:r w:rsidRPr="003C01CA">
        <w:rPr>
          <w:rFonts w:ascii="Arial Narrow" w:hAnsi="Arial Narrow" w:cs="Arial"/>
          <w:sz w:val="24"/>
          <w:szCs w:val="24"/>
        </w:rPr>
        <w:t xml:space="preserve"> por valor de </w:t>
      </w:r>
      <w:r w:rsidR="00EE4474" w:rsidRPr="003C01CA">
        <w:rPr>
          <w:rFonts w:ascii="Arial Narrow" w:hAnsi="Arial Narrow" w:cs="Arial"/>
          <w:sz w:val="24"/>
          <w:szCs w:val="24"/>
        </w:rPr>
        <w:t>172.090</w:t>
      </w:r>
      <w:r w:rsidRPr="003C01CA">
        <w:rPr>
          <w:rFonts w:ascii="Arial Narrow" w:hAnsi="Arial Narrow" w:cs="Arial"/>
          <w:sz w:val="24"/>
          <w:szCs w:val="24"/>
        </w:rPr>
        <w:t xml:space="preserve"> € dentro </w:t>
      </w:r>
      <w:r w:rsidR="00EE4474" w:rsidRPr="003C01CA">
        <w:rPr>
          <w:rFonts w:ascii="Arial Narrow" w:hAnsi="Arial Narrow" w:cs="Arial"/>
          <w:sz w:val="24"/>
          <w:szCs w:val="24"/>
        </w:rPr>
        <w:t xml:space="preserve">los proyectos </w:t>
      </w:r>
      <w:proofErr w:type="spellStart"/>
      <w:r w:rsidR="00EE4474" w:rsidRPr="003C01CA">
        <w:rPr>
          <w:rFonts w:ascii="Arial Narrow" w:hAnsi="Arial Narrow" w:cs="Arial"/>
          <w:sz w:val="24"/>
          <w:szCs w:val="24"/>
        </w:rPr>
        <w:t>Bisoso</w:t>
      </w:r>
      <w:r w:rsidR="003C01CA" w:rsidRPr="003C01CA">
        <w:rPr>
          <w:rFonts w:ascii="Arial Narrow" w:hAnsi="Arial Narrow" w:cs="Arial"/>
          <w:sz w:val="24"/>
          <w:szCs w:val="24"/>
        </w:rPr>
        <w:t>t</w:t>
      </w:r>
      <w:r w:rsidR="00EE4474" w:rsidRPr="003C01CA">
        <w:rPr>
          <w:rFonts w:ascii="Arial Narrow" w:hAnsi="Arial Narrow" w:cs="Arial"/>
          <w:sz w:val="24"/>
          <w:szCs w:val="24"/>
        </w:rPr>
        <w:t>-Epi</w:t>
      </w:r>
      <w:proofErr w:type="spellEnd"/>
      <w:r w:rsidRPr="003C01CA">
        <w:rPr>
          <w:rFonts w:ascii="Arial Narrow" w:hAnsi="Arial Narrow" w:cs="Arial"/>
          <w:sz w:val="24"/>
          <w:szCs w:val="24"/>
        </w:rPr>
        <w:t>, el resto de inversiones son de importes menos relevantes.</w:t>
      </w:r>
    </w:p>
    <w:p w14:paraId="2781208E" w14:textId="77777777" w:rsidR="00D464D1" w:rsidRPr="003C01CA" w:rsidRDefault="00D464D1" w:rsidP="009C5E01">
      <w:pPr>
        <w:pStyle w:val="TextePrinc"/>
        <w:keepNext/>
        <w:keepLines/>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ind w:left="714" w:hanging="357"/>
        <w:jc w:val="both"/>
        <w:rPr>
          <w:rFonts w:ascii="Arial Narrow" w:hAnsi="Arial Narrow" w:cs="Arial"/>
          <w:color w:val="auto"/>
          <w:sz w:val="24"/>
          <w:szCs w:val="24"/>
          <w:u w:val="single"/>
        </w:rPr>
      </w:pPr>
      <w:r w:rsidRPr="003C01CA">
        <w:rPr>
          <w:rFonts w:ascii="Arial Narrow" w:hAnsi="Arial Narrow" w:cs="Arial"/>
          <w:noProof w:val="0"/>
          <w:color w:val="auto"/>
          <w:sz w:val="24"/>
          <w:szCs w:val="24"/>
          <w:u w:val="single"/>
        </w:rPr>
        <w:t>Bajas</w:t>
      </w:r>
    </w:p>
    <w:p w14:paraId="1FCAAA46" w14:textId="77777777" w:rsidR="00121A77" w:rsidRPr="003C01CA" w:rsidRDefault="00D464D1" w:rsidP="00121A77">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rPr>
      </w:pPr>
      <w:r w:rsidRPr="003C01CA">
        <w:rPr>
          <w:rFonts w:ascii="Arial Narrow" w:hAnsi="Arial Narrow" w:cs="Arial"/>
          <w:noProof w:val="0"/>
          <w:color w:val="auto"/>
          <w:sz w:val="24"/>
          <w:szCs w:val="24"/>
        </w:rPr>
        <w:t xml:space="preserve">Las bajas </w:t>
      </w:r>
      <w:r w:rsidR="008F157B" w:rsidRPr="003C01CA">
        <w:rPr>
          <w:rFonts w:ascii="Arial Narrow" w:hAnsi="Arial Narrow" w:cs="Arial"/>
          <w:noProof w:val="0"/>
          <w:color w:val="auto"/>
          <w:sz w:val="24"/>
          <w:szCs w:val="24"/>
        </w:rPr>
        <w:t xml:space="preserve">más relevantes </w:t>
      </w:r>
      <w:r w:rsidRPr="003C01CA">
        <w:rPr>
          <w:rFonts w:ascii="Arial Narrow" w:hAnsi="Arial Narrow" w:cs="Arial"/>
          <w:noProof w:val="0"/>
          <w:color w:val="auto"/>
          <w:sz w:val="24"/>
          <w:szCs w:val="24"/>
        </w:rPr>
        <w:t xml:space="preserve">del ejercicio </w:t>
      </w:r>
      <w:r w:rsidR="000112DB" w:rsidRPr="003C01CA">
        <w:rPr>
          <w:rFonts w:ascii="Arial Narrow" w:hAnsi="Arial Narrow" w:cs="Arial"/>
          <w:noProof w:val="0"/>
          <w:color w:val="auto"/>
          <w:sz w:val="24"/>
          <w:szCs w:val="24"/>
        </w:rPr>
        <w:t>201</w:t>
      </w:r>
      <w:r w:rsidR="00EE4474" w:rsidRPr="003C01CA">
        <w:rPr>
          <w:rFonts w:ascii="Arial Narrow" w:hAnsi="Arial Narrow" w:cs="Arial"/>
          <w:noProof w:val="0"/>
          <w:color w:val="auto"/>
          <w:sz w:val="24"/>
          <w:szCs w:val="24"/>
        </w:rPr>
        <w:t>9</w:t>
      </w:r>
      <w:r w:rsidR="000112DB" w:rsidRPr="003C01CA">
        <w:rPr>
          <w:rFonts w:ascii="Arial Narrow" w:hAnsi="Arial Narrow" w:cs="Arial"/>
          <w:noProof w:val="0"/>
          <w:color w:val="auto"/>
          <w:sz w:val="24"/>
          <w:szCs w:val="24"/>
        </w:rPr>
        <w:t xml:space="preserve"> </w:t>
      </w:r>
      <w:r w:rsidR="008F157B" w:rsidRPr="003C01CA">
        <w:rPr>
          <w:rFonts w:ascii="Arial Narrow" w:hAnsi="Arial Narrow" w:cs="Arial"/>
          <w:noProof w:val="0"/>
          <w:color w:val="auto"/>
          <w:sz w:val="24"/>
          <w:szCs w:val="24"/>
        </w:rPr>
        <w:t xml:space="preserve">se </w:t>
      </w:r>
      <w:r w:rsidRPr="003C01CA">
        <w:rPr>
          <w:rFonts w:ascii="Arial Narrow" w:hAnsi="Arial Narrow" w:cs="Arial"/>
          <w:noProof w:val="0"/>
          <w:color w:val="auto"/>
          <w:sz w:val="24"/>
          <w:szCs w:val="24"/>
        </w:rPr>
        <w:t>corresponden</w:t>
      </w:r>
      <w:r w:rsidR="008F157B" w:rsidRPr="003C01CA">
        <w:rPr>
          <w:rFonts w:ascii="Arial Narrow" w:hAnsi="Arial Narrow" w:cs="Arial"/>
          <w:noProof w:val="0"/>
          <w:color w:val="auto"/>
          <w:sz w:val="24"/>
          <w:szCs w:val="24"/>
        </w:rPr>
        <w:t xml:space="preserve"> con:</w:t>
      </w:r>
    </w:p>
    <w:p w14:paraId="3CF30C3B" w14:textId="77777777" w:rsidR="008F157B" w:rsidRDefault="008F157B" w:rsidP="008F157B">
      <w:pPr>
        <w:pStyle w:val="TextePrinc"/>
        <w:tabs>
          <w:tab w:val="left" w:pos="-384"/>
          <w:tab w:val="left" w:pos="1035"/>
          <w:tab w:val="left" w:pos="1560"/>
          <w:tab w:val="left" w:pos="1741"/>
          <w:tab w:val="left" w:pos="2451"/>
          <w:tab w:val="left" w:pos="3160"/>
          <w:tab w:val="left" w:pos="3864"/>
          <w:tab w:val="left" w:pos="4571"/>
          <w:tab w:val="left" w:pos="5280"/>
          <w:tab w:val="left" w:pos="5990"/>
          <w:tab w:val="left" w:pos="6699"/>
        </w:tabs>
        <w:spacing w:before="200" w:after="120" w:line="280" w:lineRule="atLeast"/>
        <w:ind w:left="709"/>
        <w:rPr>
          <w:rFonts w:ascii="Arial Narrow" w:hAnsi="Arial Narrow" w:cs="Arial"/>
          <w:noProof w:val="0"/>
          <w:color w:val="auto"/>
          <w:sz w:val="24"/>
          <w:szCs w:val="24"/>
        </w:rPr>
      </w:pPr>
      <w:r w:rsidRPr="003C01CA">
        <w:rPr>
          <w:lang w:val="es-ES"/>
        </w:rPr>
        <w:drawing>
          <wp:inline distT="0" distB="0" distL="0" distR="0" wp14:anchorId="6C7512FE" wp14:editId="62669860">
            <wp:extent cx="3045125" cy="651488"/>
            <wp:effectExtent l="0" t="0" r="317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5274" cy="662217"/>
                    </a:xfrm>
                    <a:prstGeom prst="rect">
                      <a:avLst/>
                    </a:prstGeom>
                    <a:noFill/>
                    <a:ln>
                      <a:noFill/>
                    </a:ln>
                  </pic:spPr>
                </pic:pic>
              </a:graphicData>
            </a:graphic>
          </wp:inline>
        </w:drawing>
      </w:r>
    </w:p>
    <w:p w14:paraId="5329143D" w14:textId="77777777" w:rsidR="003C01CA" w:rsidRDefault="003C01CA" w:rsidP="003C01CA">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lang w:eastAsia="en-US"/>
        </w:rPr>
      </w:pPr>
      <w:r w:rsidRPr="003C01CA">
        <w:rPr>
          <w:rFonts w:ascii="Arial Narrow" w:hAnsi="Arial Narrow" w:cs="Arial"/>
          <w:noProof w:val="0"/>
          <w:color w:val="auto"/>
          <w:sz w:val="24"/>
          <w:szCs w:val="24"/>
          <w:lang w:eastAsia="en-US"/>
        </w:rPr>
        <w:t>La donación se corresponde con un equipo fluoroscopia. Por motivos de financiación el ITC no puede dar continuidad a la línea de actividad que se desarrolla con este equipamiento. Y por su parte, la dirección científica de esta Cátedra de Tecnologías Médicas de la ULPGC, se ha comunicado al ITC, la conveniencia de disponer de este un equipamiento científico-técnico para su utilización para sus actividades y proyectos de I +D. Y ha solicitado que el ITC done a la FUNDACIÓN ÁGORA como miembro de LA CÁTEDRA DE TECNOLOGÍAS MÉDICAS DE LA ULPGC dicho equipamiento.</w:t>
      </w:r>
    </w:p>
    <w:p w14:paraId="69FA5C12" w14:textId="77777777" w:rsidR="00D464D1" w:rsidRPr="00AA2AF4" w:rsidRDefault="00D464D1" w:rsidP="009C5E01">
      <w:pPr>
        <w:pStyle w:val="TextePrinc"/>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u w:val="single"/>
        </w:rPr>
      </w:pPr>
      <w:r w:rsidRPr="00AA2AF4">
        <w:rPr>
          <w:rFonts w:ascii="Arial Narrow" w:hAnsi="Arial Narrow" w:cs="Arial"/>
          <w:noProof w:val="0"/>
          <w:color w:val="auto"/>
          <w:sz w:val="24"/>
          <w:szCs w:val="24"/>
          <w:u w:val="single"/>
        </w:rPr>
        <w:t>Correcciones valorativas</w:t>
      </w:r>
    </w:p>
    <w:p w14:paraId="44AB1EAB" w14:textId="77777777" w:rsidR="00D464D1" w:rsidRPr="00AA2AF4" w:rsidRDefault="00D464D1" w:rsidP="00D464D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color w:val="auto"/>
          <w:sz w:val="24"/>
          <w:szCs w:val="24"/>
        </w:rPr>
      </w:pPr>
      <w:r w:rsidRPr="00AA2AF4">
        <w:rPr>
          <w:rFonts w:ascii="Arial Narrow" w:hAnsi="Arial Narrow" w:cs="Arial"/>
          <w:color w:val="auto"/>
          <w:sz w:val="24"/>
          <w:szCs w:val="24"/>
        </w:rPr>
        <w:t>No se han realizado ninguna corrección valorativa de los bienes de inmovilizado.</w:t>
      </w:r>
    </w:p>
    <w:p w14:paraId="73C450D2" w14:textId="77777777" w:rsidR="00D464D1" w:rsidRPr="00B36090" w:rsidRDefault="00D464D1" w:rsidP="009C5E01">
      <w:pPr>
        <w:pStyle w:val="TextePrinc"/>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u w:val="single"/>
        </w:rPr>
      </w:pPr>
      <w:bookmarkStart w:id="6" w:name="_Hlk34905149"/>
      <w:r w:rsidRPr="00B36090">
        <w:rPr>
          <w:rFonts w:ascii="Arial Narrow" w:hAnsi="Arial Narrow" w:cs="Arial"/>
          <w:noProof w:val="0"/>
          <w:color w:val="auto"/>
          <w:sz w:val="24"/>
          <w:szCs w:val="24"/>
          <w:u w:val="single"/>
        </w:rPr>
        <w:t>Bienes totalmente amortizados</w:t>
      </w:r>
    </w:p>
    <w:p w14:paraId="4D5D8C2A" w14:textId="77777777" w:rsidR="0070080D" w:rsidRDefault="00D464D1" w:rsidP="00D464D1">
      <w:pPr>
        <w:spacing w:after="120"/>
        <w:jc w:val="both"/>
        <w:rPr>
          <w:rFonts w:ascii="Arial Narrow" w:hAnsi="Arial Narrow" w:cs="Arial"/>
          <w:color w:val="000000" w:themeColor="text1"/>
          <w:sz w:val="24"/>
          <w:szCs w:val="24"/>
        </w:rPr>
      </w:pPr>
      <w:r w:rsidRPr="00B36090">
        <w:rPr>
          <w:rFonts w:ascii="Arial Narrow" w:hAnsi="Arial Narrow" w:cs="Arial"/>
          <w:sz w:val="24"/>
          <w:szCs w:val="24"/>
        </w:rPr>
        <w:t>La Sociedad tiene el siguiente inmovilizado material totalmente amortizado y en uso al cierre de los ejercicio</w:t>
      </w:r>
      <w:r w:rsidRPr="00F10B31">
        <w:rPr>
          <w:rFonts w:ascii="Arial Narrow" w:hAnsi="Arial Narrow" w:cs="Arial"/>
          <w:color w:val="000000" w:themeColor="text1"/>
          <w:sz w:val="24"/>
          <w:szCs w:val="24"/>
        </w:rPr>
        <w:t>s 20</w:t>
      </w:r>
      <w:r w:rsidR="00A62EBB" w:rsidRPr="00F10B31">
        <w:rPr>
          <w:rFonts w:ascii="Arial Narrow" w:hAnsi="Arial Narrow" w:cs="Arial"/>
          <w:color w:val="000000" w:themeColor="text1"/>
          <w:sz w:val="24"/>
          <w:szCs w:val="24"/>
        </w:rPr>
        <w:t>1</w:t>
      </w:r>
      <w:r w:rsidR="008F157B" w:rsidRPr="00F10B31">
        <w:rPr>
          <w:rFonts w:ascii="Arial Narrow" w:hAnsi="Arial Narrow" w:cs="Arial"/>
          <w:color w:val="000000" w:themeColor="text1"/>
          <w:sz w:val="24"/>
          <w:szCs w:val="24"/>
        </w:rPr>
        <w:t>9</w:t>
      </w:r>
      <w:r w:rsidR="00A62EBB" w:rsidRPr="00F10B31">
        <w:rPr>
          <w:rFonts w:ascii="Arial Narrow" w:hAnsi="Arial Narrow" w:cs="Arial"/>
          <w:color w:val="000000" w:themeColor="text1"/>
          <w:sz w:val="24"/>
          <w:szCs w:val="24"/>
        </w:rPr>
        <w:t xml:space="preserve"> y 201</w:t>
      </w:r>
      <w:r w:rsidR="008F157B" w:rsidRPr="00F10B31">
        <w:rPr>
          <w:rFonts w:ascii="Arial Narrow" w:hAnsi="Arial Narrow" w:cs="Arial"/>
          <w:color w:val="000000" w:themeColor="text1"/>
          <w:sz w:val="24"/>
          <w:szCs w:val="24"/>
        </w:rPr>
        <w:t>8</w:t>
      </w:r>
      <w:r w:rsidRPr="00F10B31">
        <w:rPr>
          <w:rFonts w:ascii="Arial Narrow" w:hAnsi="Arial Narrow" w:cs="Arial"/>
          <w:color w:val="000000" w:themeColor="text1"/>
          <w:sz w:val="24"/>
          <w:szCs w:val="24"/>
        </w:rPr>
        <w:t>, en euros:</w:t>
      </w:r>
    </w:p>
    <w:p w14:paraId="18D6F51C" w14:textId="77777777" w:rsidR="00F10B31" w:rsidRDefault="00F10B31" w:rsidP="00F10B31">
      <w:pPr>
        <w:spacing w:after="120"/>
        <w:jc w:val="center"/>
        <w:rPr>
          <w:rFonts w:ascii="Arial Narrow" w:hAnsi="Arial Narrow" w:cs="Arial"/>
          <w:color w:val="000000" w:themeColor="text1"/>
          <w:sz w:val="24"/>
          <w:szCs w:val="24"/>
        </w:rPr>
      </w:pPr>
      <w:r w:rsidRPr="00F10B31">
        <w:rPr>
          <w:noProof/>
          <w:lang w:val="es-ES" w:eastAsia="es-ES"/>
        </w:rPr>
        <w:drawing>
          <wp:inline distT="0" distB="0" distL="0" distR="0" wp14:anchorId="14F08FB1" wp14:editId="6BC53398">
            <wp:extent cx="5398770" cy="19164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8770" cy="1916430"/>
                    </a:xfrm>
                    <a:prstGeom prst="rect">
                      <a:avLst/>
                    </a:prstGeom>
                    <a:noFill/>
                    <a:ln>
                      <a:noFill/>
                    </a:ln>
                  </pic:spPr>
                </pic:pic>
              </a:graphicData>
            </a:graphic>
          </wp:inline>
        </w:drawing>
      </w:r>
    </w:p>
    <w:bookmarkEnd w:id="6"/>
    <w:p w14:paraId="09860273" w14:textId="77777777" w:rsidR="00121A77" w:rsidRPr="00121A77" w:rsidRDefault="00D464D1" w:rsidP="009C5E01">
      <w:pPr>
        <w:pStyle w:val="TextePrinc"/>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u w:val="single"/>
        </w:rPr>
      </w:pPr>
      <w:r w:rsidRPr="00121A77">
        <w:rPr>
          <w:rFonts w:ascii="Arial Narrow" w:hAnsi="Arial Narrow" w:cs="Arial"/>
          <w:noProof w:val="0"/>
          <w:color w:val="auto"/>
          <w:sz w:val="24"/>
          <w:szCs w:val="24"/>
          <w:u w:val="single"/>
        </w:rPr>
        <w:t>Seguros</w:t>
      </w:r>
    </w:p>
    <w:p w14:paraId="7518AFFE" w14:textId="77777777" w:rsidR="00121A77" w:rsidRDefault="00D464D1" w:rsidP="00121A77">
      <w:pPr>
        <w:spacing w:after="120"/>
        <w:jc w:val="both"/>
        <w:rPr>
          <w:rFonts w:ascii="Arial Narrow" w:hAnsi="Arial Narrow" w:cs="Arial"/>
          <w:sz w:val="24"/>
          <w:szCs w:val="24"/>
        </w:rPr>
      </w:pPr>
      <w:r w:rsidRPr="00121A77">
        <w:rPr>
          <w:rFonts w:ascii="Arial Narrow" w:hAnsi="Arial Narrow" w:cs="Arial"/>
          <w:sz w:val="24"/>
          <w:szCs w:val="24"/>
        </w:rPr>
        <w:t>La Sociedad tiene contratadas varias pólizas de seguro para cubrir los riesgos a que están sujetos los bienes del inmovilizado material. La cobertura de estas pólizas se considera suficiente.</w:t>
      </w:r>
    </w:p>
    <w:p w14:paraId="4C66A811" w14:textId="77777777" w:rsidR="00121A77" w:rsidRPr="00121A77" w:rsidRDefault="00D464D1" w:rsidP="009C5E01">
      <w:pPr>
        <w:pStyle w:val="TextePrinc"/>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u w:val="single"/>
        </w:rPr>
      </w:pPr>
      <w:r w:rsidRPr="007D7482">
        <w:rPr>
          <w:rFonts w:ascii="Arial Narrow" w:hAnsi="Arial Narrow" w:cs="Arial"/>
          <w:noProof w:val="0"/>
          <w:color w:val="auto"/>
          <w:sz w:val="24"/>
          <w:szCs w:val="24"/>
          <w:u w:val="single"/>
        </w:rPr>
        <w:t>Costes de desmantelamiento, retiro y rehabilitación</w:t>
      </w:r>
    </w:p>
    <w:p w14:paraId="194A841F" w14:textId="77777777" w:rsidR="003C01CA" w:rsidRDefault="00D464D1" w:rsidP="003C01CA">
      <w:pPr>
        <w:spacing w:after="120"/>
        <w:jc w:val="both"/>
        <w:rPr>
          <w:rFonts w:ascii="Arial Narrow" w:hAnsi="Arial Narrow" w:cs="Arial"/>
          <w:snapToGrid w:val="0"/>
          <w:color w:val="0D0D0D" w:themeColor="text1" w:themeTint="F2"/>
          <w:sz w:val="24"/>
          <w:szCs w:val="24"/>
        </w:rPr>
      </w:pPr>
      <w:r w:rsidRPr="007D7482">
        <w:rPr>
          <w:rFonts w:ascii="Arial Narrow" w:hAnsi="Arial Narrow" w:cs="Arial"/>
          <w:snapToGrid w:val="0"/>
          <w:sz w:val="24"/>
          <w:szCs w:val="24"/>
        </w:rPr>
        <w:t xml:space="preserve">Dentro del inmovilizado material se incluye un importe bruto </w:t>
      </w:r>
      <w:r w:rsidRPr="00B371EF">
        <w:rPr>
          <w:rFonts w:ascii="Arial Narrow" w:hAnsi="Arial Narrow" w:cs="Arial"/>
          <w:snapToGrid w:val="0"/>
          <w:sz w:val="24"/>
          <w:szCs w:val="24"/>
        </w:rPr>
        <w:t xml:space="preserve">de 41.584,10 euros, cuyo valor neto contable </w:t>
      </w:r>
      <w:r w:rsidRPr="00B371EF">
        <w:rPr>
          <w:rFonts w:ascii="Arial Narrow" w:hAnsi="Arial Narrow" w:cs="Arial"/>
          <w:snapToGrid w:val="0"/>
          <w:color w:val="0D0D0D" w:themeColor="text1" w:themeTint="F2"/>
          <w:sz w:val="24"/>
          <w:szCs w:val="24"/>
        </w:rPr>
        <w:t xml:space="preserve">a 31 de diciembre de </w:t>
      </w:r>
      <w:r w:rsidR="00B371EF" w:rsidRPr="00B371EF">
        <w:rPr>
          <w:rFonts w:ascii="Arial Narrow" w:hAnsi="Arial Narrow" w:cs="Arial"/>
          <w:snapToGrid w:val="0"/>
          <w:color w:val="0D0D0D" w:themeColor="text1" w:themeTint="F2"/>
          <w:sz w:val="24"/>
          <w:szCs w:val="24"/>
        </w:rPr>
        <w:t>201</w:t>
      </w:r>
      <w:r w:rsidR="003C01CA">
        <w:rPr>
          <w:rFonts w:ascii="Arial Narrow" w:hAnsi="Arial Narrow" w:cs="Arial"/>
          <w:snapToGrid w:val="0"/>
          <w:color w:val="0D0D0D" w:themeColor="text1" w:themeTint="F2"/>
          <w:sz w:val="24"/>
          <w:szCs w:val="24"/>
        </w:rPr>
        <w:t>9</w:t>
      </w:r>
      <w:r w:rsidR="00B371EF" w:rsidRPr="00B371EF">
        <w:rPr>
          <w:rFonts w:ascii="Arial Narrow" w:hAnsi="Arial Narrow" w:cs="Arial"/>
          <w:snapToGrid w:val="0"/>
          <w:color w:val="0D0D0D" w:themeColor="text1" w:themeTint="F2"/>
          <w:sz w:val="24"/>
          <w:szCs w:val="24"/>
        </w:rPr>
        <w:t xml:space="preserve"> </w:t>
      </w:r>
      <w:r w:rsidRPr="00B371EF">
        <w:rPr>
          <w:rFonts w:ascii="Arial Narrow" w:hAnsi="Arial Narrow" w:cs="Arial"/>
          <w:snapToGrid w:val="0"/>
          <w:color w:val="0D0D0D" w:themeColor="text1" w:themeTint="F2"/>
          <w:sz w:val="24"/>
          <w:szCs w:val="24"/>
        </w:rPr>
        <w:t xml:space="preserve">asciende a </w:t>
      </w:r>
      <w:r w:rsidR="00B92430">
        <w:rPr>
          <w:rFonts w:ascii="Arial Narrow" w:hAnsi="Arial Narrow" w:cs="Arial"/>
          <w:snapToGrid w:val="0"/>
          <w:color w:val="0D0D0D" w:themeColor="text1" w:themeTint="F2"/>
          <w:sz w:val="24"/>
          <w:szCs w:val="24"/>
        </w:rPr>
        <w:t>533,18</w:t>
      </w:r>
      <w:r w:rsidRPr="00B371EF">
        <w:rPr>
          <w:rFonts w:ascii="Arial Narrow" w:hAnsi="Arial Narrow" w:cs="Arial"/>
          <w:snapToGrid w:val="0"/>
          <w:color w:val="0D0D0D" w:themeColor="text1" w:themeTint="F2"/>
          <w:sz w:val="24"/>
          <w:szCs w:val="24"/>
        </w:rPr>
        <w:t xml:space="preserve"> euros</w:t>
      </w:r>
      <w:r w:rsidRPr="00DE6415">
        <w:rPr>
          <w:rFonts w:ascii="Arial Narrow" w:hAnsi="Arial Narrow" w:cs="Arial"/>
          <w:snapToGrid w:val="0"/>
          <w:color w:val="0D0D0D" w:themeColor="text1" w:themeTint="F2"/>
          <w:sz w:val="24"/>
          <w:szCs w:val="24"/>
        </w:rPr>
        <w:t>, correspondiente al valor actual de los costes estimados de desmantelamiento, retiro y rehabilitación de los terrenos donde se ubican los parques eólicos de Villa de Mazo (La Palma) y Tenefé (Gran Canaria), que están en uso mediante una autorización administrativa por un período de 20 años.</w:t>
      </w:r>
    </w:p>
    <w:p w14:paraId="5ABB5AF9" w14:textId="77777777" w:rsidR="003C01CA" w:rsidRPr="003C01CA" w:rsidRDefault="003C01CA" w:rsidP="009C5E01">
      <w:pPr>
        <w:pStyle w:val="TextePrinc"/>
        <w:numPr>
          <w:ilvl w:val="0"/>
          <w:numId w:val="13"/>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jc w:val="both"/>
        <w:rPr>
          <w:rFonts w:ascii="Arial Narrow" w:hAnsi="Arial Narrow" w:cs="Arial"/>
          <w:noProof w:val="0"/>
          <w:color w:val="auto"/>
          <w:sz w:val="24"/>
          <w:szCs w:val="24"/>
          <w:u w:val="single"/>
        </w:rPr>
      </w:pPr>
      <w:r w:rsidRPr="003C01CA">
        <w:rPr>
          <w:rFonts w:ascii="Arial Narrow" w:hAnsi="Arial Narrow" w:cs="Arial"/>
          <w:noProof w:val="0"/>
          <w:color w:val="auto"/>
          <w:sz w:val="24"/>
          <w:szCs w:val="24"/>
          <w:u w:val="single"/>
        </w:rPr>
        <w:t>Traspasos</w:t>
      </w:r>
      <w:bookmarkStart w:id="7" w:name="RANGE!B2"/>
      <w:bookmarkEnd w:id="7"/>
    </w:p>
    <w:p w14:paraId="052293AD" w14:textId="77777777" w:rsidR="00242CD2" w:rsidRDefault="003C01CA" w:rsidP="00242CD2">
      <w:pPr>
        <w:spacing w:after="120"/>
        <w:jc w:val="both"/>
        <w:rPr>
          <w:rFonts w:ascii="Arial Narrow" w:hAnsi="Arial Narrow" w:cs="Arial"/>
          <w:snapToGrid w:val="0"/>
          <w:sz w:val="24"/>
          <w:szCs w:val="24"/>
        </w:rPr>
      </w:pPr>
      <w:r w:rsidRPr="003C01CA">
        <w:rPr>
          <w:rFonts w:ascii="Arial Narrow" w:hAnsi="Arial Narrow" w:cs="Arial"/>
          <w:snapToGrid w:val="0"/>
          <w:sz w:val="24"/>
          <w:szCs w:val="24"/>
        </w:rPr>
        <w:t>Los traspasos realizados en 2019 se corresponden con la activación del inmovilizado que estaba en curso.</w:t>
      </w:r>
    </w:p>
    <w:p w14:paraId="0CFE9D2D" w14:textId="77777777" w:rsidR="00242CD2" w:rsidRDefault="00242CD2" w:rsidP="00242CD2">
      <w:pPr>
        <w:spacing w:after="120"/>
        <w:jc w:val="both"/>
        <w:rPr>
          <w:rFonts w:ascii="Arial Narrow" w:hAnsi="Arial Narrow" w:cs="Arial"/>
          <w:snapToGrid w:val="0"/>
          <w:sz w:val="24"/>
          <w:szCs w:val="24"/>
        </w:rPr>
      </w:pPr>
    </w:p>
    <w:p w14:paraId="237EB1B7" w14:textId="77777777" w:rsidR="00242CD2" w:rsidRDefault="00242CD2" w:rsidP="00242CD2">
      <w:pPr>
        <w:spacing w:after="120"/>
        <w:jc w:val="both"/>
        <w:rPr>
          <w:rFonts w:ascii="Arial Narrow" w:hAnsi="Arial Narrow" w:cs="Arial"/>
          <w:snapToGrid w:val="0"/>
          <w:sz w:val="24"/>
          <w:szCs w:val="24"/>
        </w:rPr>
      </w:pPr>
    </w:p>
    <w:p w14:paraId="5BDE4D58" w14:textId="77777777" w:rsidR="00242CD2" w:rsidRDefault="005F665F" w:rsidP="00242CD2">
      <w:pPr>
        <w:spacing w:after="120"/>
        <w:jc w:val="both"/>
        <w:rPr>
          <w:rFonts w:ascii="Arial Narrow" w:hAnsi="Arial Narrow" w:cs="Arial"/>
          <w:b/>
          <w:caps/>
          <w:snapToGrid w:val="0"/>
          <w:sz w:val="24"/>
          <w:szCs w:val="24"/>
          <w:u w:val="single"/>
          <w:lang w:eastAsia="es-ES"/>
        </w:rPr>
      </w:pPr>
      <w:r w:rsidRPr="009B6F68">
        <w:rPr>
          <w:rFonts w:ascii="Arial Narrow" w:hAnsi="Arial Narrow" w:cs="Arial"/>
          <w:b/>
          <w:caps/>
          <w:snapToGrid w:val="0"/>
          <w:sz w:val="24"/>
          <w:szCs w:val="24"/>
          <w:lang w:eastAsia="es-ES"/>
        </w:rPr>
        <w:t xml:space="preserve">NOTA 7. </w:t>
      </w:r>
      <w:r w:rsidR="009B6F68" w:rsidRPr="009B6F68">
        <w:rPr>
          <w:rFonts w:ascii="Arial Narrow" w:hAnsi="Arial Narrow" w:cs="Arial"/>
          <w:b/>
          <w:caps/>
          <w:snapToGrid w:val="0"/>
          <w:sz w:val="24"/>
          <w:szCs w:val="24"/>
          <w:u w:val="single"/>
          <w:lang w:eastAsia="es-ES"/>
        </w:rPr>
        <w:t>Inversiones inmobiliarias</w:t>
      </w:r>
    </w:p>
    <w:p w14:paraId="1EE071E9" w14:textId="77777777" w:rsidR="00242CD2" w:rsidRDefault="00242CD2" w:rsidP="00242CD2">
      <w:pPr>
        <w:spacing w:after="120"/>
        <w:jc w:val="both"/>
        <w:rPr>
          <w:rFonts w:ascii="Arial Narrow" w:hAnsi="Arial Narrow" w:cs="Arial"/>
          <w:b/>
          <w:caps/>
          <w:snapToGrid w:val="0"/>
          <w:sz w:val="24"/>
          <w:szCs w:val="24"/>
          <w:u w:val="single"/>
          <w:lang w:eastAsia="es-ES"/>
        </w:rPr>
      </w:pPr>
    </w:p>
    <w:p w14:paraId="639FC6EF" w14:textId="77777777" w:rsidR="00242CD2" w:rsidRPr="00850B72" w:rsidRDefault="00242CD2" w:rsidP="00242CD2">
      <w:pPr>
        <w:spacing w:line="280" w:lineRule="atLeast"/>
        <w:jc w:val="both"/>
        <w:rPr>
          <w:rFonts w:ascii="Arial Narrow" w:hAnsi="Arial Narrow" w:cs="Arial"/>
          <w:sz w:val="24"/>
          <w:szCs w:val="24"/>
        </w:rPr>
      </w:pPr>
      <w:r w:rsidRPr="00D464D1">
        <w:rPr>
          <w:rFonts w:ascii="Arial Narrow" w:hAnsi="Arial Narrow" w:cs="Arial"/>
          <w:sz w:val="24"/>
          <w:szCs w:val="24"/>
        </w:rPr>
        <w:t>L</w:t>
      </w:r>
      <w:r w:rsidRPr="00850B72">
        <w:rPr>
          <w:rFonts w:ascii="Arial Narrow" w:hAnsi="Arial Narrow" w:cs="Arial"/>
          <w:sz w:val="24"/>
          <w:szCs w:val="24"/>
        </w:rPr>
        <w:t>as inversiones inmobiliarias corresponden a aquellas inversiones en inmuebles que generan ingresos por arrendamientos, en concreto el 50% del edificio de Las Palmas de Gran Canaria (plantas primera, segunda y tercera), arrendado a la Dirección General de Patrimonio y Contratación para uso de la Dirección General de Telecomunicaciones y Nuevas Tecnologías, y un 79% de la cuarta planta del mismo edificio, arrendada a la Fundación Canaria para el Fomento del Trabajo (FUNCATRA).</w:t>
      </w:r>
    </w:p>
    <w:p w14:paraId="039FA88D" w14:textId="77777777" w:rsidR="00242CD2" w:rsidRPr="00850B72" w:rsidRDefault="00242CD2" w:rsidP="00242CD2">
      <w:pPr>
        <w:spacing w:line="280" w:lineRule="atLeast"/>
        <w:jc w:val="both"/>
        <w:rPr>
          <w:rFonts w:ascii="Arial Narrow" w:hAnsi="Arial Narrow" w:cs="Arial"/>
          <w:sz w:val="24"/>
          <w:szCs w:val="24"/>
        </w:rPr>
      </w:pPr>
    </w:p>
    <w:p w14:paraId="1F11E804" w14:textId="77777777" w:rsidR="00242CD2" w:rsidRPr="00F56ADE" w:rsidRDefault="00242CD2" w:rsidP="00242CD2">
      <w:pPr>
        <w:spacing w:line="280" w:lineRule="atLeast"/>
        <w:jc w:val="both"/>
        <w:rPr>
          <w:rFonts w:ascii="Arial Narrow" w:hAnsi="Arial Narrow" w:cs="Arial"/>
          <w:color w:val="FF0000"/>
          <w:sz w:val="24"/>
          <w:szCs w:val="24"/>
          <w:u w:val="single"/>
        </w:rPr>
      </w:pPr>
      <w:r w:rsidRPr="003C01CA">
        <w:rPr>
          <w:rFonts w:ascii="Arial Narrow" w:hAnsi="Arial Narrow" w:cs="Arial"/>
          <w:sz w:val="24"/>
          <w:szCs w:val="24"/>
        </w:rPr>
        <w:t>Así mismo, en el ejercicio 2016 se reclasificaron todos los activos y amortizaciones acumuladas correspondientes a la UTE Parque Tecnológico de Fuerteventura, en la que ITC a finales del 2019 tiene una participación en el 81</w:t>
      </w:r>
      <w:r>
        <w:rPr>
          <w:rFonts w:ascii="Arial Narrow" w:hAnsi="Arial Narrow" w:cs="Arial"/>
          <w:sz w:val="24"/>
          <w:szCs w:val="24"/>
        </w:rPr>
        <w:t>,</w:t>
      </w:r>
      <w:r w:rsidRPr="003C01CA">
        <w:rPr>
          <w:rFonts w:ascii="Arial Narrow" w:hAnsi="Arial Narrow" w:cs="Arial"/>
          <w:sz w:val="24"/>
          <w:szCs w:val="24"/>
        </w:rPr>
        <w:t>85%, y las correspondientes a la UTE para la construcción del edificio Polivalente III del Parque Científico Tecnológico de la ULPGC, en la que el ITC participa en el 81,77% a Inversiones Inmobiliarias, al ser edificios destinados íntegramente al arrendamiento.</w:t>
      </w:r>
    </w:p>
    <w:p w14:paraId="0CF9BBA1" w14:textId="77777777" w:rsidR="00242CD2" w:rsidRDefault="00242CD2" w:rsidP="00242CD2">
      <w:pPr>
        <w:spacing w:after="120"/>
        <w:jc w:val="both"/>
        <w:rPr>
          <w:rFonts w:ascii="Arial Narrow" w:hAnsi="Arial Narrow" w:cs="Arial"/>
          <w:b/>
          <w:caps/>
          <w:snapToGrid w:val="0"/>
          <w:sz w:val="24"/>
          <w:szCs w:val="24"/>
          <w:u w:val="single"/>
          <w:lang w:eastAsia="es-ES"/>
        </w:rPr>
      </w:pPr>
    </w:p>
    <w:p w14:paraId="0A1193EC" w14:textId="7A4A207A" w:rsidR="00D464D1" w:rsidRDefault="00D464D1" w:rsidP="00242CD2">
      <w:pPr>
        <w:spacing w:after="120"/>
        <w:jc w:val="both"/>
        <w:rPr>
          <w:rFonts w:ascii="Arial Narrow" w:hAnsi="Arial Narrow" w:cs="Arial"/>
          <w:sz w:val="24"/>
          <w:szCs w:val="24"/>
          <w:u w:val="single"/>
        </w:rPr>
      </w:pPr>
      <w:r w:rsidRPr="00C25C34">
        <w:rPr>
          <w:rFonts w:ascii="Arial Narrow" w:hAnsi="Arial Narrow" w:cs="Arial"/>
          <w:sz w:val="24"/>
          <w:szCs w:val="24"/>
        </w:rPr>
        <w:t xml:space="preserve">El detalle y los movimientos de las inversiones inmobiliarias a lo largo del ejercicio </w:t>
      </w:r>
      <w:r w:rsidR="00B371EF" w:rsidRPr="00DE6415">
        <w:rPr>
          <w:rFonts w:ascii="Arial Narrow" w:hAnsi="Arial Narrow" w:cs="Arial"/>
          <w:color w:val="000000" w:themeColor="text1"/>
          <w:sz w:val="24"/>
          <w:szCs w:val="24"/>
        </w:rPr>
        <w:t>20</w:t>
      </w:r>
      <w:r w:rsidR="00A049F7">
        <w:rPr>
          <w:rFonts w:ascii="Arial Narrow" w:hAnsi="Arial Narrow" w:cs="Arial"/>
          <w:color w:val="000000" w:themeColor="text1"/>
          <w:sz w:val="24"/>
          <w:szCs w:val="24"/>
        </w:rPr>
        <w:t>19</w:t>
      </w:r>
      <w:r w:rsidR="00B371EF" w:rsidRPr="00DE6415">
        <w:rPr>
          <w:rFonts w:ascii="Arial Narrow" w:hAnsi="Arial Narrow" w:cs="Arial"/>
          <w:color w:val="000000" w:themeColor="text1"/>
          <w:sz w:val="24"/>
          <w:szCs w:val="24"/>
        </w:rPr>
        <w:t xml:space="preserve"> </w:t>
      </w:r>
      <w:r w:rsidRPr="00DE6415">
        <w:rPr>
          <w:rFonts w:ascii="Arial Narrow" w:hAnsi="Arial Narrow" w:cs="Arial"/>
          <w:color w:val="000000" w:themeColor="text1"/>
          <w:sz w:val="24"/>
          <w:szCs w:val="24"/>
        </w:rPr>
        <w:t xml:space="preserve">y </w:t>
      </w:r>
      <w:r w:rsidR="00B371EF" w:rsidRPr="00DE6415">
        <w:rPr>
          <w:rFonts w:ascii="Arial Narrow" w:hAnsi="Arial Narrow" w:cs="Arial"/>
          <w:color w:val="000000" w:themeColor="text1"/>
          <w:sz w:val="24"/>
          <w:szCs w:val="24"/>
        </w:rPr>
        <w:t>20</w:t>
      </w:r>
      <w:r w:rsidR="00A049F7">
        <w:rPr>
          <w:rFonts w:ascii="Arial Narrow" w:hAnsi="Arial Narrow" w:cs="Arial"/>
          <w:color w:val="000000" w:themeColor="text1"/>
          <w:sz w:val="24"/>
          <w:szCs w:val="24"/>
        </w:rPr>
        <w:t xml:space="preserve">18 </w:t>
      </w:r>
      <w:r w:rsidRPr="00C25C34">
        <w:rPr>
          <w:rFonts w:ascii="Arial Narrow" w:hAnsi="Arial Narrow" w:cs="Arial"/>
          <w:sz w:val="24"/>
          <w:szCs w:val="24"/>
        </w:rPr>
        <w:t>es el siguiente, en euros:</w:t>
      </w:r>
      <w:r w:rsidRPr="00C25C34">
        <w:rPr>
          <w:rFonts w:ascii="Arial Narrow" w:hAnsi="Arial Narrow" w:cs="Arial"/>
          <w:sz w:val="24"/>
          <w:szCs w:val="24"/>
          <w:u w:val="single"/>
        </w:rPr>
        <w:t xml:space="preserve"> </w:t>
      </w:r>
    </w:p>
    <w:p w14:paraId="5F648D30" w14:textId="77777777" w:rsidR="00D464D1" w:rsidRDefault="00A049F7" w:rsidP="00D247AE">
      <w:pPr>
        <w:keepNext/>
        <w:keepLines/>
        <w:spacing w:line="280" w:lineRule="atLeast"/>
        <w:rPr>
          <w:rFonts w:ascii="Arial Narrow" w:hAnsi="Arial Narrow" w:cs="Arial"/>
          <w:color w:val="FF0000"/>
          <w:sz w:val="24"/>
          <w:szCs w:val="24"/>
          <w:u w:val="single"/>
        </w:rPr>
      </w:pPr>
      <w:r w:rsidRPr="00A049F7">
        <w:rPr>
          <w:noProof/>
          <w:lang w:val="es-ES" w:eastAsia="es-ES"/>
        </w:rPr>
        <w:drawing>
          <wp:inline distT="0" distB="0" distL="0" distR="0" wp14:anchorId="07593433" wp14:editId="04344440">
            <wp:extent cx="5218352" cy="4546671"/>
            <wp:effectExtent l="0" t="0" r="1905"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3026" cy="4559456"/>
                    </a:xfrm>
                    <a:prstGeom prst="rect">
                      <a:avLst/>
                    </a:prstGeom>
                    <a:noFill/>
                    <a:ln>
                      <a:noFill/>
                    </a:ln>
                  </pic:spPr>
                </pic:pic>
              </a:graphicData>
            </a:graphic>
          </wp:inline>
        </w:drawing>
      </w:r>
    </w:p>
    <w:p w14:paraId="4E748A8D" w14:textId="77777777" w:rsidR="00242CD2" w:rsidRDefault="00242CD2" w:rsidP="00D247AE">
      <w:pPr>
        <w:keepNext/>
        <w:keepLines/>
        <w:spacing w:line="280" w:lineRule="atLeast"/>
        <w:rPr>
          <w:rFonts w:ascii="Arial Narrow" w:hAnsi="Arial Narrow" w:cs="Arial"/>
          <w:color w:val="FF0000"/>
          <w:sz w:val="24"/>
          <w:szCs w:val="24"/>
          <w:u w:val="single"/>
        </w:rPr>
      </w:pPr>
    </w:p>
    <w:p w14:paraId="2F895D14" w14:textId="77777777" w:rsidR="00D464D1" w:rsidRPr="00850B72" w:rsidRDefault="00D464D1" w:rsidP="00D247AE">
      <w:pPr>
        <w:keepNext/>
        <w:keepLines/>
        <w:spacing w:line="280" w:lineRule="atLeast"/>
        <w:rPr>
          <w:rFonts w:ascii="Arial Narrow" w:hAnsi="Arial Narrow" w:cs="Arial"/>
          <w:sz w:val="24"/>
          <w:szCs w:val="24"/>
          <w:u w:val="single"/>
        </w:rPr>
      </w:pPr>
    </w:p>
    <w:p w14:paraId="103414CE" w14:textId="77777777" w:rsidR="00975B0F" w:rsidRPr="00AA2AF4" w:rsidRDefault="000D1DCA" w:rsidP="000B688E">
      <w:pPr>
        <w:keepNext/>
        <w:keepLines/>
        <w:spacing w:line="280" w:lineRule="atLeast"/>
        <w:jc w:val="both"/>
        <w:rPr>
          <w:rFonts w:ascii="Arial Narrow" w:hAnsi="Arial Narrow" w:cs="Arial"/>
          <w:b/>
          <w:sz w:val="24"/>
          <w:szCs w:val="24"/>
          <w:u w:val="single"/>
        </w:rPr>
      </w:pPr>
      <w:r w:rsidRPr="00AA2AF4">
        <w:rPr>
          <w:rFonts w:ascii="Arial Narrow" w:hAnsi="Arial Narrow" w:cs="Arial"/>
          <w:b/>
          <w:sz w:val="24"/>
          <w:szCs w:val="24"/>
        </w:rPr>
        <w:t xml:space="preserve">NOTA 8. </w:t>
      </w:r>
      <w:r w:rsidRPr="00AA2AF4">
        <w:rPr>
          <w:rFonts w:ascii="Arial Narrow" w:hAnsi="Arial Narrow" w:cs="Arial"/>
          <w:b/>
          <w:sz w:val="24"/>
          <w:szCs w:val="24"/>
          <w:u w:val="single"/>
        </w:rPr>
        <w:t>ARRENDAMIENTOS OPERATIVOS Y OTRAS OPERACIONES DE NATURALEZA SIMILAR.</w:t>
      </w:r>
    </w:p>
    <w:p w14:paraId="390ED0C5" w14:textId="77777777" w:rsidR="00975B0F" w:rsidRPr="00AA2AF4" w:rsidRDefault="00975B0F" w:rsidP="000B688E">
      <w:pPr>
        <w:keepNext/>
        <w:keepLines/>
        <w:spacing w:line="280" w:lineRule="atLeast"/>
        <w:rPr>
          <w:rFonts w:ascii="Arial Narrow" w:hAnsi="Arial Narrow" w:cs="Arial"/>
          <w:b/>
          <w:sz w:val="24"/>
          <w:szCs w:val="24"/>
          <w:u w:val="single"/>
        </w:rPr>
      </w:pPr>
    </w:p>
    <w:p w14:paraId="086BD64F" w14:textId="77777777" w:rsidR="00975B0F" w:rsidRPr="00AA2AF4" w:rsidRDefault="00975B0F" w:rsidP="000B688E">
      <w:pPr>
        <w:keepNext/>
        <w:keepLines/>
        <w:spacing w:line="280" w:lineRule="atLeast"/>
        <w:rPr>
          <w:rFonts w:ascii="Arial Narrow" w:hAnsi="Arial Narrow" w:cs="Arial"/>
          <w:b/>
          <w:sz w:val="24"/>
          <w:szCs w:val="24"/>
          <w:u w:val="single"/>
        </w:rPr>
      </w:pPr>
      <w:r w:rsidRPr="00AA2AF4">
        <w:rPr>
          <w:rFonts w:ascii="Arial Narrow" w:hAnsi="Arial Narrow" w:cs="Arial"/>
          <w:b/>
          <w:sz w:val="24"/>
          <w:szCs w:val="24"/>
          <w:u w:val="single"/>
        </w:rPr>
        <w:t>8</w:t>
      </w:r>
      <w:r w:rsidR="000D1DCA" w:rsidRPr="00AA2AF4">
        <w:rPr>
          <w:rFonts w:ascii="Arial Narrow" w:hAnsi="Arial Narrow" w:cs="Arial"/>
          <w:b/>
          <w:sz w:val="24"/>
          <w:szCs w:val="24"/>
          <w:u w:val="single"/>
        </w:rPr>
        <w:t>.1 Arrendamientos Financieros</w:t>
      </w:r>
    </w:p>
    <w:p w14:paraId="2C0945C7" w14:textId="77777777" w:rsidR="00975B0F" w:rsidRPr="00AA2AF4" w:rsidRDefault="00975B0F" w:rsidP="000B688E">
      <w:pPr>
        <w:keepNext/>
        <w:keepLines/>
        <w:spacing w:line="280" w:lineRule="atLeast"/>
        <w:rPr>
          <w:rFonts w:ascii="Arial Narrow" w:hAnsi="Arial Narrow" w:cs="Arial"/>
          <w:b/>
          <w:sz w:val="24"/>
          <w:szCs w:val="24"/>
          <w:u w:val="single"/>
        </w:rPr>
      </w:pPr>
    </w:p>
    <w:p w14:paraId="7AC6BC28" w14:textId="77777777" w:rsidR="000D1DCA" w:rsidRPr="00850B72" w:rsidRDefault="0094000B" w:rsidP="000B688E">
      <w:pPr>
        <w:keepNext/>
        <w:keepLines/>
        <w:spacing w:line="280" w:lineRule="atLeast"/>
        <w:jc w:val="both"/>
        <w:rPr>
          <w:rFonts w:ascii="Arial Narrow" w:hAnsi="Arial Narrow" w:cs="Arial"/>
          <w:color w:val="000000" w:themeColor="text1"/>
          <w:sz w:val="24"/>
          <w:szCs w:val="24"/>
        </w:rPr>
      </w:pPr>
      <w:r w:rsidRPr="00850B72">
        <w:rPr>
          <w:rFonts w:ascii="Arial Narrow" w:hAnsi="Arial Narrow" w:cs="Arial"/>
          <w:color w:val="000000" w:themeColor="text1"/>
          <w:sz w:val="24"/>
          <w:szCs w:val="24"/>
        </w:rPr>
        <w:t>En</w:t>
      </w:r>
      <w:r w:rsidR="000D1DCA" w:rsidRPr="00850B72">
        <w:rPr>
          <w:rFonts w:ascii="Arial Narrow" w:hAnsi="Arial Narrow" w:cs="Arial"/>
          <w:color w:val="000000" w:themeColor="text1"/>
          <w:sz w:val="24"/>
          <w:szCs w:val="24"/>
        </w:rPr>
        <w:t xml:space="preserve"> </w:t>
      </w:r>
      <w:r w:rsidR="00080814">
        <w:rPr>
          <w:rFonts w:ascii="Arial Narrow" w:hAnsi="Arial Narrow" w:cs="Arial"/>
          <w:color w:val="000000" w:themeColor="text1"/>
          <w:sz w:val="24"/>
          <w:szCs w:val="24"/>
        </w:rPr>
        <w:t>los ejercicio</w:t>
      </w:r>
      <w:r w:rsidR="00130A40">
        <w:rPr>
          <w:rFonts w:ascii="Arial Narrow" w:hAnsi="Arial Narrow" w:cs="Arial"/>
          <w:color w:val="000000" w:themeColor="text1"/>
          <w:sz w:val="24"/>
          <w:szCs w:val="24"/>
        </w:rPr>
        <w:t>s</w:t>
      </w:r>
      <w:r w:rsidR="00080814">
        <w:rPr>
          <w:rFonts w:ascii="Arial Narrow" w:hAnsi="Arial Narrow" w:cs="Arial"/>
          <w:color w:val="000000" w:themeColor="text1"/>
          <w:sz w:val="24"/>
          <w:szCs w:val="24"/>
        </w:rPr>
        <w:t xml:space="preserve"> 201</w:t>
      </w:r>
      <w:r w:rsidR="00A049F7">
        <w:rPr>
          <w:rFonts w:ascii="Arial Narrow" w:hAnsi="Arial Narrow" w:cs="Arial"/>
          <w:color w:val="000000" w:themeColor="text1"/>
          <w:sz w:val="24"/>
          <w:szCs w:val="24"/>
        </w:rPr>
        <w:t>9</w:t>
      </w:r>
      <w:r w:rsidR="00080814">
        <w:rPr>
          <w:rFonts w:ascii="Arial Narrow" w:hAnsi="Arial Narrow" w:cs="Arial"/>
          <w:color w:val="000000" w:themeColor="text1"/>
          <w:sz w:val="24"/>
          <w:szCs w:val="24"/>
        </w:rPr>
        <w:t xml:space="preserve"> y 201</w:t>
      </w:r>
      <w:r w:rsidR="008E68AE">
        <w:rPr>
          <w:rFonts w:ascii="Arial Narrow" w:hAnsi="Arial Narrow" w:cs="Arial"/>
          <w:color w:val="000000" w:themeColor="text1"/>
          <w:sz w:val="24"/>
          <w:szCs w:val="24"/>
        </w:rPr>
        <w:t>8</w:t>
      </w:r>
      <w:r w:rsidR="000D1DCA" w:rsidRPr="00850B72">
        <w:rPr>
          <w:rFonts w:ascii="Arial Narrow" w:hAnsi="Arial Narrow" w:cs="Arial"/>
          <w:color w:val="000000" w:themeColor="text1"/>
          <w:sz w:val="24"/>
          <w:szCs w:val="24"/>
        </w:rPr>
        <w:t>, la Sociedad</w:t>
      </w:r>
      <w:r w:rsidR="00FB7C37" w:rsidRPr="00850B72">
        <w:rPr>
          <w:rFonts w:ascii="Arial Narrow" w:hAnsi="Arial Narrow" w:cs="Arial"/>
          <w:color w:val="000000" w:themeColor="text1"/>
          <w:sz w:val="24"/>
          <w:szCs w:val="24"/>
        </w:rPr>
        <w:t xml:space="preserve"> no mantiene ningún arrendamiento financiero.</w:t>
      </w:r>
      <w:r w:rsidR="000D1DCA" w:rsidRPr="00850B72">
        <w:rPr>
          <w:rFonts w:ascii="Arial Narrow" w:hAnsi="Arial Narrow" w:cs="Arial"/>
          <w:color w:val="000000" w:themeColor="text1"/>
          <w:sz w:val="24"/>
          <w:szCs w:val="24"/>
        </w:rPr>
        <w:t xml:space="preserve"> </w:t>
      </w:r>
    </w:p>
    <w:p w14:paraId="352D34B5" w14:textId="77777777" w:rsidR="00DD368E" w:rsidRPr="00C11786" w:rsidRDefault="000D1DCA" w:rsidP="009C5E01">
      <w:pPr>
        <w:pStyle w:val="TextePrinc"/>
        <w:keepNext/>
        <w:keepLines/>
        <w:numPr>
          <w:ilvl w:val="1"/>
          <w:numId w:val="17"/>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120" w:after="120" w:line="280" w:lineRule="atLeast"/>
        <w:jc w:val="both"/>
        <w:rPr>
          <w:rFonts w:ascii="Arial Narrow" w:hAnsi="Arial Narrow" w:cs="Arial"/>
          <w:b/>
          <w:noProof w:val="0"/>
          <w:color w:val="auto"/>
          <w:sz w:val="24"/>
          <w:szCs w:val="24"/>
          <w:u w:val="single"/>
        </w:rPr>
      </w:pPr>
      <w:bookmarkStart w:id="8" w:name="_Hlk34905181"/>
      <w:r w:rsidRPr="00C11786">
        <w:rPr>
          <w:rFonts w:ascii="Arial Narrow" w:hAnsi="Arial Narrow" w:cs="Arial"/>
          <w:b/>
          <w:noProof w:val="0"/>
          <w:color w:val="auto"/>
          <w:sz w:val="24"/>
          <w:szCs w:val="24"/>
          <w:u w:val="single"/>
        </w:rPr>
        <w:t>Arrendamientos O</w:t>
      </w:r>
      <w:r w:rsidR="00DD368E" w:rsidRPr="00C11786">
        <w:rPr>
          <w:rFonts w:ascii="Arial Narrow" w:hAnsi="Arial Narrow" w:cs="Arial"/>
          <w:b/>
          <w:noProof w:val="0"/>
          <w:color w:val="auto"/>
          <w:sz w:val="24"/>
          <w:szCs w:val="24"/>
          <w:u w:val="single"/>
        </w:rPr>
        <w:t>perativos</w:t>
      </w:r>
    </w:p>
    <w:p w14:paraId="224BC611" w14:textId="77777777" w:rsidR="007C64C6" w:rsidRPr="00C11786" w:rsidRDefault="007C64C6" w:rsidP="009C5E01">
      <w:pPr>
        <w:pStyle w:val="Prrafodelista"/>
        <w:keepNext/>
        <w:keepLines/>
        <w:widowControl w:val="0"/>
        <w:numPr>
          <w:ilvl w:val="0"/>
          <w:numId w:val="18"/>
        </w:numPr>
        <w:spacing w:before="120" w:after="120"/>
        <w:jc w:val="both"/>
        <w:rPr>
          <w:rFonts w:ascii="Arial Narrow" w:hAnsi="Arial Narrow" w:cs="Arial"/>
          <w:sz w:val="24"/>
          <w:szCs w:val="24"/>
          <w:u w:val="single"/>
        </w:rPr>
      </w:pPr>
      <w:r w:rsidRPr="00C11786">
        <w:rPr>
          <w:rFonts w:ascii="Arial Narrow" w:hAnsi="Arial Narrow" w:cs="Arial"/>
          <w:sz w:val="24"/>
          <w:szCs w:val="24"/>
          <w:u w:val="single"/>
        </w:rPr>
        <w:t>Ingresos por Arrendamientos Operativos.</w:t>
      </w:r>
    </w:p>
    <w:p w14:paraId="4FFA4A80" w14:textId="77777777" w:rsidR="00F10B31" w:rsidRPr="00F10B31" w:rsidRDefault="00F10B31" w:rsidP="00F10B31">
      <w:pPr>
        <w:widowControl w:val="0"/>
        <w:spacing w:before="120" w:after="120"/>
        <w:jc w:val="both"/>
        <w:rPr>
          <w:rFonts w:ascii="Arial Narrow" w:hAnsi="Arial Narrow" w:cs="Arial"/>
          <w:sz w:val="24"/>
          <w:szCs w:val="24"/>
        </w:rPr>
      </w:pPr>
      <w:r w:rsidRPr="00F10B31">
        <w:rPr>
          <w:rFonts w:ascii="Arial Narrow" w:hAnsi="Arial Narrow" w:cs="Arial"/>
          <w:sz w:val="24"/>
          <w:szCs w:val="24"/>
        </w:rPr>
        <w:t>La Sociedad tiene los contratos de arrendamiento relacionados con sus inversiones inmobiliarias que citamos a continuación:</w:t>
      </w:r>
    </w:p>
    <w:p w14:paraId="5008DF8C" w14:textId="77777777" w:rsidR="00F10B31" w:rsidRDefault="00F10B31" w:rsidP="009C5E01">
      <w:pPr>
        <w:pStyle w:val="Prrafodelista"/>
        <w:widowControl w:val="0"/>
        <w:numPr>
          <w:ilvl w:val="0"/>
          <w:numId w:val="23"/>
        </w:numPr>
        <w:spacing w:before="120" w:after="120"/>
        <w:jc w:val="both"/>
        <w:rPr>
          <w:rFonts w:ascii="Arial Narrow" w:hAnsi="Arial Narrow" w:cs="Arial"/>
          <w:sz w:val="24"/>
          <w:szCs w:val="24"/>
        </w:rPr>
      </w:pPr>
      <w:r w:rsidRPr="00854735">
        <w:rPr>
          <w:rFonts w:ascii="Arial Narrow" w:hAnsi="Arial Narrow" w:cs="Arial"/>
          <w:sz w:val="24"/>
          <w:szCs w:val="24"/>
        </w:rPr>
        <w:t xml:space="preserve">Dirección General de Patrimonio y Contratación del Gobierno de Canarias, renovable anualmente, por un período de un año, con fecha límite 2019. Los ingresos provenientes de dicho contrato ascendieron en el ejercicio 2019 a 173.584,83 euros y en el ejercicio 2018 a 162.597,90 euros. </w:t>
      </w:r>
    </w:p>
    <w:p w14:paraId="67F43197" w14:textId="77777777" w:rsidR="00242CD2" w:rsidRDefault="00242CD2" w:rsidP="00242CD2">
      <w:pPr>
        <w:widowControl w:val="0"/>
        <w:spacing w:before="120" w:after="120"/>
        <w:jc w:val="both"/>
        <w:rPr>
          <w:rFonts w:ascii="Arial Narrow" w:hAnsi="Arial Narrow" w:cs="Arial"/>
          <w:sz w:val="24"/>
          <w:szCs w:val="24"/>
        </w:rPr>
      </w:pPr>
    </w:p>
    <w:p w14:paraId="3FCC8921" w14:textId="77777777" w:rsidR="00242CD2" w:rsidRPr="00242CD2" w:rsidRDefault="00242CD2" w:rsidP="00242CD2">
      <w:pPr>
        <w:widowControl w:val="0"/>
        <w:spacing w:before="120" w:after="120"/>
        <w:jc w:val="both"/>
        <w:rPr>
          <w:rFonts w:ascii="Arial Narrow" w:hAnsi="Arial Narrow" w:cs="Arial"/>
          <w:sz w:val="24"/>
          <w:szCs w:val="24"/>
        </w:rPr>
      </w:pPr>
    </w:p>
    <w:p w14:paraId="7F74EFE6" w14:textId="77777777" w:rsidR="00F10B31" w:rsidRPr="00854735" w:rsidRDefault="00F10B31" w:rsidP="009C5E01">
      <w:pPr>
        <w:pStyle w:val="Prrafodelista"/>
        <w:widowControl w:val="0"/>
        <w:numPr>
          <w:ilvl w:val="0"/>
          <w:numId w:val="23"/>
        </w:numPr>
        <w:spacing w:before="120" w:after="120"/>
        <w:jc w:val="both"/>
        <w:rPr>
          <w:rFonts w:ascii="Arial Narrow" w:hAnsi="Arial Narrow" w:cs="Arial"/>
          <w:sz w:val="24"/>
          <w:szCs w:val="24"/>
        </w:rPr>
      </w:pPr>
      <w:r w:rsidRPr="00854735">
        <w:rPr>
          <w:rFonts w:ascii="Arial Narrow" w:hAnsi="Arial Narrow" w:cs="Arial"/>
          <w:sz w:val="24"/>
          <w:szCs w:val="24"/>
        </w:rPr>
        <w:t>Fundación Canaria para el Fomento del Trabajo, con vencimiento 30 de junio de 2018, prorrogable por un periodo máximo de 36 meses, con fecha límite 30 de junio de 2021. Los ingresos provenientes de dicho contrato han ascendido en el ejercicio 2019 a 49.421,81 euros y en 2018 a 46.941,13 euros.</w:t>
      </w:r>
    </w:p>
    <w:p w14:paraId="442435ED" w14:textId="77777777" w:rsidR="00F10B31" w:rsidRPr="00F10B31" w:rsidRDefault="00F10B31" w:rsidP="00F10B31">
      <w:pPr>
        <w:widowControl w:val="0"/>
        <w:spacing w:before="120" w:after="120"/>
        <w:jc w:val="both"/>
        <w:rPr>
          <w:rFonts w:ascii="Arial Narrow" w:hAnsi="Arial Narrow" w:cs="Arial"/>
          <w:sz w:val="24"/>
          <w:szCs w:val="24"/>
        </w:rPr>
      </w:pPr>
      <w:r w:rsidRPr="00F10B31">
        <w:rPr>
          <w:rFonts w:ascii="Arial Narrow" w:hAnsi="Arial Narrow" w:cs="Arial"/>
          <w:sz w:val="24"/>
          <w:szCs w:val="24"/>
        </w:rPr>
        <w:t>Los gastos asociados a las inversiones inmobiliarias que han generado estos ingresos se corresponden con su amortización anual, 35.687,04 euros.</w:t>
      </w:r>
    </w:p>
    <w:bookmarkEnd w:id="8"/>
    <w:p w14:paraId="3C35AA2D" w14:textId="77777777" w:rsidR="003C01CA" w:rsidRDefault="003C01CA" w:rsidP="00F10B31">
      <w:pPr>
        <w:widowControl w:val="0"/>
        <w:spacing w:before="120" w:after="120"/>
        <w:jc w:val="both"/>
        <w:rPr>
          <w:rFonts w:ascii="Arial Narrow" w:hAnsi="Arial Narrow" w:cs="Arial"/>
          <w:sz w:val="24"/>
          <w:szCs w:val="24"/>
        </w:rPr>
      </w:pPr>
      <w:r w:rsidRPr="003C01CA">
        <w:rPr>
          <w:rFonts w:ascii="Arial Narrow" w:hAnsi="Arial Narrow" w:cs="Arial"/>
          <w:sz w:val="24"/>
          <w:szCs w:val="24"/>
        </w:rPr>
        <w:t xml:space="preserve">La previsión de los cobros futuros mínimos de los contratos de arrendamiento no cancelables al 31 de diciembre de 2019 hasta un año y que tienen resolución de prórroga para 2020, ascienden a una cantidad aproximada de 217.151,96 euros, similar a la del ejercicio </w:t>
      </w:r>
      <w:r>
        <w:rPr>
          <w:rFonts w:ascii="Arial Narrow" w:hAnsi="Arial Narrow" w:cs="Arial"/>
          <w:sz w:val="24"/>
          <w:szCs w:val="24"/>
        </w:rPr>
        <w:t>2019.</w:t>
      </w:r>
    </w:p>
    <w:p w14:paraId="71CE5B75" w14:textId="77777777" w:rsidR="003C01CA" w:rsidRPr="003C01CA" w:rsidRDefault="003C01CA" w:rsidP="003C01CA">
      <w:pPr>
        <w:widowControl w:val="0"/>
        <w:spacing w:before="120" w:after="120"/>
        <w:jc w:val="both"/>
        <w:rPr>
          <w:rFonts w:ascii="Arial Narrow" w:hAnsi="Arial Narrow" w:cs="Arial"/>
          <w:sz w:val="24"/>
          <w:szCs w:val="24"/>
        </w:rPr>
      </w:pPr>
      <w:r w:rsidRPr="003C01CA">
        <w:rPr>
          <w:rFonts w:ascii="Arial Narrow" w:hAnsi="Arial Narrow" w:cs="Arial"/>
          <w:sz w:val="24"/>
          <w:szCs w:val="24"/>
        </w:rPr>
        <w:t xml:space="preserve">Cabe mencionar, que existen arrendamientos operativos que no pasan por las UTEs en las que participa el ITC, como es el caso de la UTE FPCT ULPGC-ITCSA, en este caso los arrendamientos los registra contablemente la FPCT y lo descuenta de la liquidación final de </w:t>
      </w:r>
      <w:r>
        <w:rPr>
          <w:rFonts w:ascii="Arial Narrow" w:hAnsi="Arial Narrow" w:cs="Arial"/>
          <w:sz w:val="24"/>
          <w:szCs w:val="24"/>
        </w:rPr>
        <w:t>l</w:t>
      </w:r>
      <w:r w:rsidRPr="003C01CA">
        <w:rPr>
          <w:rFonts w:ascii="Arial Narrow" w:hAnsi="Arial Narrow" w:cs="Arial"/>
          <w:sz w:val="24"/>
          <w:szCs w:val="24"/>
        </w:rPr>
        <w:t>os gastos de explotación y gestión que soporta el edificio y que corresponden a la UTE. En relación a ello, tiene registrados como arrendamientos operativos a cierre de 2019 el 81,85% de los ingresos provenientes por los alquileres en los espacios ocupados en Parque Tecnológico de Fuerteventura que anualmente son compensados por los gastos de explotación que factura el partícipe Parque Tecnológico de Fuerteventura, S.A. a ITC, en 2019 se compensó un 1,83% correspondiente a los gastos del ejercicio 2018, ya que dicho socio soporta el 100% de los gastos de gestión y explotación, en el marco del Convenio de Colaboración formalizado el 1 de diciembre de 2017 entre Gobierno de Canarias, Cabildo Insular de Fuerteventura, Parque Tecnológico de Fuerteventura, S.A., e Instituto Tecnológico de Canarias, S.A., para la Gestión, Explotación, Mantenimiento y Promoción del Parque Tecnológico de Fuerteventura (publicado en Boletín Oficial de Canarias el 18 de diciembre de 2017), por lo que el ITC anualmente pasará cuota de participación a PTFSA para compensar el déficit de los gastos de explotación que debe soportar el ITC.</w:t>
      </w:r>
    </w:p>
    <w:p w14:paraId="149792EA" w14:textId="77777777" w:rsidR="00430AE3" w:rsidRDefault="003C01CA" w:rsidP="003C01CA">
      <w:pPr>
        <w:widowControl w:val="0"/>
        <w:spacing w:before="120" w:after="120"/>
        <w:jc w:val="both"/>
        <w:rPr>
          <w:rFonts w:ascii="Arial Narrow" w:hAnsi="Arial Narrow" w:cs="Arial"/>
          <w:sz w:val="24"/>
          <w:szCs w:val="24"/>
        </w:rPr>
      </w:pPr>
      <w:r w:rsidRPr="003C01CA">
        <w:rPr>
          <w:rFonts w:ascii="Arial Narrow" w:hAnsi="Arial Narrow" w:cs="Arial"/>
          <w:sz w:val="24"/>
          <w:szCs w:val="24"/>
        </w:rPr>
        <w:t>Siguiendo el mismo criterio, con fecha de 15 de julio de 2019 el ITC firma Convenio de Colaboración con la Fundación Canaria Parque Científico Tecnológico de la Universidad de Las Palmas de Gran Canaria (en adelante FPCT) para la Gestión, Explotación y Mantenimiento y Promoción del Edificio Polivalente III del Parque Tecnológico en el Campus Universitario de Tafira (UT-30 Subparcela B) por lo que el ITC anualmente pasa cuota de participación a FPCT para compensar el déficit de los gastos de explotación que debe soportar el ITC, una vez compensados los ingresos que contabiliza la FPCT. En 2019 se compensó un 4,46 % por los gastos de gestión, mantenimiento y explotación de 2016, 2017 y 2018; y un 0,48% por los relativos a 2019, quedando la participación del ITC del edificio a cierre de 2019 en 81,77%.</w:t>
      </w:r>
    </w:p>
    <w:p w14:paraId="2344F212" w14:textId="77777777" w:rsidR="00E024E8" w:rsidRPr="00394B0C" w:rsidRDefault="00E024E8" w:rsidP="003C01CA">
      <w:pPr>
        <w:widowControl w:val="0"/>
        <w:spacing w:before="120" w:after="120"/>
        <w:jc w:val="both"/>
        <w:rPr>
          <w:rFonts w:ascii="Arial Narrow" w:hAnsi="Arial Narrow" w:cs="Arial"/>
          <w:sz w:val="24"/>
          <w:szCs w:val="24"/>
          <w:u w:val="single"/>
        </w:rPr>
      </w:pPr>
    </w:p>
    <w:p w14:paraId="15EBD4C8" w14:textId="77777777" w:rsidR="007C64C6" w:rsidRPr="006A730F" w:rsidRDefault="007C64C6" w:rsidP="009C5E01">
      <w:pPr>
        <w:pStyle w:val="Prrafodelista"/>
        <w:widowControl w:val="0"/>
        <w:numPr>
          <w:ilvl w:val="0"/>
          <w:numId w:val="18"/>
        </w:numPr>
        <w:spacing w:before="120" w:after="120"/>
        <w:jc w:val="both"/>
        <w:rPr>
          <w:rFonts w:ascii="Arial Narrow" w:hAnsi="Arial Narrow" w:cs="Arial"/>
          <w:sz w:val="24"/>
          <w:szCs w:val="24"/>
          <w:u w:val="single"/>
        </w:rPr>
      </w:pPr>
      <w:r w:rsidRPr="006A730F">
        <w:rPr>
          <w:rFonts w:ascii="Arial Narrow" w:hAnsi="Arial Narrow" w:cs="Arial"/>
          <w:sz w:val="24"/>
          <w:szCs w:val="24"/>
          <w:u w:val="single"/>
        </w:rPr>
        <w:t>Gastos por Arrendamientos Operativos.</w:t>
      </w:r>
    </w:p>
    <w:p w14:paraId="134EB1DC" w14:textId="77777777" w:rsidR="00FA3D6B" w:rsidRPr="006A730F" w:rsidRDefault="00FA3D6B" w:rsidP="00FA3D6B">
      <w:pPr>
        <w:spacing w:line="280" w:lineRule="atLeast"/>
        <w:jc w:val="both"/>
        <w:rPr>
          <w:rFonts w:ascii="Arial Narrow" w:hAnsi="Arial Narrow" w:cs="Arial"/>
          <w:snapToGrid w:val="0"/>
          <w:sz w:val="24"/>
          <w:szCs w:val="24"/>
        </w:rPr>
      </w:pPr>
      <w:r w:rsidRPr="006A730F">
        <w:rPr>
          <w:rFonts w:ascii="Arial Narrow" w:hAnsi="Arial Narrow" w:cs="Arial"/>
          <w:snapToGrid w:val="0"/>
          <w:sz w:val="24"/>
          <w:szCs w:val="24"/>
        </w:rPr>
        <w:t xml:space="preserve">En la cuenta de pérdidas y ganancias se han incluido gastos por </w:t>
      </w:r>
      <w:r w:rsidR="003100FD" w:rsidRPr="006A730F">
        <w:rPr>
          <w:rFonts w:ascii="Arial Narrow" w:hAnsi="Arial Narrow" w:cs="Arial"/>
          <w:snapToGrid w:val="0"/>
          <w:sz w:val="24"/>
          <w:szCs w:val="24"/>
        </w:rPr>
        <w:t>arrendamiento operativo correspondiente al alquiler de equipos y materiales, así como de salas para la celebración de eventos, necesario</w:t>
      </w:r>
      <w:r w:rsidR="00106A07">
        <w:rPr>
          <w:rFonts w:ascii="Arial Narrow" w:hAnsi="Arial Narrow" w:cs="Arial"/>
          <w:snapToGrid w:val="0"/>
          <w:sz w:val="24"/>
          <w:szCs w:val="24"/>
        </w:rPr>
        <w:t>s</w:t>
      </w:r>
      <w:r w:rsidRPr="006A730F">
        <w:rPr>
          <w:rFonts w:ascii="Arial Narrow" w:hAnsi="Arial Narrow" w:cs="Arial"/>
          <w:snapToGrid w:val="0"/>
          <w:sz w:val="24"/>
          <w:szCs w:val="24"/>
        </w:rPr>
        <w:t xml:space="preserve"> para la ejecución de los objetivos de los proyectos</w:t>
      </w:r>
      <w:r w:rsidR="00106A07" w:rsidRPr="00106A07">
        <w:rPr>
          <w:rFonts w:ascii="Arial Narrow" w:hAnsi="Arial Narrow" w:cs="Arial"/>
          <w:snapToGrid w:val="0"/>
          <w:sz w:val="24"/>
          <w:szCs w:val="24"/>
        </w:rPr>
        <w:t xml:space="preserve"> </w:t>
      </w:r>
      <w:r w:rsidR="00106A07">
        <w:rPr>
          <w:rFonts w:ascii="Arial Narrow" w:hAnsi="Arial Narrow" w:cs="Arial"/>
          <w:snapToGrid w:val="0"/>
          <w:sz w:val="24"/>
          <w:szCs w:val="24"/>
        </w:rPr>
        <w:t>y los peajes pagados a Endesa por la venta de energía de los parques eólicos</w:t>
      </w:r>
      <w:r w:rsidRPr="006A730F">
        <w:rPr>
          <w:rFonts w:ascii="Arial Narrow" w:hAnsi="Arial Narrow" w:cs="Arial"/>
          <w:snapToGrid w:val="0"/>
          <w:sz w:val="24"/>
          <w:szCs w:val="24"/>
        </w:rPr>
        <w:t xml:space="preserve">, por importe </w:t>
      </w:r>
      <w:r w:rsidRPr="00451276">
        <w:rPr>
          <w:rFonts w:ascii="Arial Narrow" w:hAnsi="Arial Narrow" w:cs="Arial"/>
          <w:snapToGrid w:val="0"/>
          <w:sz w:val="24"/>
          <w:szCs w:val="24"/>
        </w:rPr>
        <w:t xml:space="preserve">de </w:t>
      </w:r>
      <w:r w:rsidR="00257F57">
        <w:rPr>
          <w:rFonts w:ascii="Arial Narrow" w:hAnsi="Arial Narrow" w:cs="Arial"/>
          <w:snapToGrid w:val="0"/>
          <w:sz w:val="24"/>
          <w:szCs w:val="24"/>
        </w:rPr>
        <w:t>9.690,65</w:t>
      </w:r>
      <w:r w:rsidR="003100FD" w:rsidRPr="00451276">
        <w:rPr>
          <w:rFonts w:ascii="Arial Narrow" w:hAnsi="Arial Narrow" w:cs="Arial"/>
          <w:snapToGrid w:val="0"/>
          <w:sz w:val="24"/>
          <w:szCs w:val="24"/>
        </w:rPr>
        <w:t xml:space="preserve"> euros</w:t>
      </w:r>
      <w:r w:rsidR="00130A40" w:rsidRPr="00451276">
        <w:rPr>
          <w:rFonts w:ascii="Arial Narrow" w:hAnsi="Arial Narrow" w:cs="Arial"/>
          <w:snapToGrid w:val="0"/>
          <w:sz w:val="24"/>
          <w:szCs w:val="24"/>
        </w:rPr>
        <w:t xml:space="preserve"> en el ejercicio </w:t>
      </w:r>
      <w:r w:rsidR="00766FC7" w:rsidRPr="00451276">
        <w:rPr>
          <w:rFonts w:ascii="Arial Narrow" w:hAnsi="Arial Narrow" w:cs="Arial"/>
          <w:snapToGrid w:val="0"/>
          <w:sz w:val="24"/>
          <w:szCs w:val="24"/>
        </w:rPr>
        <w:t>201</w:t>
      </w:r>
      <w:r w:rsidR="00257F57">
        <w:rPr>
          <w:rFonts w:ascii="Arial Narrow" w:hAnsi="Arial Narrow" w:cs="Arial"/>
          <w:snapToGrid w:val="0"/>
          <w:sz w:val="24"/>
          <w:szCs w:val="24"/>
        </w:rPr>
        <w:t>9</w:t>
      </w:r>
      <w:r w:rsidR="00766FC7" w:rsidRPr="00451276">
        <w:rPr>
          <w:rFonts w:ascii="Arial Narrow" w:hAnsi="Arial Narrow" w:cs="Arial"/>
          <w:snapToGrid w:val="0"/>
          <w:sz w:val="24"/>
          <w:szCs w:val="24"/>
        </w:rPr>
        <w:t xml:space="preserve"> </w:t>
      </w:r>
      <w:r w:rsidR="00130A40" w:rsidRPr="00451276">
        <w:rPr>
          <w:rFonts w:ascii="Arial Narrow" w:hAnsi="Arial Narrow" w:cs="Arial"/>
          <w:snapToGrid w:val="0"/>
          <w:sz w:val="24"/>
          <w:szCs w:val="24"/>
        </w:rPr>
        <w:t xml:space="preserve">y de </w:t>
      </w:r>
      <w:r w:rsidR="00257F57" w:rsidRPr="00451276">
        <w:rPr>
          <w:rFonts w:ascii="Arial Narrow" w:hAnsi="Arial Narrow" w:cs="Arial"/>
          <w:snapToGrid w:val="0"/>
          <w:sz w:val="24"/>
          <w:szCs w:val="24"/>
        </w:rPr>
        <w:t>10.373,38</w:t>
      </w:r>
      <w:r w:rsidR="00130A40" w:rsidRPr="00451276">
        <w:rPr>
          <w:rFonts w:ascii="Arial Narrow" w:hAnsi="Arial Narrow" w:cs="Arial"/>
          <w:snapToGrid w:val="0"/>
          <w:sz w:val="24"/>
          <w:szCs w:val="24"/>
        </w:rPr>
        <w:t xml:space="preserve"> euros en el ejercicio 201</w:t>
      </w:r>
      <w:r w:rsidR="00257F57">
        <w:rPr>
          <w:rFonts w:ascii="Arial Narrow" w:hAnsi="Arial Narrow" w:cs="Arial"/>
          <w:snapToGrid w:val="0"/>
          <w:sz w:val="24"/>
          <w:szCs w:val="24"/>
        </w:rPr>
        <w:t>8</w:t>
      </w:r>
      <w:r w:rsidR="00130A40" w:rsidRPr="00451276">
        <w:rPr>
          <w:rFonts w:ascii="Arial Narrow" w:hAnsi="Arial Narrow" w:cs="Arial"/>
          <w:snapToGrid w:val="0"/>
          <w:sz w:val="24"/>
          <w:szCs w:val="24"/>
        </w:rPr>
        <w:t>.</w:t>
      </w:r>
    </w:p>
    <w:p w14:paraId="4D09F70C" w14:textId="77777777" w:rsidR="00E60EDD" w:rsidRPr="006A730F" w:rsidRDefault="00E60EDD" w:rsidP="00E60EDD">
      <w:pPr>
        <w:widowControl w:val="0"/>
        <w:jc w:val="both"/>
        <w:rPr>
          <w:rFonts w:ascii="Arial Narrow" w:hAnsi="Arial Narrow" w:cs="Arial"/>
          <w:sz w:val="24"/>
          <w:szCs w:val="24"/>
        </w:rPr>
      </w:pPr>
    </w:p>
    <w:p w14:paraId="1257750F" w14:textId="77777777" w:rsidR="005F665F" w:rsidRPr="00EE2503" w:rsidRDefault="005F665F" w:rsidP="00394B0C">
      <w:pPr>
        <w:keepNext/>
        <w:keepLines/>
        <w:spacing w:before="120" w:after="120"/>
        <w:rPr>
          <w:rFonts w:ascii="Arial Narrow" w:hAnsi="Arial Narrow" w:cs="Arial"/>
          <w:b/>
          <w:caps/>
          <w:snapToGrid w:val="0"/>
          <w:sz w:val="24"/>
          <w:szCs w:val="24"/>
          <w:u w:val="single"/>
          <w:lang w:eastAsia="es-ES"/>
        </w:rPr>
      </w:pPr>
      <w:r w:rsidRPr="00EE2503">
        <w:rPr>
          <w:rFonts w:ascii="Arial Narrow" w:hAnsi="Arial Narrow" w:cs="Arial"/>
          <w:b/>
          <w:caps/>
          <w:snapToGrid w:val="0"/>
          <w:sz w:val="24"/>
          <w:szCs w:val="24"/>
          <w:lang w:eastAsia="es-ES"/>
        </w:rPr>
        <w:t>NOTA 9.</w:t>
      </w:r>
      <w:r w:rsidRPr="00EE2503">
        <w:rPr>
          <w:rFonts w:ascii="Arial Narrow" w:hAnsi="Arial Narrow" w:cs="Arial"/>
          <w:b/>
          <w:caps/>
          <w:snapToGrid w:val="0"/>
          <w:sz w:val="24"/>
          <w:szCs w:val="24"/>
          <w:u w:val="single"/>
          <w:lang w:eastAsia="es-ES"/>
        </w:rPr>
        <w:t xml:space="preserve"> INSTRUMENTOS FINANCIEROS</w:t>
      </w:r>
    </w:p>
    <w:p w14:paraId="403270EE" w14:textId="77777777" w:rsidR="00D6097D" w:rsidRPr="00EE2503" w:rsidRDefault="00784A6A" w:rsidP="00394B0C">
      <w:pPr>
        <w:keepNext/>
        <w:keepLines/>
        <w:spacing w:before="120" w:after="120"/>
        <w:rPr>
          <w:rFonts w:ascii="Arial Narrow" w:hAnsi="Arial Narrow" w:cs="Arial"/>
          <w:b/>
          <w:caps/>
          <w:snapToGrid w:val="0"/>
          <w:sz w:val="24"/>
          <w:szCs w:val="24"/>
          <w:u w:val="single"/>
          <w:lang w:eastAsia="es-ES"/>
        </w:rPr>
      </w:pPr>
      <w:r w:rsidRPr="00EE2503">
        <w:rPr>
          <w:rFonts w:ascii="Arial Narrow" w:hAnsi="Arial Narrow" w:cs="Arial"/>
          <w:b/>
          <w:caps/>
          <w:snapToGrid w:val="0"/>
          <w:sz w:val="24"/>
          <w:szCs w:val="24"/>
          <w:lang w:eastAsia="es-ES"/>
        </w:rPr>
        <w:t xml:space="preserve">9.1 </w:t>
      </w:r>
      <w:r w:rsidR="00BD112C" w:rsidRPr="00EE2503">
        <w:rPr>
          <w:rFonts w:ascii="Arial Narrow" w:hAnsi="Arial Narrow" w:cs="Arial"/>
          <w:b/>
          <w:sz w:val="24"/>
          <w:szCs w:val="24"/>
          <w:u w:val="single"/>
        </w:rPr>
        <w:t>Activos Financieros</w:t>
      </w:r>
    </w:p>
    <w:p w14:paraId="6A2321F1" w14:textId="77777777" w:rsidR="00B90156" w:rsidRDefault="005F13DD" w:rsidP="00394B0C">
      <w:pPr>
        <w:keepNext/>
        <w:keepLines/>
        <w:spacing w:before="120" w:after="120"/>
        <w:jc w:val="both"/>
        <w:rPr>
          <w:rFonts w:ascii="Arial Narrow" w:hAnsi="Arial Narrow" w:cs="Arial"/>
          <w:sz w:val="24"/>
          <w:szCs w:val="24"/>
        </w:rPr>
      </w:pPr>
      <w:r w:rsidRPr="00EE2503">
        <w:rPr>
          <w:rFonts w:ascii="Arial Narrow" w:hAnsi="Arial Narrow" w:cs="Arial"/>
          <w:sz w:val="24"/>
          <w:szCs w:val="24"/>
        </w:rPr>
        <w:t>El detalle de activos financieros a largo y corto plazo es el siguiente, en euros:</w:t>
      </w:r>
    </w:p>
    <w:p w14:paraId="60D9FF54" w14:textId="77777777" w:rsidR="000F4352" w:rsidRDefault="0071196B" w:rsidP="0071196B">
      <w:pPr>
        <w:jc w:val="center"/>
        <w:rPr>
          <w:rFonts w:ascii="Arial Narrow" w:hAnsi="Arial Narrow" w:cs="Arial"/>
          <w:b/>
          <w:sz w:val="24"/>
          <w:szCs w:val="24"/>
          <w:u w:val="single"/>
        </w:rPr>
      </w:pPr>
      <w:r w:rsidRPr="0071196B">
        <w:rPr>
          <w:noProof/>
          <w:lang w:val="es-ES" w:eastAsia="es-ES"/>
        </w:rPr>
        <w:drawing>
          <wp:inline distT="0" distB="0" distL="0" distR="0" wp14:anchorId="642AF5CF" wp14:editId="5F24E6A1">
            <wp:extent cx="3286760" cy="2829560"/>
            <wp:effectExtent l="0" t="0" r="8890" b="889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760" cy="2829560"/>
                    </a:xfrm>
                    <a:prstGeom prst="rect">
                      <a:avLst/>
                    </a:prstGeom>
                    <a:noFill/>
                    <a:ln>
                      <a:noFill/>
                    </a:ln>
                  </pic:spPr>
                </pic:pic>
              </a:graphicData>
            </a:graphic>
          </wp:inline>
        </w:drawing>
      </w:r>
    </w:p>
    <w:p w14:paraId="26251F1F" w14:textId="77777777" w:rsidR="0071196B" w:rsidRDefault="0071196B" w:rsidP="005F13DD">
      <w:pPr>
        <w:rPr>
          <w:rFonts w:ascii="Arial Narrow" w:hAnsi="Arial Narrow" w:cs="Arial"/>
          <w:b/>
          <w:sz w:val="24"/>
          <w:szCs w:val="24"/>
          <w:u w:val="single"/>
        </w:rPr>
      </w:pPr>
    </w:p>
    <w:p w14:paraId="7099AA00" w14:textId="77777777" w:rsidR="00A66500" w:rsidRDefault="00A66500" w:rsidP="005F13DD">
      <w:pPr>
        <w:rPr>
          <w:rFonts w:ascii="Arial Narrow" w:hAnsi="Arial Narrow" w:cs="Arial"/>
          <w:b/>
          <w:sz w:val="24"/>
          <w:szCs w:val="24"/>
          <w:u w:val="single"/>
        </w:rPr>
      </w:pPr>
      <w:bookmarkStart w:id="9" w:name="_Hlk34905236"/>
    </w:p>
    <w:p w14:paraId="014EDF29" w14:textId="77777777" w:rsidR="005F13DD" w:rsidRPr="00387667" w:rsidRDefault="00FE58D2" w:rsidP="005F13DD">
      <w:pPr>
        <w:rPr>
          <w:rFonts w:ascii="Arial Narrow" w:hAnsi="Arial Narrow" w:cs="Arial"/>
          <w:b/>
          <w:sz w:val="24"/>
          <w:szCs w:val="24"/>
        </w:rPr>
      </w:pPr>
      <w:r w:rsidRPr="00387667">
        <w:rPr>
          <w:rFonts w:ascii="Arial Narrow" w:hAnsi="Arial Narrow" w:cs="Arial"/>
          <w:b/>
          <w:sz w:val="24"/>
          <w:szCs w:val="24"/>
          <w:u w:val="single"/>
        </w:rPr>
        <w:t>9.1.1</w:t>
      </w:r>
      <w:r w:rsidR="00BD112C" w:rsidRPr="00387667">
        <w:rPr>
          <w:rFonts w:ascii="Arial Narrow" w:hAnsi="Arial Narrow" w:cs="Arial"/>
          <w:b/>
          <w:sz w:val="24"/>
          <w:szCs w:val="24"/>
          <w:u w:val="single"/>
        </w:rPr>
        <w:t xml:space="preserve"> </w:t>
      </w:r>
      <w:r w:rsidR="005F13DD" w:rsidRPr="00387667">
        <w:rPr>
          <w:rFonts w:ascii="Arial Narrow" w:hAnsi="Arial Narrow" w:cs="Arial"/>
          <w:b/>
          <w:sz w:val="24"/>
          <w:szCs w:val="24"/>
          <w:u w:val="single"/>
        </w:rPr>
        <w:t>Activos financieros disponibles para la venta</w:t>
      </w:r>
    </w:p>
    <w:bookmarkEnd w:id="9"/>
    <w:p w14:paraId="49D3E45D" w14:textId="77777777" w:rsidR="005F13DD" w:rsidRPr="00387667" w:rsidRDefault="005F13DD" w:rsidP="005F13DD">
      <w:pPr>
        <w:spacing w:before="120"/>
        <w:jc w:val="both"/>
        <w:rPr>
          <w:rFonts w:ascii="Arial Narrow" w:hAnsi="Arial Narrow" w:cs="Arial"/>
          <w:spacing w:val="-2"/>
          <w:sz w:val="24"/>
          <w:szCs w:val="24"/>
        </w:rPr>
      </w:pPr>
      <w:r w:rsidRPr="00387667">
        <w:rPr>
          <w:rFonts w:ascii="Arial Narrow" w:hAnsi="Arial Narrow" w:cs="Arial"/>
          <w:spacing w:val="-2"/>
          <w:sz w:val="24"/>
          <w:szCs w:val="24"/>
        </w:rPr>
        <w:t>Incluye las acciones emitidas por otras entidades, salvo aquellas en las que la Sociedad ejerce control, participa conjuntamente o ejerce una influencia significativa.</w:t>
      </w:r>
    </w:p>
    <w:p w14:paraId="6E039BCE" w14:textId="77777777" w:rsidR="005F13DD" w:rsidRDefault="005F13DD" w:rsidP="005F13DD">
      <w:pPr>
        <w:spacing w:before="120" w:after="120"/>
        <w:jc w:val="both"/>
        <w:rPr>
          <w:rFonts w:ascii="Arial Narrow" w:hAnsi="Arial Narrow" w:cs="Arial"/>
          <w:spacing w:val="-2"/>
          <w:sz w:val="24"/>
          <w:szCs w:val="24"/>
        </w:rPr>
      </w:pPr>
      <w:r w:rsidRPr="00387667">
        <w:rPr>
          <w:rFonts w:ascii="Arial Narrow" w:hAnsi="Arial Narrow" w:cs="Arial"/>
          <w:spacing w:val="-2"/>
          <w:sz w:val="24"/>
          <w:szCs w:val="24"/>
        </w:rPr>
        <w:t xml:space="preserve">El detalle de las inversiones mantenidas al cierre de los </w:t>
      </w:r>
      <w:r w:rsidRPr="00926591">
        <w:rPr>
          <w:rFonts w:ascii="Arial Narrow" w:hAnsi="Arial Narrow" w:cs="Arial"/>
          <w:spacing w:val="-2"/>
          <w:sz w:val="24"/>
          <w:szCs w:val="24"/>
        </w:rPr>
        <w:t xml:space="preserve">ejercicios </w:t>
      </w:r>
      <w:r w:rsidR="00451276" w:rsidRPr="00926591">
        <w:rPr>
          <w:rFonts w:ascii="Arial Narrow" w:hAnsi="Arial Narrow" w:cs="Arial"/>
          <w:spacing w:val="-2"/>
          <w:sz w:val="24"/>
          <w:szCs w:val="24"/>
        </w:rPr>
        <w:t>201</w:t>
      </w:r>
      <w:r w:rsidR="0071196B">
        <w:rPr>
          <w:rFonts w:ascii="Arial Narrow" w:hAnsi="Arial Narrow" w:cs="Arial"/>
          <w:spacing w:val="-2"/>
          <w:sz w:val="24"/>
          <w:szCs w:val="24"/>
        </w:rPr>
        <w:t>9</w:t>
      </w:r>
      <w:r w:rsidR="00451276" w:rsidRPr="00926591">
        <w:rPr>
          <w:rFonts w:ascii="Arial Narrow" w:hAnsi="Arial Narrow" w:cs="Arial"/>
          <w:spacing w:val="-2"/>
          <w:sz w:val="24"/>
          <w:szCs w:val="24"/>
        </w:rPr>
        <w:t xml:space="preserve"> </w:t>
      </w:r>
      <w:r w:rsidRPr="00926591">
        <w:rPr>
          <w:rFonts w:ascii="Arial Narrow" w:hAnsi="Arial Narrow" w:cs="Arial"/>
          <w:spacing w:val="-2"/>
          <w:sz w:val="24"/>
          <w:szCs w:val="24"/>
        </w:rPr>
        <w:t>y 201</w:t>
      </w:r>
      <w:r w:rsidR="0071196B">
        <w:rPr>
          <w:rFonts w:ascii="Arial Narrow" w:hAnsi="Arial Narrow" w:cs="Arial"/>
          <w:spacing w:val="-2"/>
          <w:sz w:val="24"/>
          <w:szCs w:val="24"/>
        </w:rPr>
        <w:t>8</w:t>
      </w:r>
      <w:r w:rsidRPr="00926591">
        <w:rPr>
          <w:rFonts w:ascii="Arial Narrow" w:hAnsi="Arial Narrow" w:cs="Arial"/>
          <w:spacing w:val="-2"/>
          <w:sz w:val="24"/>
          <w:szCs w:val="24"/>
        </w:rPr>
        <w:t xml:space="preserve"> es </w:t>
      </w:r>
      <w:r w:rsidRPr="00387667">
        <w:rPr>
          <w:rFonts w:ascii="Arial Narrow" w:hAnsi="Arial Narrow" w:cs="Arial"/>
          <w:spacing w:val="-2"/>
          <w:sz w:val="24"/>
          <w:szCs w:val="24"/>
        </w:rPr>
        <w:t>el siguiente, en euros:</w:t>
      </w:r>
    </w:p>
    <w:tbl>
      <w:tblPr>
        <w:tblW w:w="4067" w:type="pct"/>
        <w:jc w:val="center"/>
        <w:tblCellMar>
          <w:left w:w="70" w:type="dxa"/>
          <w:right w:w="70" w:type="dxa"/>
        </w:tblCellMar>
        <w:tblLook w:val="04A0" w:firstRow="1" w:lastRow="0" w:firstColumn="1" w:lastColumn="0" w:noHBand="0" w:noVBand="1"/>
      </w:tblPr>
      <w:tblGrid>
        <w:gridCol w:w="4841"/>
        <w:gridCol w:w="1407"/>
        <w:gridCol w:w="1245"/>
      </w:tblGrid>
      <w:tr w:rsidR="00CA1A83" w:rsidRPr="00387667" w14:paraId="463CD868" w14:textId="77777777" w:rsidTr="00926591">
        <w:trPr>
          <w:trHeight w:val="340"/>
          <w:jc w:val="center"/>
        </w:trPr>
        <w:tc>
          <w:tcPr>
            <w:tcW w:w="3230" w:type="pct"/>
            <w:tcBorders>
              <w:top w:val="nil"/>
              <w:left w:val="nil"/>
              <w:bottom w:val="nil"/>
              <w:right w:val="nil"/>
            </w:tcBorders>
            <w:shd w:val="clear" w:color="000000" w:fill="D8D8D8"/>
            <w:vAlign w:val="center"/>
            <w:hideMark/>
          </w:tcPr>
          <w:p w14:paraId="1B7D2101" w14:textId="77777777" w:rsidR="00CA1A83" w:rsidRPr="00387667" w:rsidRDefault="00CA1A83" w:rsidP="00F96F90">
            <w:pPr>
              <w:rPr>
                <w:rFonts w:ascii="Arial Narrow" w:hAnsi="Arial Narrow"/>
                <w:b/>
                <w:bCs/>
                <w:sz w:val="20"/>
                <w:lang w:eastAsia="es-ES"/>
              </w:rPr>
            </w:pPr>
            <w:r w:rsidRPr="00387667">
              <w:rPr>
                <w:rFonts w:ascii="Arial Narrow" w:hAnsi="Arial Narrow"/>
                <w:b/>
                <w:bCs/>
                <w:sz w:val="20"/>
                <w:lang w:eastAsia="es-ES"/>
              </w:rPr>
              <w:t>Descripción</w:t>
            </w:r>
          </w:p>
        </w:tc>
        <w:tc>
          <w:tcPr>
            <w:tcW w:w="939" w:type="pct"/>
            <w:tcBorders>
              <w:top w:val="nil"/>
              <w:left w:val="nil"/>
              <w:bottom w:val="nil"/>
              <w:right w:val="nil"/>
            </w:tcBorders>
            <w:shd w:val="clear" w:color="000000" w:fill="D8D8D8"/>
            <w:vAlign w:val="center"/>
            <w:hideMark/>
          </w:tcPr>
          <w:p w14:paraId="2A67DDE2" w14:textId="77777777" w:rsidR="00CA1A83" w:rsidRPr="00387667" w:rsidRDefault="00CA1A83" w:rsidP="00F96F90">
            <w:pPr>
              <w:jc w:val="center"/>
              <w:rPr>
                <w:rFonts w:ascii="Arial Narrow" w:hAnsi="Arial Narrow"/>
                <w:b/>
                <w:bCs/>
                <w:sz w:val="20"/>
                <w:highlight w:val="yellow"/>
                <w:lang w:eastAsia="es-ES"/>
              </w:rPr>
            </w:pPr>
            <w:r w:rsidRPr="00387667">
              <w:rPr>
                <w:rFonts w:ascii="Arial Narrow" w:hAnsi="Arial Narrow"/>
                <w:b/>
                <w:bCs/>
                <w:sz w:val="20"/>
                <w:lang w:eastAsia="es-ES"/>
              </w:rPr>
              <w:t>31/12/201</w:t>
            </w:r>
            <w:r w:rsidR="0071196B">
              <w:rPr>
                <w:rFonts w:ascii="Arial Narrow" w:hAnsi="Arial Narrow"/>
                <w:b/>
                <w:bCs/>
                <w:sz w:val="20"/>
                <w:lang w:eastAsia="es-ES"/>
              </w:rPr>
              <w:t>9</w:t>
            </w:r>
          </w:p>
        </w:tc>
        <w:tc>
          <w:tcPr>
            <w:tcW w:w="831" w:type="pct"/>
            <w:tcBorders>
              <w:top w:val="nil"/>
              <w:left w:val="nil"/>
              <w:bottom w:val="nil"/>
              <w:right w:val="nil"/>
            </w:tcBorders>
            <w:shd w:val="clear" w:color="000000" w:fill="D8D8D8"/>
            <w:vAlign w:val="center"/>
          </w:tcPr>
          <w:p w14:paraId="6DB7FB9E" w14:textId="77777777" w:rsidR="00CA1A83" w:rsidRPr="00387667" w:rsidRDefault="00CA1A83" w:rsidP="00F96F90">
            <w:pPr>
              <w:jc w:val="center"/>
              <w:rPr>
                <w:rFonts w:ascii="Arial Narrow" w:hAnsi="Arial Narrow"/>
                <w:b/>
                <w:bCs/>
                <w:sz w:val="20"/>
                <w:lang w:eastAsia="es-ES"/>
              </w:rPr>
            </w:pPr>
            <w:r w:rsidRPr="00387667">
              <w:rPr>
                <w:rFonts w:ascii="Arial Narrow" w:hAnsi="Arial Narrow"/>
                <w:b/>
                <w:bCs/>
                <w:sz w:val="20"/>
                <w:lang w:eastAsia="es-ES"/>
              </w:rPr>
              <w:t>31/12/201</w:t>
            </w:r>
            <w:r w:rsidR="0071196B">
              <w:rPr>
                <w:rFonts w:ascii="Arial Narrow" w:hAnsi="Arial Narrow"/>
                <w:b/>
                <w:bCs/>
                <w:sz w:val="20"/>
                <w:lang w:eastAsia="es-ES"/>
              </w:rPr>
              <w:t>8</w:t>
            </w:r>
          </w:p>
        </w:tc>
      </w:tr>
      <w:tr w:rsidR="00926591" w:rsidRPr="00387667" w14:paraId="552391F6" w14:textId="77777777" w:rsidTr="00926591">
        <w:trPr>
          <w:trHeight w:val="283"/>
          <w:jc w:val="center"/>
        </w:trPr>
        <w:tc>
          <w:tcPr>
            <w:tcW w:w="3230" w:type="pct"/>
            <w:tcBorders>
              <w:top w:val="nil"/>
              <w:left w:val="nil"/>
              <w:bottom w:val="nil"/>
              <w:right w:val="nil"/>
            </w:tcBorders>
            <w:shd w:val="clear" w:color="000000" w:fill="FFFFFF"/>
            <w:noWrap/>
            <w:vAlign w:val="center"/>
            <w:hideMark/>
          </w:tcPr>
          <w:p w14:paraId="2746D8F0" w14:textId="77777777" w:rsidR="00926591" w:rsidRPr="00387667" w:rsidRDefault="00926591" w:rsidP="00926591">
            <w:pPr>
              <w:rPr>
                <w:rFonts w:ascii="Arial Narrow" w:hAnsi="Arial Narrow"/>
                <w:sz w:val="20"/>
                <w:lang w:eastAsia="es-ES"/>
              </w:rPr>
            </w:pPr>
            <w:r w:rsidRPr="00387667">
              <w:rPr>
                <w:rFonts w:ascii="Arial Narrow" w:hAnsi="Arial Narrow"/>
                <w:sz w:val="20"/>
                <w:lang w:eastAsia="es-ES"/>
              </w:rPr>
              <w:t xml:space="preserve">Instituto Tecnológico y de energías Renovables, S.A. </w:t>
            </w:r>
            <w:r w:rsidRPr="00387667">
              <w:rPr>
                <w:rFonts w:ascii="Arial Narrow" w:hAnsi="Arial Narrow"/>
                <w:b/>
                <w:sz w:val="20"/>
                <w:lang w:eastAsia="es-ES"/>
              </w:rPr>
              <w:t>(ITER)</w:t>
            </w:r>
          </w:p>
        </w:tc>
        <w:tc>
          <w:tcPr>
            <w:tcW w:w="939" w:type="pct"/>
            <w:tcBorders>
              <w:top w:val="nil"/>
              <w:left w:val="nil"/>
              <w:bottom w:val="nil"/>
              <w:right w:val="nil"/>
            </w:tcBorders>
            <w:shd w:val="clear" w:color="000000" w:fill="FFFFFF"/>
            <w:vAlign w:val="center"/>
          </w:tcPr>
          <w:p w14:paraId="63FD29C8" w14:textId="77777777" w:rsidR="00926591" w:rsidRPr="00387667" w:rsidRDefault="00926591" w:rsidP="00926591">
            <w:pPr>
              <w:jc w:val="right"/>
              <w:rPr>
                <w:rFonts w:ascii="Arial Narrow" w:hAnsi="Arial Narrow"/>
                <w:sz w:val="20"/>
                <w:lang w:eastAsia="es-ES"/>
              </w:rPr>
            </w:pPr>
            <w:r w:rsidRPr="00387667">
              <w:rPr>
                <w:rFonts w:ascii="Arial Narrow" w:hAnsi="Arial Narrow"/>
                <w:sz w:val="20"/>
                <w:lang w:eastAsia="es-ES"/>
              </w:rPr>
              <w:t>1.241.326,41</w:t>
            </w:r>
          </w:p>
        </w:tc>
        <w:tc>
          <w:tcPr>
            <w:tcW w:w="831" w:type="pct"/>
            <w:tcBorders>
              <w:top w:val="nil"/>
              <w:left w:val="nil"/>
              <w:bottom w:val="nil"/>
              <w:right w:val="nil"/>
            </w:tcBorders>
            <w:shd w:val="clear" w:color="000000" w:fill="FFFFFF"/>
            <w:vAlign w:val="center"/>
          </w:tcPr>
          <w:p w14:paraId="0238B926" w14:textId="77777777" w:rsidR="00926591" w:rsidRPr="00387667" w:rsidRDefault="00926591" w:rsidP="00926591">
            <w:pPr>
              <w:jc w:val="right"/>
              <w:rPr>
                <w:rFonts w:ascii="Arial Narrow" w:hAnsi="Arial Narrow"/>
                <w:sz w:val="20"/>
                <w:lang w:eastAsia="es-ES"/>
              </w:rPr>
            </w:pPr>
            <w:r w:rsidRPr="00387667">
              <w:rPr>
                <w:rFonts w:ascii="Arial Narrow" w:hAnsi="Arial Narrow"/>
                <w:sz w:val="20"/>
                <w:lang w:eastAsia="es-ES"/>
              </w:rPr>
              <w:t>1.241.326,41</w:t>
            </w:r>
          </w:p>
        </w:tc>
      </w:tr>
      <w:tr w:rsidR="00926591" w:rsidRPr="00387667" w14:paraId="012BD5F5" w14:textId="77777777" w:rsidTr="00926591">
        <w:trPr>
          <w:trHeight w:val="283"/>
          <w:jc w:val="center"/>
        </w:trPr>
        <w:tc>
          <w:tcPr>
            <w:tcW w:w="3230" w:type="pct"/>
            <w:tcBorders>
              <w:top w:val="nil"/>
              <w:left w:val="nil"/>
              <w:bottom w:val="nil"/>
              <w:right w:val="nil"/>
            </w:tcBorders>
            <w:shd w:val="clear" w:color="000000" w:fill="FFFFFF"/>
            <w:noWrap/>
            <w:vAlign w:val="center"/>
            <w:hideMark/>
          </w:tcPr>
          <w:p w14:paraId="50A37C2F" w14:textId="77777777" w:rsidR="00926591" w:rsidRPr="00387667" w:rsidRDefault="00926591" w:rsidP="00926591">
            <w:pPr>
              <w:rPr>
                <w:rFonts w:ascii="Arial Narrow" w:hAnsi="Arial Narrow"/>
                <w:sz w:val="20"/>
                <w:lang w:eastAsia="es-ES"/>
              </w:rPr>
            </w:pPr>
            <w:r w:rsidRPr="00387667">
              <w:rPr>
                <w:rFonts w:ascii="Arial Narrow" w:hAnsi="Arial Narrow"/>
                <w:sz w:val="20"/>
                <w:lang w:eastAsia="es-ES"/>
              </w:rPr>
              <w:t xml:space="preserve">Parque Eólico Santa Lucía, S.A. </w:t>
            </w:r>
            <w:r w:rsidRPr="00387667">
              <w:rPr>
                <w:rFonts w:ascii="Arial Narrow" w:hAnsi="Arial Narrow"/>
                <w:b/>
                <w:sz w:val="20"/>
                <w:lang w:eastAsia="es-ES"/>
              </w:rPr>
              <w:t>(P. E. Santa Lucía)</w:t>
            </w:r>
          </w:p>
        </w:tc>
        <w:tc>
          <w:tcPr>
            <w:tcW w:w="939" w:type="pct"/>
            <w:tcBorders>
              <w:top w:val="nil"/>
              <w:left w:val="nil"/>
              <w:bottom w:val="nil"/>
              <w:right w:val="nil"/>
            </w:tcBorders>
            <w:shd w:val="clear" w:color="000000" w:fill="FFFFFF"/>
            <w:vAlign w:val="center"/>
          </w:tcPr>
          <w:p w14:paraId="2AE0048C" w14:textId="77777777" w:rsidR="00926591" w:rsidRPr="00387667" w:rsidRDefault="00926591" w:rsidP="00926591">
            <w:pPr>
              <w:jc w:val="right"/>
              <w:rPr>
                <w:rFonts w:ascii="Arial Narrow" w:hAnsi="Arial Narrow"/>
                <w:sz w:val="20"/>
              </w:rPr>
            </w:pPr>
            <w:r w:rsidRPr="00387667">
              <w:rPr>
                <w:rFonts w:ascii="Arial Narrow" w:hAnsi="Arial Narrow"/>
                <w:sz w:val="20"/>
              </w:rPr>
              <w:t>57.096,15</w:t>
            </w:r>
          </w:p>
        </w:tc>
        <w:tc>
          <w:tcPr>
            <w:tcW w:w="831" w:type="pct"/>
            <w:tcBorders>
              <w:top w:val="nil"/>
              <w:left w:val="nil"/>
              <w:bottom w:val="nil"/>
              <w:right w:val="nil"/>
            </w:tcBorders>
            <w:shd w:val="clear" w:color="000000" w:fill="FFFFFF"/>
            <w:vAlign w:val="center"/>
          </w:tcPr>
          <w:p w14:paraId="6F1B30CB" w14:textId="77777777" w:rsidR="00926591" w:rsidRPr="00387667" w:rsidRDefault="00926591" w:rsidP="00926591">
            <w:pPr>
              <w:jc w:val="right"/>
              <w:rPr>
                <w:rFonts w:ascii="Arial Narrow" w:hAnsi="Arial Narrow"/>
                <w:sz w:val="20"/>
              </w:rPr>
            </w:pPr>
            <w:r w:rsidRPr="00387667">
              <w:rPr>
                <w:rFonts w:ascii="Arial Narrow" w:hAnsi="Arial Narrow"/>
                <w:sz w:val="20"/>
              </w:rPr>
              <w:t>57.096,15</w:t>
            </w:r>
          </w:p>
        </w:tc>
      </w:tr>
      <w:tr w:rsidR="00926591" w:rsidRPr="00387667" w14:paraId="6D43E3EA" w14:textId="77777777" w:rsidTr="00926591">
        <w:trPr>
          <w:trHeight w:val="283"/>
          <w:jc w:val="center"/>
        </w:trPr>
        <w:tc>
          <w:tcPr>
            <w:tcW w:w="3230" w:type="pct"/>
            <w:tcBorders>
              <w:top w:val="nil"/>
              <w:left w:val="nil"/>
              <w:bottom w:val="nil"/>
              <w:right w:val="nil"/>
            </w:tcBorders>
            <w:shd w:val="clear" w:color="000000" w:fill="FFFFFF"/>
            <w:noWrap/>
            <w:vAlign w:val="center"/>
            <w:hideMark/>
          </w:tcPr>
          <w:p w14:paraId="09BBD560" w14:textId="77777777" w:rsidR="00926591" w:rsidRPr="00387667" w:rsidRDefault="00926591" w:rsidP="00926591">
            <w:pPr>
              <w:rPr>
                <w:rFonts w:ascii="Arial Narrow" w:hAnsi="Arial Narrow"/>
                <w:sz w:val="20"/>
                <w:lang w:eastAsia="es-ES"/>
              </w:rPr>
            </w:pPr>
            <w:r w:rsidRPr="00387667">
              <w:rPr>
                <w:rFonts w:ascii="Arial Narrow" w:hAnsi="Arial Narrow"/>
                <w:sz w:val="20"/>
                <w:lang w:eastAsia="es-ES"/>
              </w:rPr>
              <w:t xml:space="preserve">Desarrollos Eólicos de Canarias, S.A. </w:t>
            </w:r>
            <w:r w:rsidRPr="00387667">
              <w:rPr>
                <w:rFonts w:ascii="Arial Narrow" w:hAnsi="Arial Narrow"/>
                <w:b/>
                <w:sz w:val="20"/>
                <w:lang w:eastAsia="es-ES"/>
              </w:rPr>
              <w:t>(DECA)</w:t>
            </w:r>
          </w:p>
        </w:tc>
        <w:tc>
          <w:tcPr>
            <w:tcW w:w="939" w:type="pct"/>
            <w:tcBorders>
              <w:top w:val="nil"/>
              <w:left w:val="nil"/>
              <w:bottom w:val="nil"/>
              <w:right w:val="nil"/>
            </w:tcBorders>
            <w:shd w:val="clear" w:color="000000" w:fill="FFFFFF"/>
            <w:vAlign w:val="center"/>
          </w:tcPr>
          <w:p w14:paraId="05F56E4A" w14:textId="77777777" w:rsidR="00926591" w:rsidRPr="00387667" w:rsidRDefault="00926591" w:rsidP="00926591">
            <w:pPr>
              <w:jc w:val="right"/>
              <w:rPr>
                <w:rFonts w:ascii="Arial Narrow" w:hAnsi="Arial Narrow"/>
                <w:sz w:val="20"/>
                <w:lang w:eastAsia="es-ES"/>
              </w:rPr>
            </w:pPr>
            <w:r w:rsidRPr="00387667">
              <w:rPr>
                <w:rFonts w:ascii="Arial Narrow" w:hAnsi="Arial Narrow"/>
                <w:sz w:val="20"/>
              </w:rPr>
              <w:t>190.875,00</w:t>
            </w:r>
          </w:p>
        </w:tc>
        <w:tc>
          <w:tcPr>
            <w:tcW w:w="831" w:type="pct"/>
            <w:tcBorders>
              <w:top w:val="nil"/>
              <w:left w:val="nil"/>
              <w:bottom w:val="nil"/>
              <w:right w:val="nil"/>
            </w:tcBorders>
            <w:shd w:val="clear" w:color="000000" w:fill="FFFFFF"/>
            <w:vAlign w:val="center"/>
          </w:tcPr>
          <w:p w14:paraId="3394C485" w14:textId="77777777" w:rsidR="00926591" w:rsidRPr="00387667" w:rsidRDefault="00926591" w:rsidP="00926591">
            <w:pPr>
              <w:jc w:val="right"/>
              <w:rPr>
                <w:rFonts w:ascii="Arial Narrow" w:hAnsi="Arial Narrow"/>
                <w:sz w:val="20"/>
              </w:rPr>
            </w:pPr>
            <w:r w:rsidRPr="00387667">
              <w:rPr>
                <w:rFonts w:ascii="Arial Narrow" w:hAnsi="Arial Narrow"/>
                <w:sz w:val="20"/>
              </w:rPr>
              <w:t>190.875,00</w:t>
            </w:r>
          </w:p>
        </w:tc>
      </w:tr>
      <w:tr w:rsidR="00926591" w:rsidRPr="00387667" w14:paraId="4D72BA52" w14:textId="77777777" w:rsidTr="00926591">
        <w:trPr>
          <w:trHeight w:val="283"/>
          <w:jc w:val="center"/>
        </w:trPr>
        <w:tc>
          <w:tcPr>
            <w:tcW w:w="3230" w:type="pct"/>
            <w:tcBorders>
              <w:top w:val="nil"/>
              <w:left w:val="nil"/>
              <w:bottom w:val="nil"/>
              <w:right w:val="nil"/>
            </w:tcBorders>
            <w:shd w:val="clear" w:color="000000" w:fill="FFFFFF"/>
            <w:noWrap/>
            <w:vAlign w:val="center"/>
            <w:hideMark/>
          </w:tcPr>
          <w:p w14:paraId="608B760A" w14:textId="77777777" w:rsidR="00926591" w:rsidRPr="00387667" w:rsidRDefault="00926591" w:rsidP="00926591">
            <w:pPr>
              <w:rPr>
                <w:rFonts w:ascii="Arial Narrow" w:hAnsi="Arial Narrow"/>
                <w:sz w:val="20"/>
                <w:lang w:eastAsia="es-ES"/>
              </w:rPr>
            </w:pPr>
            <w:r w:rsidRPr="00387667">
              <w:rPr>
                <w:rFonts w:ascii="Arial Narrow" w:hAnsi="Arial Narrow"/>
                <w:sz w:val="20"/>
                <w:lang w:eastAsia="es-ES"/>
              </w:rPr>
              <w:t xml:space="preserve">Gorona del Viento El Hierro, S.A. </w:t>
            </w:r>
            <w:r w:rsidRPr="00387667">
              <w:rPr>
                <w:rFonts w:ascii="Arial Narrow" w:hAnsi="Arial Narrow"/>
                <w:b/>
                <w:sz w:val="20"/>
                <w:lang w:eastAsia="es-ES"/>
              </w:rPr>
              <w:t>(GORONA)</w:t>
            </w:r>
          </w:p>
        </w:tc>
        <w:tc>
          <w:tcPr>
            <w:tcW w:w="939" w:type="pct"/>
            <w:tcBorders>
              <w:top w:val="nil"/>
              <w:left w:val="nil"/>
              <w:bottom w:val="nil"/>
              <w:right w:val="nil"/>
            </w:tcBorders>
            <w:shd w:val="clear" w:color="000000" w:fill="FFFFFF"/>
            <w:vAlign w:val="center"/>
          </w:tcPr>
          <w:p w14:paraId="613C40C3" w14:textId="77777777" w:rsidR="00926591" w:rsidRPr="00387667" w:rsidRDefault="00926591" w:rsidP="00926591">
            <w:pPr>
              <w:jc w:val="right"/>
              <w:rPr>
                <w:rFonts w:ascii="Arial Narrow" w:hAnsi="Arial Narrow"/>
                <w:sz w:val="20"/>
              </w:rPr>
            </w:pPr>
            <w:r w:rsidRPr="00387667">
              <w:rPr>
                <w:rFonts w:ascii="Arial Narrow" w:hAnsi="Arial Narrow"/>
                <w:sz w:val="20"/>
              </w:rPr>
              <w:t>2.393.700,93</w:t>
            </w:r>
          </w:p>
        </w:tc>
        <w:tc>
          <w:tcPr>
            <w:tcW w:w="831" w:type="pct"/>
            <w:tcBorders>
              <w:top w:val="nil"/>
              <w:left w:val="nil"/>
              <w:bottom w:val="nil"/>
              <w:right w:val="nil"/>
            </w:tcBorders>
            <w:shd w:val="clear" w:color="000000" w:fill="FFFFFF"/>
            <w:vAlign w:val="center"/>
          </w:tcPr>
          <w:p w14:paraId="5F8D5E97" w14:textId="77777777" w:rsidR="00926591" w:rsidRPr="00387667" w:rsidRDefault="00926591" w:rsidP="00926591">
            <w:pPr>
              <w:jc w:val="right"/>
              <w:rPr>
                <w:rFonts w:ascii="Arial Narrow" w:hAnsi="Arial Narrow"/>
                <w:sz w:val="20"/>
              </w:rPr>
            </w:pPr>
            <w:r w:rsidRPr="00387667">
              <w:rPr>
                <w:rFonts w:ascii="Arial Narrow" w:hAnsi="Arial Narrow"/>
                <w:sz w:val="20"/>
              </w:rPr>
              <w:t>2.393.700,93</w:t>
            </w:r>
          </w:p>
        </w:tc>
      </w:tr>
      <w:tr w:rsidR="00926591" w:rsidRPr="00387667" w14:paraId="73B0D65D" w14:textId="77777777" w:rsidTr="00926591">
        <w:trPr>
          <w:trHeight w:val="272"/>
          <w:jc w:val="center"/>
        </w:trPr>
        <w:tc>
          <w:tcPr>
            <w:tcW w:w="3230" w:type="pct"/>
            <w:tcBorders>
              <w:top w:val="nil"/>
              <w:left w:val="nil"/>
              <w:bottom w:val="nil"/>
              <w:right w:val="nil"/>
            </w:tcBorders>
            <w:shd w:val="clear" w:color="000000" w:fill="F2F2F2"/>
            <w:vAlign w:val="center"/>
            <w:hideMark/>
          </w:tcPr>
          <w:p w14:paraId="4562B21B" w14:textId="77777777" w:rsidR="00926591" w:rsidRPr="00387667" w:rsidRDefault="00926591" w:rsidP="00926591">
            <w:pPr>
              <w:rPr>
                <w:rFonts w:ascii="Arial Narrow" w:hAnsi="Arial Narrow"/>
                <w:b/>
                <w:bCs/>
                <w:sz w:val="20"/>
                <w:lang w:eastAsia="es-ES"/>
              </w:rPr>
            </w:pPr>
            <w:r w:rsidRPr="00387667">
              <w:rPr>
                <w:rFonts w:ascii="Arial Narrow" w:hAnsi="Arial Narrow"/>
                <w:b/>
                <w:bCs/>
                <w:sz w:val="20"/>
                <w:lang w:eastAsia="es-ES"/>
              </w:rPr>
              <w:t> </w:t>
            </w:r>
          </w:p>
        </w:tc>
        <w:tc>
          <w:tcPr>
            <w:tcW w:w="939" w:type="pct"/>
            <w:tcBorders>
              <w:top w:val="nil"/>
              <w:left w:val="nil"/>
              <w:bottom w:val="nil"/>
              <w:right w:val="nil"/>
            </w:tcBorders>
            <w:shd w:val="clear" w:color="000000" w:fill="F2F2F2"/>
            <w:vAlign w:val="center"/>
          </w:tcPr>
          <w:p w14:paraId="7657993C" w14:textId="77777777" w:rsidR="00926591" w:rsidRPr="00387667" w:rsidRDefault="00926591" w:rsidP="00926591">
            <w:pPr>
              <w:jc w:val="right"/>
              <w:rPr>
                <w:rFonts w:ascii="Arial Narrow" w:hAnsi="Arial Narrow"/>
                <w:b/>
                <w:bCs/>
                <w:sz w:val="20"/>
              </w:rPr>
            </w:pPr>
            <w:r w:rsidRPr="00387667">
              <w:rPr>
                <w:rFonts w:ascii="Arial Narrow" w:hAnsi="Arial Narrow"/>
                <w:b/>
                <w:bCs/>
                <w:sz w:val="20"/>
              </w:rPr>
              <w:t>3.</w:t>
            </w:r>
            <w:r>
              <w:rPr>
                <w:rFonts w:ascii="Arial Narrow" w:hAnsi="Arial Narrow"/>
                <w:b/>
                <w:bCs/>
                <w:sz w:val="20"/>
              </w:rPr>
              <w:t>882</w:t>
            </w:r>
            <w:r w:rsidRPr="00387667">
              <w:rPr>
                <w:rFonts w:ascii="Arial Narrow" w:hAnsi="Arial Narrow"/>
                <w:b/>
                <w:bCs/>
                <w:sz w:val="20"/>
              </w:rPr>
              <w:t>.</w:t>
            </w:r>
            <w:r>
              <w:rPr>
                <w:rFonts w:ascii="Arial Narrow" w:hAnsi="Arial Narrow"/>
                <w:b/>
                <w:bCs/>
                <w:sz w:val="20"/>
              </w:rPr>
              <w:t>998</w:t>
            </w:r>
            <w:r w:rsidRPr="00387667">
              <w:rPr>
                <w:rFonts w:ascii="Arial Narrow" w:hAnsi="Arial Narrow"/>
                <w:b/>
                <w:bCs/>
                <w:sz w:val="20"/>
              </w:rPr>
              <w:t>,49</w:t>
            </w:r>
          </w:p>
        </w:tc>
        <w:tc>
          <w:tcPr>
            <w:tcW w:w="831" w:type="pct"/>
            <w:tcBorders>
              <w:top w:val="nil"/>
              <w:left w:val="nil"/>
              <w:bottom w:val="nil"/>
              <w:right w:val="nil"/>
            </w:tcBorders>
            <w:shd w:val="clear" w:color="000000" w:fill="F2F2F2"/>
            <w:vAlign w:val="center"/>
          </w:tcPr>
          <w:p w14:paraId="199E946D" w14:textId="77777777" w:rsidR="00926591" w:rsidRPr="00387667" w:rsidRDefault="00926591" w:rsidP="00926591">
            <w:pPr>
              <w:jc w:val="right"/>
              <w:rPr>
                <w:rFonts w:ascii="Arial Narrow" w:hAnsi="Arial Narrow"/>
                <w:b/>
                <w:bCs/>
                <w:sz w:val="20"/>
              </w:rPr>
            </w:pPr>
            <w:r w:rsidRPr="00387667">
              <w:rPr>
                <w:rFonts w:ascii="Arial Narrow" w:hAnsi="Arial Narrow"/>
                <w:b/>
                <w:bCs/>
                <w:sz w:val="20"/>
              </w:rPr>
              <w:t>3.</w:t>
            </w:r>
            <w:r>
              <w:rPr>
                <w:rFonts w:ascii="Arial Narrow" w:hAnsi="Arial Narrow"/>
                <w:b/>
                <w:bCs/>
                <w:sz w:val="20"/>
              </w:rPr>
              <w:t>882</w:t>
            </w:r>
            <w:r w:rsidRPr="00387667">
              <w:rPr>
                <w:rFonts w:ascii="Arial Narrow" w:hAnsi="Arial Narrow"/>
                <w:b/>
                <w:bCs/>
                <w:sz w:val="20"/>
              </w:rPr>
              <w:t>.</w:t>
            </w:r>
            <w:r>
              <w:rPr>
                <w:rFonts w:ascii="Arial Narrow" w:hAnsi="Arial Narrow"/>
                <w:b/>
                <w:bCs/>
                <w:sz w:val="20"/>
              </w:rPr>
              <w:t>998</w:t>
            </w:r>
            <w:r w:rsidRPr="00387667">
              <w:rPr>
                <w:rFonts w:ascii="Arial Narrow" w:hAnsi="Arial Narrow"/>
                <w:b/>
                <w:bCs/>
                <w:sz w:val="20"/>
              </w:rPr>
              <w:t>,49</w:t>
            </w:r>
          </w:p>
        </w:tc>
      </w:tr>
    </w:tbl>
    <w:p w14:paraId="557114C6" w14:textId="77777777" w:rsidR="009314B3" w:rsidRPr="00850B72" w:rsidRDefault="0094000B" w:rsidP="0094000B">
      <w:pPr>
        <w:spacing w:before="120" w:after="120"/>
        <w:jc w:val="both"/>
        <w:rPr>
          <w:rFonts w:ascii="Arial Narrow" w:hAnsi="Arial Narrow" w:cs="Arial"/>
          <w:spacing w:val="-2"/>
          <w:sz w:val="24"/>
          <w:szCs w:val="24"/>
        </w:rPr>
      </w:pPr>
      <w:r w:rsidRPr="00926591">
        <w:rPr>
          <w:rFonts w:ascii="Arial Narrow" w:hAnsi="Arial Narrow" w:cs="Arial"/>
          <w:spacing w:val="-2"/>
          <w:sz w:val="24"/>
          <w:szCs w:val="24"/>
        </w:rPr>
        <w:t>En la Junta General Extraordinaria de fecha 19 de ju</w:t>
      </w:r>
      <w:r w:rsidR="004E4814" w:rsidRPr="00926591">
        <w:rPr>
          <w:rFonts w:ascii="Arial Narrow" w:hAnsi="Arial Narrow" w:cs="Arial"/>
          <w:spacing w:val="-2"/>
          <w:sz w:val="24"/>
          <w:szCs w:val="24"/>
        </w:rPr>
        <w:t>l</w:t>
      </w:r>
      <w:r w:rsidRPr="00926591">
        <w:rPr>
          <w:rFonts w:ascii="Arial Narrow" w:hAnsi="Arial Narrow" w:cs="Arial"/>
          <w:spacing w:val="-2"/>
          <w:sz w:val="24"/>
          <w:szCs w:val="24"/>
        </w:rPr>
        <w:t>io de 201</w:t>
      </w:r>
      <w:r w:rsidR="004E4814" w:rsidRPr="00926591">
        <w:rPr>
          <w:rFonts w:ascii="Arial Narrow" w:hAnsi="Arial Narrow" w:cs="Arial"/>
          <w:spacing w:val="-2"/>
          <w:sz w:val="24"/>
          <w:szCs w:val="24"/>
        </w:rPr>
        <w:t>6</w:t>
      </w:r>
      <w:r w:rsidR="0089154B" w:rsidRPr="00926591">
        <w:rPr>
          <w:rFonts w:ascii="Arial Narrow" w:hAnsi="Arial Narrow" w:cs="Arial"/>
          <w:spacing w:val="-2"/>
          <w:sz w:val="24"/>
          <w:szCs w:val="24"/>
        </w:rPr>
        <w:t xml:space="preserve"> </w:t>
      </w:r>
      <w:r w:rsidRPr="00926591">
        <w:rPr>
          <w:rFonts w:ascii="Arial Narrow" w:hAnsi="Arial Narrow" w:cs="Arial"/>
          <w:spacing w:val="-2"/>
          <w:sz w:val="24"/>
          <w:szCs w:val="24"/>
        </w:rPr>
        <w:t>de la sociedad participada Desarrollos Eólicos de Canarias, S.A. (DECA), se aprobó</w:t>
      </w:r>
      <w:r w:rsidR="004E4814" w:rsidRPr="00926591">
        <w:rPr>
          <w:rFonts w:ascii="Arial Narrow" w:hAnsi="Arial Narrow" w:cs="Arial"/>
          <w:spacing w:val="-2"/>
          <w:sz w:val="24"/>
          <w:szCs w:val="24"/>
        </w:rPr>
        <w:t>, por unanimidad,</w:t>
      </w:r>
      <w:r w:rsidRPr="00926591">
        <w:rPr>
          <w:rFonts w:ascii="Arial Narrow" w:hAnsi="Arial Narrow" w:cs="Arial"/>
          <w:spacing w:val="-2"/>
          <w:sz w:val="24"/>
          <w:szCs w:val="24"/>
        </w:rPr>
        <w:t xml:space="preserve"> </w:t>
      </w:r>
      <w:r w:rsidR="0089154B" w:rsidRPr="00926591">
        <w:rPr>
          <w:rFonts w:ascii="Arial Narrow" w:hAnsi="Arial Narrow" w:cs="Arial"/>
          <w:spacing w:val="-2"/>
          <w:sz w:val="24"/>
          <w:szCs w:val="24"/>
        </w:rPr>
        <w:t xml:space="preserve">una reducción de capital con devolución parcial de las aportaciones a los accionistas y mediante la reducción del valor nominal de las acciones, que pasaron de un valor nominal de </w:t>
      </w:r>
      <w:r w:rsidR="004E4814" w:rsidRPr="00926591">
        <w:rPr>
          <w:rFonts w:ascii="Arial Narrow" w:hAnsi="Arial Narrow" w:cs="Arial"/>
          <w:spacing w:val="-2"/>
          <w:sz w:val="24"/>
          <w:szCs w:val="24"/>
        </w:rPr>
        <w:t>33,50</w:t>
      </w:r>
      <w:r w:rsidR="0089154B" w:rsidRPr="00926591">
        <w:rPr>
          <w:rFonts w:ascii="Arial Narrow" w:hAnsi="Arial Narrow" w:cs="Arial"/>
          <w:spacing w:val="-2"/>
          <w:sz w:val="24"/>
          <w:szCs w:val="24"/>
        </w:rPr>
        <w:t xml:space="preserve"> € por acción a </w:t>
      </w:r>
      <w:r w:rsidR="004E4814" w:rsidRPr="00926591">
        <w:rPr>
          <w:rFonts w:ascii="Arial Narrow" w:hAnsi="Arial Narrow" w:cs="Arial"/>
          <w:spacing w:val="-2"/>
          <w:sz w:val="24"/>
          <w:szCs w:val="24"/>
        </w:rPr>
        <w:t>25,75</w:t>
      </w:r>
      <w:r w:rsidR="0089154B" w:rsidRPr="00926591">
        <w:rPr>
          <w:rFonts w:ascii="Arial Narrow" w:hAnsi="Arial Narrow" w:cs="Arial"/>
          <w:spacing w:val="-2"/>
          <w:sz w:val="24"/>
          <w:szCs w:val="24"/>
        </w:rPr>
        <w:t xml:space="preserve"> € por acción</w:t>
      </w:r>
      <w:r w:rsidRPr="00850B72">
        <w:rPr>
          <w:rFonts w:ascii="Arial Narrow" w:hAnsi="Arial Narrow" w:cs="Arial"/>
          <w:spacing w:val="-2"/>
          <w:sz w:val="24"/>
          <w:szCs w:val="24"/>
        </w:rPr>
        <w:t xml:space="preserve">. </w:t>
      </w:r>
    </w:p>
    <w:p w14:paraId="6E36C5A5" w14:textId="77777777" w:rsidR="00451276" w:rsidRDefault="009314B3" w:rsidP="008E68AE">
      <w:pPr>
        <w:spacing w:before="120" w:after="120"/>
        <w:jc w:val="both"/>
        <w:rPr>
          <w:rFonts w:ascii="Arial Narrow" w:hAnsi="Arial Narrow" w:cs="Arial"/>
          <w:spacing w:val="-2"/>
          <w:sz w:val="24"/>
          <w:szCs w:val="24"/>
        </w:rPr>
      </w:pPr>
      <w:r w:rsidRPr="00850B72">
        <w:rPr>
          <w:rFonts w:ascii="Arial Narrow" w:hAnsi="Arial Narrow" w:cs="Arial"/>
          <w:spacing w:val="-2"/>
          <w:sz w:val="24"/>
          <w:szCs w:val="24"/>
        </w:rPr>
        <w:t>En la Junta General Extraordinaria y Universal de la entidad Instituto Tecnológico y de Energías Renovables, S.A. (ITER), celebrada mediante videoconferencia, el día 21 de octubre de 2016 se acordó ampliar el capital social en la cantidad de 999.943,80 €, mediante la emisión de acciones, nominativas, de igual valor nominal (60,10 €) y contenido de derechos que las anteriores</w:t>
      </w:r>
      <w:r w:rsidR="00254808" w:rsidRPr="00850B72">
        <w:rPr>
          <w:rFonts w:ascii="Arial Narrow" w:hAnsi="Arial Narrow" w:cs="Arial"/>
          <w:spacing w:val="-2"/>
          <w:sz w:val="24"/>
          <w:szCs w:val="24"/>
        </w:rPr>
        <w:t>, dicho aumento queda suscrito en su totalidad por uno de los accionistas</w:t>
      </w:r>
      <w:r w:rsidR="000B467C" w:rsidRPr="00850B72">
        <w:rPr>
          <w:rFonts w:ascii="Arial Narrow" w:hAnsi="Arial Narrow" w:cs="Arial"/>
          <w:spacing w:val="-2"/>
          <w:sz w:val="24"/>
          <w:szCs w:val="24"/>
        </w:rPr>
        <w:t xml:space="preserve">, </w:t>
      </w:r>
      <w:r w:rsidR="00254808" w:rsidRPr="00850B72">
        <w:rPr>
          <w:rFonts w:ascii="Arial Narrow" w:hAnsi="Arial Narrow" w:cs="Arial"/>
          <w:spacing w:val="-2"/>
          <w:sz w:val="24"/>
          <w:szCs w:val="24"/>
        </w:rPr>
        <w:t xml:space="preserve">reduciéndose </w:t>
      </w:r>
      <w:r w:rsidR="00730D68" w:rsidRPr="00850B72">
        <w:rPr>
          <w:rFonts w:ascii="Arial Narrow" w:hAnsi="Arial Narrow" w:cs="Arial"/>
          <w:spacing w:val="-2"/>
          <w:sz w:val="24"/>
          <w:szCs w:val="24"/>
        </w:rPr>
        <w:t>la</w:t>
      </w:r>
      <w:r w:rsidR="00254808" w:rsidRPr="00850B72">
        <w:rPr>
          <w:rFonts w:ascii="Arial Narrow" w:hAnsi="Arial Narrow" w:cs="Arial"/>
          <w:spacing w:val="-2"/>
          <w:sz w:val="24"/>
          <w:szCs w:val="24"/>
        </w:rPr>
        <w:t xml:space="preserve"> participación del </w:t>
      </w:r>
      <w:r w:rsidR="00730D68" w:rsidRPr="00850B72">
        <w:rPr>
          <w:rFonts w:ascii="Arial Narrow" w:hAnsi="Arial Narrow" w:cs="Arial"/>
          <w:spacing w:val="-2"/>
          <w:sz w:val="24"/>
          <w:szCs w:val="24"/>
        </w:rPr>
        <w:t xml:space="preserve">ITC del </w:t>
      </w:r>
      <w:r w:rsidR="00254808" w:rsidRPr="00850B72">
        <w:rPr>
          <w:rFonts w:ascii="Arial Narrow" w:hAnsi="Arial Narrow" w:cs="Arial"/>
          <w:spacing w:val="-2"/>
          <w:sz w:val="24"/>
          <w:szCs w:val="24"/>
        </w:rPr>
        <w:t>2,82% al 2,72%.</w:t>
      </w:r>
    </w:p>
    <w:p w14:paraId="4649435A" w14:textId="77777777" w:rsidR="008E68AE" w:rsidRDefault="008E68AE" w:rsidP="00394B0C">
      <w:pPr>
        <w:keepNext/>
        <w:keepLines/>
        <w:spacing w:before="120" w:after="120"/>
        <w:jc w:val="both"/>
        <w:rPr>
          <w:rFonts w:ascii="Arial Narrow" w:hAnsi="Arial Narrow" w:cs="Arial"/>
          <w:spacing w:val="-2"/>
          <w:sz w:val="24"/>
          <w:szCs w:val="24"/>
        </w:rPr>
      </w:pPr>
      <w:r w:rsidRPr="003D4491">
        <w:rPr>
          <w:rFonts w:ascii="Arial Narrow" w:hAnsi="Arial Narrow" w:cs="Arial"/>
          <w:spacing w:val="-2"/>
          <w:sz w:val="24"/>
          <w:szCs w:val="24"/>
        </w:rPr>
        <w:t xml:space="preserve">El detalle del valor de dichas inversiones al 31 de </w:t>
      </w:r>
      <w:r w:rsidRPr="00926591">
        <w:rPr>
          <w:rFonts w:ascii="Arial Narrow" w:hAnsi="Arial Narrow" w:cs="Arial"/>
          <w:spacing w:val="-2"/>
          <w:sz w:val="24"/>
          <w:szCs w:val="24"/>
        </w:rPr>
        <w:t>diciembre de 201</w:t>
      </w:r>
      <w:r w:rsidR="0071196B">
        <w:rPr>
          <w:rFonts w:ascii="Arial Narrow" w:hAnsi="Arial Narrow" w:cs="Arial"/>
          <w:spacing w:val="-2"/>
          <w:sz w:val="24"/>
          <w:szCs w:val="24"/>
        </w:rPr>
        <w:t>9</w:t>
      </w:r>
      <w:r w:rsidRPr="00926591">
        <w:rPr>
          <w:rFonts w:ascii="Arial Narrow" w:hAnsi="Arial Narrow" w:cs="Arial"/>
          <w:spacing w:val="-2"/>
          <w:sz w:val="24"/>
          <w:szCs w:val="24"/>
        </w:rPr>
        <w:t xml:space="preserve"> es como </w:t>
      </w:r>
      <w:r w:rsidRPr="003D4491">
        <w:rPr>
          <w:rFonts w:ascii="Arial Narrow" w:hAnsi="Arial Narrow" w:cs="Arial"/>
          <w:spacing w:val="-2"/>
          <w:sz w:val="24"/>
          <w:szCs w:val="24"/>
        </w:rPr>
        <w:t>sigue:</w:t>
      </w:r>
    </w:p>
    <w:p w14:paraId="03A9A9A4" w14:textId="3F2B6077" w:rsidR="00845159" w:rsidRDefault="001F038C" w:rsidP="00394B0C">
      <w:pPr>
        <w:keepNext/>
        <w:keepLines/>
        <w:spacing w:before="120" w:after="120"/>
        <w:jc w:val="both"/>
        <w:rPr>
          <w:rFonts w:ascii="Arial Narrow" w:hAnsi="Arial Narrow" w:cs="Arial"/>
          <w:spacing w:val="-2"/>
          <w:sz w:val="24"/>
          <w:szCs w:val="24"/>
        </w:rPr>
      </w:pPr>
      <w:r w:rsidRPr="001F038C">
        <w:rPr>
          <w:noProof/>
          <w:lang w:val="es-ES" w:eastAsia="es-ES"/>
        </w:rPr>
        <w:drawing>
          <wp:inline distT="0" distB="0" distL="0" distR="0" wp14:anchorId="10712382" wp14:editId="24AE1F42">
            <wp:extent cx="4095750" cy="1345173"/>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0" cy="1345173"/>
                    </a:xfrm>
                    <a:prstGeom prst="rect">
                      <a:avLst/>
                    </a:prstGeom>
                    <a:noFill/>
                    <a:ln>
                      <a:noFill/>
                    </a:ln>
                  </pic:spPr>
                </pic:pic>
              </a:graphicData>
            </a:graphic>
          </wp:inline>
        </w:drawing>
      </w:r>
    </w:p>
    <w:p w14:paraId="1EDDB92B" w14:textId="77777777" w:rsidR="005F13DD" w:rsidRDefault="005F13DD" w:rsidP="00394B0C">
      <w:pPr>
        <w:keepNext/>
        <w:keepLines/>
        <w:spacing w:before="120" w:after="120"/>
        <w:jc w:val="both"/>
        <w:rPr>
          <w:rFonts w:ascii="Arial Narrow" w:hAnsi="Arial Narrow" w:cs="Arial"/>
          <w:spacing w:val="-2"/>
          <w:sz w:val="24"/>
          <w:szCs w:val="24"/>
        </w:rPr>
      </w:pPr>
      <w:r w:rsidRPr="003D4491">
        <w:rPr>
          <w:rFonts w:ascii="Arial Narrow" w:hAnsi="Arial Narrow" w:cs="Arial"/>
          <w:spacing w:val="-2"/>
          <w:sz w:val="24"/>
          <w:szCs w:val="24"/>
        </w:rPr>
        <w:t xml:space="preserve">El detalle del valor de dichas inversiones al 31 de </w:t>
      </w:r>
      <w:r w:rsidRPr="00926591">
        <w:rPr>
          <w:rFonts w:ascii="Arial Narrow" w:hAnsi="Arial Narrow" w:cs="Arial"/>
          <w:spacing w:val="-2"/>
          <w:sz w:val="24"/>
          <w:szCs w:val="24"/>
        </w:rPr>
        <w:t>diciembre de 20</w:t>
      </w:r>
      <w:r w:rsidR="0034181B">
        <w:rPr>
          <w:rFonts w:ascii="Arial Narrow" w:hAnsi="Arial Narrow" w:cs="Arial"/>
          <w:spacing w:val="-2"/>
          <w:sz w:val="24"/>
          <w:szCs w:val="24"/>
        </w:rPr>
        <w:t>18</w:t>
      </w:r>
      <w:r w:rsidRPr="00926591">
        <w:rPr>
          <w:rFonts w:ascii="Arial Narrow" w:hAnsi="Arial Narrow" w:cs="Arial"/>
          <w:spacing w:val="-2"/>
          <w:sz w:val="24"/>
          <w:szCs w:val="24"/>
        </w:rPr>
        <w:t xml:space="preserve"> es como </w:t>
      </w:r>
      <w:r w:rsidRPr="003D4491">
        <w:rPr>
          <w:rFonts w:ascii="Arial Narrow" w:hAnsi="Arial Narrow" w:cs="Arial"/>
          <w:spacing w:val="-2"/>
          <w:sz w:val="24"/>
          <w:szCs w:val="24"/>
        </w:rPr>
        <w:t>sigue:</w:t>
      </w:r>
    </w:p>
    <w:p w14:paraId="3B157020" w14:textId="77777777" w:rsidR="00495FAD" w:rsidRDefault="0034181B" w:rsidP="00625922">
      <w:pPr>
        <w:spacing w:before="240" w:after="120"/>
        <w:jc w:val="both"/>
        <w:rPr>
          <w:rFonts w:ascii="Arial Narrow" w:hAnsi="Arial Narrow" w:cs="Arial"/>
          <w:spacing w:val="-2"/>
          <w:sz w:val="24"/>
          <w:szCs w:val="24"/>
        </w:rPr>
      </w:pPr>
      <w:r w:rsidRPr="0034181B">
        <w:rPr>
          <w:noProof/>
          <w:lang w:val="es-ES" w:eastAsia="es-ES"/>
        </w:rPr>
        <w:drawing>
          <wp:inline distT="0" distB="0" distL="0" distR="0" wp14:anchorId="4366FDA4" wp14:editId="7541E832">
            <wp:extent cx="4097655" cy="128524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7655" cy="1285240"/>
                    </a:xfrm>
                    <a:prstGeom prst="rect">
                      <a:avLst/>
                    </a:prstGeom>
                    <a:noFill/>
                    <a:ln>
                      <a:noFill/>
                    </a:ln>
                  </pic:spPr>
                </pic:pic>
              </a:graphicData>
            </a:graphic>
          </wp:inline>
        </w:drawing>
      </w:r>
    </w:p>
    <w:p w14:paraId="407B5CBB" w14:textId="77777777" w:rsidR="0034181B" w:rsidRDefault="0034181B" w:rsidP="0034181B">
      <w:pPr>
        <w:spacing w:before="240" w:after="120"/>
        <w:jc w:val="both"/>
        <w:rPr>
          <w:rFonts w:ascii="Arial Narrow" w:hAnsi="Arial Narrow" w:cs="Arial"/>
          <w:color w:val="000000" w:themeColor="text1"/>
          <w:spacing w:val="-2"/>
          <w:sz w:val="24"/>
          <w:szCs w:val="24"/>
        </w:rPr>
      </w:pPr>
      <w:bookmarkStart w:id="10" w:name="_Hlk34905223"/>
      <w:r w:rsidRPr="00A66500">
        <w:rPr>
          <w:rFonts w:ascii="Arial Narrow" w:hAnsi="Arial Narrow" w:cs="Arial"/>
          <w:color w:val="000000" w:themeColor="text1"/>
          <w:spacing w:val="-2"/>
          <w:sz w:val="24"/>
          <w:szCs w:val="24"/>
        </w:rPr>
        <w:t>El valor teórico de las inversiones en las anteriores sociedades se obtiene de los respectivos fondos propios según sus balances al 31 de diciembre de 2019 según se indica a continuación:</w:t>
      </w:r>
    </w:p>
    <w:p w14:paraId="6DE380C6" w14:textId="1C2C5234" w:rsidR="00E766CF" w:rsidRPr="00E766CF" w:rsidRDefault="00E766CF" w:rsidP="00E766CF">
      <w:pPr>
        <w:spacing w:before="240" w:after="120"/>
        <w:ind w:left="-142" w:firstLine="142"/>
        <w:jc w:val="both"/>
        <w:rPr>
          <w:noProof/>
          <w:lang w:eastAsia="es-ES_tradnl"/>
        </w:rPr>
      </w:pPr>
      <w:r w:rsidRPr="00E766CF">
        <w:rPr>
          <w:noProof/>
          <w:lang w:val="es-ES" w:eastAsia="es-ES"/>
        </w:rPr>
        <w:drawing>
          <wp:inline distT="0" distB="0" distL="0" distR="0" wp14:anchorId="0ABAAAE0" wp14:editId="3554EBC4">
            <wp:extent cx="5880100" cy="1085283"/>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7891" cy="1088567"/>
                    </a:xfrm>
                    <a:prstGeom prst="rect">
                      <a:avLst/>
                    </a:prstGeom>
                    <a:noFill/>
                    <a:ln>
                      <a:noFill/>
                    </a:ln>
                  </pic:spPr>
                </pic:pic>
              </a:graphicData>
            </a:graphic>
          </wp:inline>
        </w:drawing>
      </w:r>
    </w:p>
    <w:bookmarkEnd w:id="10"/>
    <w:p w14:paraId="0AFEDFED" w14:textId="0AEDF98F" w:rsidR="00495FAD" w:rsidRPr="00625922" w:rsidRDefault="00495FAD" w:rsidP="0034181B">
      <w:pPr>
        <w:spacing w:before="240" w:after="120"/>
        <w:jc w:val="both"/>
        <w:rPr>
          <w:rFonts w:ascii="Arial Narrow" w:hAnsi="Arial Narrow" w:cs="Arial"/>
          <w:spacing w:val="-2"/>
          <w:sz w:val="24"/>
          <w:szCs w:val="24"/>
        </w:rPr>
      </w:pPr>
      <w:r w:rsidRPr="00625922">
        <w:rPr>
          <w:rFonts w:ascii="Arial Narrow" w:hAnsi="Arial Narrow" w:cs="Arial"/>
          <w:spacing w:val="-2"/>
          <w:sz w:val="24"/>
          <w:szCs w:val="24"/>
        </w:rPr>
        <w:t>El valor teórico de las inversiones en las anteriores sociedades se obtiene de los respectivos fondos</w:t>
      </w:r>
      <w:r w:rsidRPr="00F56ADE">
        <w:rPr>
          <w:rFonts w:ascii="Arial Narrow" w:hAnsi="Arial Narrow" w:cs="Arial"/>
          <w:color w:val="FF0000"/>
          <w:spacing w:val="-2"/>
          <w:sz w:val="24"/>
          <w:szCs w:val="24"/>
        </w:rPr>
        <w:t xml:space="preserve"> </w:t>
      </w:r>
      <w:r w:rsidRPr="00625922">
        <w:rPr>
          <w:rFonts w:ascii="Arial Narrow" w:hAnsi="Arial Narrow" w:cs="Arial"/>
          <w:spacing w:val="-2"/>
          <w:sz w:val="24"/>
          <w:szCs w:val="24"/>
        </w:rPr>
        <w:t xml:space="preserve">propios según </w:t>
      </w:r>
      <w:r w:rsidRPr="00926591">
        <w:rPr>
          <w:rFonts w:ascii="Arial Narrow" w:hAnsi="Arial Narrow" w:cs="Arial"/>
          <w:spacing w:val="-2"/>
          <w:sz w:val="24"/>
          <w:szCs w:val="24"/>
        </w:rPr>
        <w:t>sus balances al 31 de diciembre de 201</w:t>
      </w:r>
      <w:r w:rsidR="00451276">
        <w:rPr>
          <w:rFonts w:ascii="Arial Narrow" w:hAnsi="Arial Narrow" w:cs="Arial"/>
          <w:spacing w:val="-2"/>
          <w:sz w:val="24"/>
          <w:szCs w:val="24"/>
        </w:rPr>
        <w:t>8</w:t>
      </w:r>
      <w:r w:rsidRPr="00926591">
        <w:rPr>
          <w:rFonts w:ascii="Arial Narrow" w:hAnsi="Arial Narrow" w:cs="Arial"/>
          <w:spacing w:val="-2"/>
          <w:sz w:val="24"/>
          <w:szCs w:val="24"/>
        </w:rPr>
        <w:t xml:space="preserve"> según </w:t>
      </w:r>
      <w:r w:rsidRPr="00625922">
        <w:rPr>
          <w:rFonts w:ascii="Arial Narrow" w:hAnsi="Arial Narrow" w:cs="Arial"/>
          <w:spacing w:val="-2"/>
          <w:sz w:val="24"/>
          <w:szCs w:val="24"/>
        </w:rPr>
        <w:t>se indica a continuación:</w:t>
      </w:r>
    </w:p>
    <w:p w14:paraId="6EE14E94" w14:textId="77777777" w:rsidR="00495FAD" w:rsidRDefault="000C1DEC" w:rsidP="0034181B">
      <w:pPr>
        <w:spacing w:before="240" w:after="120"/>
        <w:ind w:left="-142" w:firstLine="142"/>
        <w:jc w:val="both"/>
        <w:rPr>
          <w:rFonts w:ascii="Arial Narrow" w:hAnsi="Arial Narrow" w:cs="Arial"/>
          <w:spacing w:val="-2"/>
          <w:sz w:val="24"/>
          <w:szCs w:val="24"/>
        </w:rPr>
      </w:pPr>
      <w:r w:rsidRPr="000C1DEC">
        <w:rPr>
          <w:noProof/>
          <w:lang w:val="es-ES" w:eastAsia="es-ES"/>
        </w:rPr>
        <w:drawing>
          <wp:inline distT="0" distB="0" distL="0" distR="0" wp14:anchorId="757D1575" wp14:editId="5AAD18EC">
            <wp:extent cx="5819775" cy="1466850"/>
            <wp:effectExtent l="0" t="0" r="9525"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8450" cy="1466516"/>
                    </a:xfrm>
                    <a:prstGeom prst="rect">
                      <a:avLst/>
                    </a:prstGeom>
                    <a:noFill/>
                    <a:ln>
                      <a:noFill/>
                    </a:ln>
                  </pic:spPr>
                </pic:pic>
              </a:graphicData>
            </a:graphic>
          </wp:inline>
        </w:drawing>
      </w:r>
    </w:p>
    <w:p w14:paraId="5490688B" w14:textId="77777777" w:rsidR="002926B4" w:rsidRDefault="002926B4" w:rsidP="000C1DEC">
      <w:pPr>
        <w:tabs>
          <w:tab w:val="left" w:pos="504"/>
        </w:tabs>
        <w:spacing w:before="240" w:after="120"/>
        <w:ind w:left="-426"/>
        <w:jc w:val="both"/>
        <w:rPr>
          <w:rFonts w:ascii="Arial Narrow" w:hAnsi="Arial Narrow" w:cs="Arial"/>
          <w:spacing w:val="-2"/>
          <w:sz w:val="24"/>
          <w:szCs w:val="24"/>
        </w:rPr>
      </w:pPr>
    </w:p>
    <w:p w14:paraId="4307822D" w14:textId="77777777" w:rsidR="005F13DD" w:rsidRPr="0082491F" w:rsidRDefault="00FE58D2" w:rsidP="00394B0C">
      <w:pPr>
        <w:keepNext/>
        <w:keepLines/>
        <w:spacing w:before="120" w:after="120"/>
        <w:rPr>
          <w:rFonts w:ascii="Arial Narrow" w:hAnsi="Arial Narrow" w:cs="Arial"/>
          <w:b/>
          <w:snapToGrid w:val="0"/>
          <w:sz w:val="24"/>
          <w:szCs w:val="24"/>
          <w:u w:val="single"/>
          <w:lang w:eastAsia="es-ES"/>
        </w:rPr>
      </w:pPr>
      <w:r w:rsidRPr="0082491F">
        <w:rPr>
          <w:rFonts w:ascii="Arial Narrow" w:hAnsi="Arial Narrow" w:cs="Arial"/>
          <w:b/>
          <w:snapToGrid w:val="0"/>
          <w:sz w:val="24"/>
          <w:szCs w:val="24"/>
          <w:u w:val="single"/>
          <w:lang w:eastAsia="es-ES"/>
        </w:rPr>
        <w:t xml:space="preserve">9.1.2 </w:t>
      </w:r>
      <w:r w:rsidR="005F13DD" w:rsidRPr="0082491F">
        <w:rPr>
          <w:rFonts w:ascii="Arial Narrow" w:hAnsi="Arial Narrow" w:cs="Arial"/>
          <w:b/>
          <w:snapToGrid w:val="0"/>
          <w:sz w:val="24"/>
          <w:szCs w:val="24"/>
          <w:u w:val="single"/>
          <w:lang w:eastAsia="es-ES"/>
        </w:rPr>
        <w:t>Préstamos y partidas a cobrar</w:t>
      </w:r>
    </w:p>
    <w:p w14:paraId="1219BE7C" w14:textId="77777777" w:rsidR="00547045" w:rsidRDefault="005F13DD" w:rsidP="00547045">
      <w:pPr>
        <w:keepNext/>
        <w:keepLines/>
        <w:spacing w:before="120" w:after="120"/>
        <w:jc w:val="both"/>
        <w:rPr>
          <w:rFonts w:ascii="Arial Narrow" w:hAnsi="Arial Narrow" w:cs="Arial"/>
          <w:spacing w:val="-2"/>
          <w:sz w:val="24"/>
          <w:szCs w:val="24"/>
        </w:rPr>
      </w:pPr>
      <w:r w:rsidRPr="0082491F">
        <w:rPr>
          <w:rFonts w:ascii="Arial Narrow" w:hAnsi="Arial Narrow" w:cs="Arial"/>
          <w:spacing w:val="-2"/>
          <w:sz w:val="24"/>
          <w:szCs w:val="24"/>
        </w:rPr>
        <w:t xml:space="preserve">El detalle de préstamos y partidas a cobrar a 31 de </w:t>
      </w:r>
      <w:r w:rsidRPr="008429FA">
        <w:rPr>
          <w:rFonts w:ascii="Arial Narrow" w:hAnsi="Arial Narrow" w:cs="Arial"/>
          <w:spacing w:val="-2"/>
          <w:sz w:val="24"/>
          <w:szCs w:val="24"/>
        </w:rPr>
        <w:t>diciembre de 201</w:t>
      </w:r>
      <w:r w:rsidR="00815257">
        <w:rPr>
          <w:rFonts w:ascii="Arial Narrow" w:hAnsi="Arial Narrow" w:cs="Arial"/>
          <w:spacing w:val="-2"/>
          <w:sz w:val="24"/>
          <w:szCs w:val="24"/>
        </w:rPr>
        <w:t>9</w:t>
      </w:r>
      <w:r w:rsidRPr="008429FA">
        <w:rPr>
          <w:rFonts w:ascii="Arial Narrow" w:hAnsi="Arial Narrow" w:cs="Arial"/>
          <w:spacing w:val="-2"/>
          <w:sz w:val="24"/>
          <w:szCs w:val="24"/>
        </w:rPr>
        <w:t xml:space="preserve"> y </w:t>
      </w:r>
      <w:r w:rsidR="00735C54" w:rsidRPr="008429FA">
        <w:rPr>
          <w:rFonts w:ascii="Arial Narrow" w:hAnsi="Arial Narrow" w:cs="Arial"/>
          <w:spacing w:val="-2"/>
          <w:sz w:val="24"/>
          <w:szCs w:val="24"/>
        </w:rPr>
        <w:t>201</w:t>
      </w:r>
      <w:r w:rsidR="00815257">
        <w:rPr>
          <w:rFonts w:ascii="Arial Narrow" w:hAnsi="Arial Narrow" w:cs="Arial"/>
          <w:spacing w:val="-2"/>
          <w:sz w:val="24"/>
          <w:szCs w:val="24"/>
        </w:rPr>
        <w:t>8</w:t>
      </w:r>
      <w:r w:rsidR="00735C54" w:rsidRPr="008429FA">
        <w:rPr>
          <w:rFonts w:ascii="Arial Narrow" w:hAnsi="Arial Narrow" w:cs="Arial"/>
          <w:spacing w:val="-2"/>
          <w:sz w:val="24"/>
          <w:szCs w:val="24"/>
        </w:rPr>
        <w:t xml:space="preserve"> </w:t>
      </w:r>
      <w:r w:rsidRPr="008429FA">
        <w:rPr>
          <w:rFonts w:ascii="Arial Narrow" w:hAnsi="Arial Narrow" w:cs="Arial"/>
          <w:spacing w:val="-2"/>
          <w:sz w:val="24"/>
          <w:szCs w:val="24"/>
        </w:rPr>
        <w:t>es el siguiente</w:t>
      </w:r>
      <w:r w:rsidRPr="0082491F">
        <w:rPr>
          <w:rFonts w:ascii="Arial Narrow" w:hAnsi="Arial Narrow" w:cs="Arial"/>
          <w:spacing w:val="-2"/>
          <w:sz w:val="24"/>
          <w:szCs w:val="24"/>
        </w:rPr>
        <w:t>, en euros:</w:t>
      </w:r>
    </w:p>
    <w:p w14:paraId="00AD4F20" w14:textId="77777777" w:rsidR="00547045" w:rsidRDefault="00547045" w:rsidP="00547045">
      <w:pPr>
        <w:keepNext/>
        <w:keepLines/>
        <w:spacing w:before="120" w:after="120"/>
        <w:jc w:val="both"/>
        <w:rPr>
          <w:rFonts w:ascii="Arial Narrow" w:hAnsi="Arial Narrow" w:cs="Arial"/>
          <w:spacing w:val="-2"/>
          <w:sz w:val="24"/>
          <w:szCs w:val="24"/>
        </w:rPr>
      </w:pPr>
    </w:p>
    <w:p w14:paraId="13C13B52" w14:textId="77777777" w:rsidR="007F1DF0" w:rsidRDefault="00547045" w:rsidP="00547045">
      <w:pPr>
        <w:keepNext/>
        <w:keepLines/>
        <w:spacing w:before="120" w:after="120"/>
        <w:jc w:val="center"/>
        <w:rPr>
          <w:rFonts w:ascii="Arial Narrow" w:hAnsi="Arial Narrow" w:cs="Arial"/>
          <w:spacing w:val="-2"/>
          <w:sz w:val="24"/>
          <w:szCs w:val="24"/>
        </w:rPr>
      </w:pPr>
      <w:r w:rsidRPr="00547045">
        <w:rPr>
          <w:noProof/>
          <w:lang w:val="es-ES" w:eastAsia="es-ES"/>
        </w:rPr>
        <w:drawing>
          <wp:inline distT="0" distB="0" distL="0" distR="0" wp14:anchorId="3DA1F378" wp14:editId="0906255A">
            <wp:extent cx="4132053" cy="1982597"/>
            <wp:effectExtent l="0" t="0" r="190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0513" cy="1986656"/>
                    </a:xfrm>
                    <a:prstGeom prst="rect">
                      <a:avLst/>
                    </a:prstGeom>
                    <a:noFill/>
                    <a:ln>
                      <a:noFill/>
                    </a:ln>
                  </pic:spPr>
                </pic:pic>
              </a:graphicData>
            </a:graphic>
          </wp:inline>
        </w:drawing>
      </w:r>
    </w:p>
    <w:p w14:paraId="770D7135" w14:textId="77777777" w:rsidR="005F13DD" w:rsidRPr="0082491F" w:rsidRDefault="005F13DD" w:rsidP="005F13DD">
      <w:pPr>
        <w:spacing w:before="120"/>
        <w:jc w:val="both"/>
        <w:rPr>
          <w:rFonts w:ascii="Arial Narrow" w:hAnsi="Arial Narrow" w:cs="Arial"/>
          <w:spacing w:val="-2"/>
          <w:sz w:val="24"/>
          <w:szCs w:val="24"/>
        </w:rPr>
      </w:pPr>
      <w:r w:rsidRPr="0082491F">
        <w:rPr>
          <w:rFonts w:ascii="Arial Narrow" w:hAnsi="Arial Narrow" w:cs="Arial"/>
          <w:spacing w:val="-2"/>
          <w:sz w:val="24"/>
          <w:szCs w:val="24"/>
        </w:rPr>
        <w:t>Los valores razonables de los préstamos y partidas a cobrar se aproximan al importe por el que están registrados en libros.</w:t>
      </w:r>
    </w:p>
    <w:p w14:paraId="59BD0157" w14:textId="77777777" w:rsidR="005F13DD" w:rsidRDefault="005F13DD" w:rsidP="005F13DD">
      <w:pPr>
        <w:spacing w:before="120" w:after="120"/>
        <w:jc w:val="both"/>
        <w:rPr>
          <w:rFonts w:ascii="Arial Narrow" w:hAnsi="Arial Narrow" w:cs="Arial"/>
          <w:spacing w:val="-2"/>
          <w:sz w:val="24"/>
          <w:szCs w:val="24"/>
        </w:rPr>
      </w:pPr>
      <w:r w:rsidRPr="00B90156">
        <w:rPr>
          <w:rFonts w:ascii="Arial Narrow" w:hAnsi="Arial Narrow" w:cs="Arial"/>
          <w:spacing w:val="-2"/>
          <w:sz w:val="24"/>
          <w:szCs w:val="24"/>
        </w:rPr>
        <w:t xml:space="preserve">El movimiento del deterioro por pérdidas del valor de las cuentas a cobrar de clientes y deudores a 31 de </w:t>
      </w:r>
      <w:r w:rsidRPr="00DB58F4">
        <w:rPr>
          <w:rFonts w:ascii="Arial Narrow" w:hAnsi="Arial Narrow" w:cs="Arial"/>
          <w:spacing w:val="-2"/>
          <w:sz w:val="24"/>
          <w:szCs w:val="24"/>
        </w:rPr>
        <w:t xml:space="preserve">diciembre de </w:t>
      </w:r>
      <w:r w:rsidR="002124A6" w:rsidRPr="00DB58F4">
        <w:rPr>
          <w:rFonts w:ascii="Arial Narrow" w:hAnsi="Arial Narrow" w:cs="Arial"/>
          <w:spacing w:val="-2"/>
          <w:sz w:val="24"/>
          <w:szCs w:val="24"/>
        </w:rPr>
        <w:t>201</w:t>
      </w:r>
      <w:r w:rsidR="00547045">
        <w:rPr>
          <w:rFonts w:ascii="Arial Narrow" w:hAnsi="Arial Narrow" w:cs="Arial"/>
          <w:spacing w:val="-2"/>
          <w:sz w:val="24"/>
          <w:szCs w:val="24"/>
        </w:rPr>
        <w:t xml:space="preserve">9 </w:t>
      </w:r>
      <w:r w:rsidRPr="00DB58F4">
        <w:rPr>
          <w:rFonts w:ascii="Arial Narrow" w:hAnsi="Arial Narrow" w:cs="Arial"/>
          <w:spacing w:val="-2"/>
          <w:sz w:val="24"/>
          <w:szCs w:val="24"/>
        </w:rPr>
        <w:t>y 201</w:t>
      </w:r>
      <w:r w:rsidR="00547045">
        <w:rPr>
          <w:rFonts w:ascii="Arial Narrow" w:hAnsi="Arial Narrow" w:cs="Arial"/>
          <w:spacing w:val="-2"/>
          <w:sz w:val="24"/>
          <w:szCs w:val="24"/>
        </w:rPr>
        <w:t>8</w:t>
      </w:r>
      <w:r w:rsidRPr="00DB58F4">
        <w:rPr>
          <w:rFonts w:ascii="Arial Narrow" w:hAnsi="Arial Narrow" w:cs="Arial"/>
          <w:spacing w:val="-2"/>
          <w:sz w:val="24"/>
          <w:szCs w:val="24"/>
        </w:rPr>
        <w:t xml:space="preserve"> es el siguiente</w:t>
      </w:r>
      <w:r w:rsidRPr="00B90156">
        <w:rPr>
          <w:rFonts w:ascii="Arial Narrow" w:hAnsi="Arial Narrow" w:cs="Arial"/>
          <w:spacing w:val="-2"/>
          <w:sz w:val="24"/>
          <w:szCs w:val="24"/>
        </w:rPr>
        <w:t>, en euros:</w:t>
      </w:r>
    </w:p>
    <w:p w14:paraId="42E94B3C" w14:textId="77777777" w:rsidR="00547045" w:rsidRDefault="00547045" w:rsidP="005F13DD">
      <w:pPr>
        <w:spacing w:before="120"/>
        <w:jc w:val="both"/>
        <w:rPr>
          <w:rFonts w:ascii="Arial Narrow" w:hAnsi="Arial Narrow" w:cs="Arial"/>
          <w:spacing w:val="-2"/>
          <w:sz w:val="24"/>
          <w:szCs w:val="24"/>
        </w:rPr>
      </w:pPr>
    </w:p>
    <w:p w14:paraId="0AF81477" w14:textId="77777777" w:rsidR="00547045" w:rsidRDefault="00547045" w:rsidP="00547045">
      <w:pPr>
        <w:spacing w:before="120"/>
        <w:jc w:val="center"/>
        <w:rPr>
          <w:rFonts w:ascii="Arial Narrow" w:hAnsi="Arial Narrow" w:cs="Arial"/>
          <w:spacing w:val="-2"/>
          <w:sz w:val="24"/>
          <w:szCs w:val="24"/>
        </w:rPr>
      </w:pPr>
      <w:r w:rsidRPr="00547045">
        <w:rPr>
          <w:noProof/>
          <w:lang w:val="es-ES" w:eastAsia="es-ES"/>
        </w:rPr>
        <w:drawing>
          <wp:inline distT="0" distB="0" distL="0" distR="0" wp14:anchorId="4BD3B09B" wp14:editId="132B0C05">
            <wp:extent cx="4261485" cy="1198880"/>
            <wp:effectExtent l="0" t="0" r="5715" b="127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61485" cy="1198880"/>
                    </a:xfrm>
                    <a:prstGeom prst="rect">
                      <a:avLst/>
                    </a:prstGeom>
                    <a:noFill/>
                    <a:ln>
                      <a:noFill/>
                    </a:ln>
                  </pic:spPr>
                </pic:pic>
              </a:graphicData>
            </a:graphic>
          </wp:inline>
        </w:drawing>
      </w:r>
    </w:p>
    <w:p w14:paraId="6A35E0A3" w14:textId="77777777" w:rsidR="00547045" w:rsidRDefault="00547045" w:rsidP="005F13DD">
      <w:pPr>
        <w:spacing w:before="120"/>
        <w:jc w:val="both"/>
        <w:rPr>
          <w:rFonts w:ascii="Arial Narrow" w:hAnsi="Arial Narrow" w:cs="Arial"/>
          <w:spacing w:val="-2"/>
          <w:sz w:val="24"/>
          <w:szCs w:val="24"/>
        </w:rPr>
      </w:pPr>
    </w:p>
    <w:p w14:paraId="2FF7AB07" w14:textId="77777777" w:rsidR="005F13DD" w:rsidRPr="009D5EE9" w:rsidRDefault="005F13DD" w:rsidP="005F13DD">
      <w:pPr>
        <w:spacing w:before="120"/>
        <w:jc w:val="both"/>
        <w:rPr>
          <w:rFonts w:ascii="Arial Narrow" w:hAnsi="Arial Narrow" w:cs="Arial"/>
          <w:spacing w:val="-2"/>
          <w:sz w:val="24"/>
          <w:szCs w:val="24"/>
        </w:rPr>
      </w:pPr>
      <w:r w:rsidRPr="009D5EE9">
        <w:rPr>
          <w:rFonts w:ascii="Arial Narrow" w:hAnsi="Arial Narrow" w:cs="Arial"/>
          <w:spacing w:val="-2"/>
          <w:sz w:val="24"/>
          <w:szCs w:val="24"/>
        </w:rPr>
        <w:t>El reconocimiento y la reversión de las correcciones valorativas por deterioro de las cuentas a cobrar a clientes se han incluido dentro de “Pérdidas, deterioro y variación de provisiones por operaciones comerciales” en la cuenta de pérdidas y ganancias. Normalmente se dan de baja los importes cargados a la cuenta de deterioro de valor cuando no existen expectativas de recuperar más efectivo.</w:t>
      </w:r>
    </w:p>
    <w:p w14:paraId="4B68EEE7" w14:textId="77777777" w:rsidR="005F13DD" w:rsidRPr="009D5EE9" w:rsidRDefault="005F13DD" w:rsidP="005F13DD">
      <w:pPr>
        <w:spacing w:before="120"/>
        <w:jc w:val="both"/>
        <w:rPr>
          <w:rFonts w:ascii="Arial Narrow" w:hAnsi="Arial Narrow" w:cs="Arial"/>
          <w:spacing w:val="-2"/>
          <w:sz w:val="24"/>
          <w:szCs w:val="24"/>
        </w:rPr>
      </w:pPr>
      <w:r w:rsidRPr="009D5EE9">
        <w:rPr>
          <w:rFonts w:ascii="Arial Narrow" w:hAnsi="Arial Narrow" w:cs="Arial"/>
          <w:spacing w:val="-2"/>
          <w:sz w:val="24"/>
          <w:szCs w:val="24"/>
        </w:rPr>
        <w:t>El resto de las cuentas incluidas en “Préstamos y cuentas a cobrar” no han sufrido deterioro del valor.</w:t>
      </w:r>
    </w:p>
    <w:p w14:paraId="13A1F913" w14:textId="77777777" w:rsidR="005F13DD" w:rsidRPr="009D5EE9" w:rsidRDefault="005F13DD" w:rsidP="005F13DD">
      <w:pPr>
        <w:spacing w:before="120"/>
        <w:jc w:val="both"/>
        <w:rPr>
          <w:rFonts w:ascii="Arial Narrow" w:hAnsi="Arial Narrow" w:cs="Arial"/>
          <w:spacing w:val="-2"/>
          <w:sz w:val="24"/>
          <w:szCs w:val="24"/>
        </w:rPr>
      </w:pPr>
      <w:r w:rsidRPr="009D5EE9">
        <w:rPr>
          <w:rFonts w:ascii="Arial Narrow" w:hAnsi="Arial Narrow" w:cs="Arial"/>
          <w:spacing w:val="-2"/>
          <w:sz w:val="24"/>
          <w:szCs w:val="24"/>
        </w:rPr>
        <w:t>La exposición máxima al riesgo de crédito a la fecha de presentación de la información es el valor razonable de cada una de las categorías de cuentas a cobrar indicadas anteriormente. La Sociedad no mantiene ninguna garantía como seguro.</w:t>
      </w:r>
    </w:p>
    <w:p w14:paraId="47DD099F" w14:textId="77777777" w:rsidR="00547045" w:rsidRDefault="00547045" w:rsidP="005F13DD">
      <w:pPr>
        <w:widowControl w:val="0"/>
        <w:spacing w:before="120" w:after="120"/>
        <w:rPr>
          <w:rFonts w:ascii="Arial Narrow" w:hAnsi="Arial Narrow" w:cs="Arial"/>
          <w:b/>
          <w:snapToGrid w:val="0"/>
          <w:sz w:val="24"/>
          <w:szCs w:val="24"/>
          <w:u w:val="single"/>
          <w:lang w:eastAsia="es-ES"/>
        </w:rPr>
      </w:pPr>
    </w:p>
    <w:p w14:paraId="24B594A7" w14:textId="77777777" w:rsidR="00242CD2" w:rsidRDefault="00242CD2" w:rsidP="005F13DD">
      <w:pPr>
        <w:widowControl w:val="0"/>
        <w:spacing w:before="120" w:after="120"/>
        <w:rPr>
          <w:rFonts w:ascii="Arial Narrow" w:hAnsi="Arial Narrow" w:cs="Arial"/>
          <w:b/>
          <w:snapToGrid w:val="0"/>
          <w:sz w:val="24"/>
          <w:szCs w:val="24"/>
          <w:u w:val="single"/>
          <w:lang w:eastAsia="es-ES"/>
        </w:rPr>
      </w:pPr>
    </w:p>
    <w:p w14:paraId="65148017" w14:textId="77777777" w:rsidR="00242CD2" w:rsidRDefault="00242CD2" w:rsidP="005F13DD">
      <w:pPr>
        <w:widowControl w:val="0"/>
        <w:spacing w:before="120" w:after="120"/>
        <w:rPr>
          <w:rFonts w:ascii="Arial Narrow" w:hAnsi="Arial Narrow" w:cs="Arial"/>
          <w:b/>
          <w:snapToGrid w:val="0"/>
          <w:sz w:val="24"/>
          <w:szCs w:val="24"/>
          <w:u w:val="single"/>
          <w:lang w:eastAsia="es-ES"/>
        </w:rPr>
      </w:pPr>
    </w:p>
    <w:p w14:paraId="5E82DFC0" w14:textId="77777777" w:rsidR="00242CD2" w:rsidRDefault="00242CD2" w:rsidP="005F13DD">
      <w:pPr>
        <w:widowControl w:val="0"/>
        <w:spacing w:before="120" w:after="120"/>
        <w:rPr>
          <w:rFonts w:ascii="Arial Narrow" w:hAnsi="Arial Narrow" w:cs="Arial"/>
          <w:b/>
          <w:snapToGrid w:val="0"/>
          <w:sz w:val="24"/>
          <w:szCs w:val="24"/>
          <w:u w:val="single"/>
          <w:lang w:eastAsia="es-ES"/>
        </w:rPr>
      </w:pPr>
    </w:p>
    <w:p w14:paraId="5DCEAA15" w14:textId="77777777" w:rsidR="00242CD2" w:rsidRPr="009D5EE9" w:rsidRDefault="00242CD2" w:rsidP="005F13DD">
      <w:pPr>
        <w:widowControl w:val="0"/>
        <w:spacing w:before="120" w:after="120"/>
        <w:rPr>
          <w:rFonts w:ascii="Arial Narrow" w:hAnsi="Arial Narrow" w:cs="Arial"/>
          <w:b/>
          <w:snapToGrid w:val="0"/>
          <w:sz w:val="24"/>
          <w:szCs w:val="24"/>
          <w:u w:val="single"/>
          <w:lang w:eastAsia="es-ES"/>
        </w:rPr>
      </w:pPr>
    </w:p>
    <w:p w14:paraId="05C6E9B0" w14:textId="77777777" w:rsidR="005F13DD" w:rsidRPr="009D5EE9" w:rsidRDefault="00FE58D2" w:rsidP="005F13DD">
      <w:pPr>
        <w:widowControl w:val="0"/>
        <w:spacing w:before="120" w:after="120"/>
        <w:rPr>
          <w:rFonts w:ascii="Arial Narrow" w:hAnsi="Arial Narrow" w:cs="Arial"/>
          <w:b/>
          <w:snapToGrid w:val="0"/>
          <w:sz w:val="24"/>
          <w:szCs w:val="24"/>
          <w:lang w:eastAsia="es-ES"/>
        </w:rPr>
      </w:pPr>
      <w:r w:rsidRPr="009D5EE9">
        <w:rPr>
          <w:rFonts w:ascii="Arial Narrow" w:hAnsi="Arial Narrow" w:cs="Arial"/>
          <w:b/>
          <w:snapToGrid w:val="0"/>
          <w:sz w:val="24"/>
          <w:szCs w:val="24"/>
          <w:u w:val="single"/>
          <w:lang w:eastAsia="es-ES"/>
        </w:rPr>
        <w:t xml:space="preserve">9.1.3 </w:t>
      </w:r>
      <w:r w:rsidR="005F13DD" w:rsidRPr="009D5EE9">
        <w:rPr>
          <w:rFonts w:ascii="Arial Narrow" w:hAnsi="Arial Narrow" w:cs="Arial"/>
          <w:b/>
          <w:snapToGrid w:val="0"/>
          <w:sz w:val="24"/>
          <w:szCs w:val="24"/>
          <w:u w:val="single"/>
          <w:lang w:eastAsia="es-ES"/>
        </w:rPr>
        <w:t>Otros activos financieros</w:t>
      </w:r>
    </w:p>
    <w:p w14:paraId="3AFFBF02" w14:textId="77777777" w:rsidR="00547045" w:rsidRDefault="005F13DD" w:rsidP="00547045">
      <w:pPr>
        <w:spacing w:before="120" w:after="240"/>
        <w:jc w:val="both"/>
        <w:rPr>
          <w:rFonts w:ascii="Arial Narrow" w:hAnsi="Arial Narrow" w:cs="Arial"/>
          <w:spacing w:val="-2"/>
          <w:sz w:val="24"/>
          <w:szCs w:val="24"/>
        </w:rPr>
      </w:pPr>
      <w:r w:rsidRPr="009D5EE9">
        <w:rPr>
          <w:rFonts w:ascii="Arial Narrow" w:hAnsi="Arial Narrow" w:cs="Arial"/>
          <w:spacing w:val="-2"/>
          <w:sz w:val="24"/>
          <w:szCs w:val="24"/>
        </w:rPr>
        <w:t xml:space="preserve">El detalle de otros activos financieros a 31 de </w:t>
      </w:r>
      <w:r w:rsidRPr="00DA2EF9">
        <w:rPr>
          <w:rFonts w:ascii="Arial Narrow" w:hAnsi="Arial Narrow" w:cs="Arial"/>
          <w:spacing w:val="-2"/>
          <w:sz w:val="24"/>
          <w:szCs w:val="24"/>
        </w:rPr>
        <w:t xml:space="preserve">diciembre de </w:t>
      </w:r>
      <w:r w:rsidR="002124A6" w:rsidRPr="00DA2EF9">
        <w:rPr>
          <w:rFonts w:ascii="Arial Narrow" w:hAnsi="Arial Narrow" w:cs="Arial"/>
          <w:spacing w:val="-2"/>
          <w:sz w:val="24"/>
          <w:szCs w:val="24"/>
        </w:rPr>
        <w:t>201</w:t>
      </w:r>
      <w:r w:rsidR="00547045">
        <w:rPr>
          <w:rFonts w:ascii="Arial Narrow" w:hAnsi="Arial Narrow" w:cs="Arial"/>
          <w:spacing w:val="-2"/>
          <w:sz w:val="24"/>
          <w:szCs w:val="24"/>
        </w:rPr>
        <w:t>9</w:t>
      </w:r>
      <w:r w:rsidR="002124A6" w:rsidRPr="00DA2EF9">
        <w:rPr>
          <w:rFonts w:ascii="Arial Narrow" w:hAnsi="Arial Narrow" w:cs="Arial"/>
          <w:spacing w:val="-2"/>
          <w:sz w:val="24"/>
          <w:szCs w:val="24"/>
        </w:rPr>
        <w:t xml:space="preserve"> </w:t>
      </w:r>
      <w:r w:rsidRPr="00DA2EF9">
        <w:rPr>
          <w:rFonts w:ascii="Arial Narrow" w:hAnsi="Arial Narrow" w:cs="Arial"/>
          <w:spacing w:val="-2"/>
          <w:sz w:val="24"/>
          <w:szCs w:val="24"/>
        </w:rPr>
        <w:t>y 201</w:t>
      </w:r>
      <w:r w:rsidR="00547045">
        <w:rPr>
          <w:rFonts w:ascii="Arial Narrow" w:hAnsi="Arial Narrow" w:cs="Arial"/>
          <w:spacing w:val="-2"/>
          <w:sz w:val="24"/>
          <w:szCs w:val="24"/>
        </w:rPr>
        <w:t>8</w:t>
      </w:r>
      <w:r w:rsidRPr="00DA2EF9">
        <w:rPr>
          <w:rFonts w:ascii="Arial Narrow" w:hAnsi="Arial Narrow" w:cs="Arial"/>
          <w:spacing w:val="-2"/>
          <w:sz w:val="24"/>
          <w:szCs w:val="24"/>
        </w:rPr>
        <w:t xml:space="preserve"> es el siguiente</w:t>
      </w:r>
      <w:r w:rsidRPr="009D5EE9">
        <w:rPr>
          <w:rFonts w:ascii="Arial Narrow" w:hAnsi="Arial Narrow" w:cs="Arial"/>
          <w:spacing w:val="-2"/>
          <w:sz w:val="24"/>
          <w:szCs w:val="24"/>
        </w:rPr>
        <w:t>, en euros:</w:t>
      </w:r>
    </w:p>
    <w:p w14:paraId="004F80CE" w14:textId="77777777" w:rsidR="00547045" w:rsidRDefault="00547045" w:rsidP="00547045">
      <w:pPr>
        <w:spacing w:before="120" w:after="240"/>
        <w:jc w:val="center"/>
        <w:rPr>
          <w:rFonts w:ascii="Arial Narrow" w:hAnsi="Arial Narrow" w:cs="Arial"/>
          <w:spacing w:val="-2"/>
          <w:sz w:val="24"/>
          <w:szCs w:val="24"/>
        </w:rPr>
      </w:pPr>
      <w:r w:rsidRPr="00547045">
        <w:rPr>
          <w:noProof/>
          <w:lang w:val="es-ES" w:eastAsia="es-ES"/>
        </w:rPr>
        <w:drawing>
          <wp:inline distT="0" distB="0" distL="0" distR="0" wp14:anchorId="7578C9E5" wp14:editId="35E64B3B">
            <wp:extent cx="4261485" cy="828040"/>
            <wp:effectExtent l="0" t="0" r="571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1485" cy="828040"/>
                    </a:xfrm>
                    <a:prstGeom prst="rect">
                      <a:avLst/>
                    </a:prstGeom>
                    <a:noFill/>
                    <a:ln>
                      <a:noFill/>
                    </a:ln>
                  </pic:spPr>
                </pic:pic>
              </a:graphicData>
            </a:graphic>
          </wp:inline>
        </w:drawing>
      </w:r>
    </w:p>
    <w:p w14:paraId="5C5FBF98" w14:textId="77777777" w:rsidR="00242CD2" w:rsidRDefault="00242CD2" w:rsidP="00547045">
      <w:pPr>
        <w:spacing w:before="120" w:after="240"/>
        <w:jc w:val="center"/>
        <w:rPr>
          <w:rFonts w:ascii="Arial Narrow" w:hAnsi="Arial Narrow" w:cs="Arial"/>
          <w:spacing w:val="-2"/>
          <w:sz w:val="24"/>
          <w:szCs w:val="24"/>
        </w:rPr>
      </w:pPr>
    </w:p>
    <w:p w14:paraId="050D007C" w14:textId="77777777" w:rsidR="005F13DD" w:rsidRPr="00CB06EB" w:rsidRDefault="00FE58D2" w:rsidP="005F13DD">
      <w:pPr>
        <w:widowControl w:val="0"/>
        <w:spacing w:before="120" w:after="120"/>
        <w:rPr>
          <w:rFonts w:ascii="Arial Narrow" w:hAnsi="Arial Narrow" w:cs="Arial"/>
          <w:b/>
          <w:snapToGrid w:val="0"/>
          <w:sz w:val="24"/>
          <w:szCs w:val="24"/>
          <w:lang w:eastAsia="es-ES"/>
        </w:rPr>
      </w:pPr>
      <w:r w:rsidRPr="00CB06EB">
        <w:rPr>
          <w:rFonts w:ascii="Arial Narrow" w:hAnsi="Arial Narrow" w:cs="Arial"/>
          <w:b/>
          <w:snapToGrid w:val="0"/>
          <w:sz w:val="24"/>
          <w:szCs w:val="24"/>
          <w:u w:val="single"/>
          <w:lang w:eastAsia="es-ES"/>
        </w:rPr>
        <w:t xml:space="preserve">9.1.4 </w:t>
      </w:r>
      <w:r w:rsidR="005F13DD" w:rsidRPr="00CB06EB">
        <w:rPr>
          <w:rFonts w:ascii="Arial Narrow" w:hAnsi="Arial Narrow" w:cs="Arial"/>
          <w:b/>
          <w:snapToGrid w:val="0"/>
          <w:sz w:val="24"/>
          <w:szCs w:val="24"/>
          <w:u w:val="single"/>
          <w:lang w:eastAsia="es-ES"/>
        </w:rPr>
        <w:t>Otra información relativa a activos financieros</w:t>
      </w:r>
    </w:p>
    <w:p w14:paraId="5ED83784" w14:textId="77777777" w:rsidR="00B20B5C" w:rsidRDefault="00B20B5C" w:rsidP="00B20B5C">
      <w:pPr>
        <w:spacing w:before="120" w:after="240"/>
        <w:jc w:val="both"/>
        <w:rPr>
          <w:rFonts w:ascii="Arial Narrow" w:hAnsi="Arial Narrow" w:cs="Arial"/>
          <w:spacing w:val="-2"/>
          <w:sz w:val="24"/>
          <w:szCs w:val="24"/>
        </w:rPr>
      </w:pPr>
      <w:r w:rsidRPr="00CB06EB">
        <w:rPr>
          <w:rFonts w:ascii="Arial Narrow" w:hAnsi="Arial Narrow" w:cs="Arial"/>
          <w:spacing w:val="-2"/>
          <w:sz w:val="24"/>
          <w:szCs w:val="24"/>
        </w:rPr>
        <w:t>El detalle de los vencimientos de los instrumentos financieros de act</w:t>
      </w:r>
      <w:r>
        <w:rPr>
          <w:rFonts w:ascii="Arial Narrow" w:hAnsi="Arial Narrow" w:cs="Arial"/>
          <w:spacing w:val="-2"/>
          <w:sz w:val="24"/>
          <w:szCs w:val="24"/>
        </w:rPr>
        <w:t xml:space="preserve">ivo al cierre del </w:t>
      </w:r>
      <w:r w:rsidRPr="00B20B5C">
        <w:rPr>
          <w:rFonts w:ascii="Arial Narrow" w:hAnsi="Arial Narrow" w:cs="Arial"/>
          <w:spacing w:val="-2"/>
          <w:sz w:val="24"/>
          <w:szCs w:val="24"/>
        </w:rPr>
        <w:t xml:space="preserve">ejercicio </w:t>
      </w:r>
      <w:r w:rsidRPr="002124A6">
        <w:rPr>
          <w:rFonts w:ascii="Arial Narrow" w:hAnsi="Arial Narrow" w:cs="Arial"/>
          <w:spacing w:val="-2"/>
          <w:sz w:val="24"/>
          <w:szCs w:val="24"/>
        </w:rPr>
        <w:t>201</w:t>
      </w:r>
      <w:r w:rsidR="00547045">
        <w:rPr>
          <w:rFonts w:ascii="Arial Narrow" w:hAnsi="Arial Narrow" w:cs="Arial"/>
          <w:spacing w:val="-2"/>
          <w:sz w:val="24"/>
          <w:szCs w:val="24"/>
        </w:rPr>
        <w:t>9</w:t>
      </w:r>
      <w:r w:rsidRPr="00B20B5C">
        <w:rPr>
          <w:rFonts w:ascii="Arial Narrow" w:hAnsi="Arial Narrow" w:cs="Arial"/>
          <w:spacing w:val="-2"/>
          <w:sz w:val="24"/>
          <w:szCs w:val="24"/>
        </w:rPr>
        <w:t xml:space="preserve"> es el </w:t>
      </w:r>
      <w:r w:rsidRPr="00CB06EB">
        <w:rPr>
          <w:rFonts w:ascii="Arial Narrow" w:hAnsi="Arial Narrow" w:cs="Arial"/>
          <w:spacing w:val="-2"/>
          <w:sz w:val="24"/>
          <w:szCs w:val="24"/>
        </w:rPr>
        <w:t>siguiente, en euros:</w:t>
      </w:r>
    </w:p>
    <w:p w14:paraId="27D69A15" w14:textId="77777777" w:rsidR="00547045" w:rsidRPr="00CB06EB" w:rsidRDefault="000F1778" w:rsidP="00B20B5C">
      <w:pPr>
        <w:spacing w:before="120" w:after="240"/>
        <w:jc w:val="both"/>
        <w:rPr>
          <w:rFonts w:ascii="Arial Narrow" w:hAnsi="Arial Narrow" w:cs="Arial"/>
          <w:spacing w:val="-2"/>
          <w:sz w:val="24"/>
          <w:szCs w:val="24"/>
        </w:rPr>
      </w:pPr>
      <w:r w:rsidRPr="000F1778">
        <w:rPr>
          <w:noProof/>
          <w:lang w:val="es-ES" w:eastAsia="es-ES"/>
        </w:rPr>
        <w:drawing>
          <wp:inline distT="0" distB="0" distL="0" distR="0" wp14:anchorId="5EE0E5C8" wp14:editId="74DC1134">
            <wp:extent cx="5495026" cy="794385"/>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39906" cy="800873"/>
                    </a:xfrm>
                    <a:prstGeom prst="rect">
                      <a:avLst/>
                    </a:prstGeom>
                    <a:noFill/>
                    <a:ln>
                      <a:noFill/>
                    </a:ln>
                  </pic:spPr>
                </pic:pic>
              </a:graphicData>
            </a:graphic>
          </wp:inline>
        </w:drawing>
      </w:r>
    </w:p>
    <w:p w14:paraId="6EE1E421" w14:textId="77777777" w:rsidR="00DA2EF9" w:rsidRDefault="00DA2EF9" w:rsidP="00DA2EF9">
      <w:pPr>
        <w:spacing w:before="120" w:after="240"/>
        <w:jc w:val="both"/>
        <w:rPr>
          <w:rFonts w:ascii="Arial Narrow" w:hAnsi="Arial Narrow" w:cs="Arial"/>
          <w:spacing w:val="-2"/>
          <w:sz w:val="24"/>
          <w:szCs w:val="24"/>
        </w:rPr>
      </w:pPr>
      <w:r w:rsidRPr="00CB06EB">
        <w:rPr>
          <w:rFonts w:ascii="Arial Narrow" w:hAnsi="Arial Narrow" w:cs="Arial"/>
          <w:spacing w:val="-2"/>
          <w:sz w:val="24"/>
          <w:szCs w:val="24"/>
        </w:rPr>
        <w:t>El detalle de los vencimientos de los instrumentos financieros de act</w:t>
      </w:r>
      <w:r>
        <w:rPr>
          <w:rFonts w:ascii="Arial Narrow" w:hAnsi="Arial Narrow" w:cs="Arial"/>
          <w:spacing w:val="-2"/>
          <w:sz w:val="24"/>
          <w:szCs w:val="24"/>
        </w:rPr>
        <w:t xml:space="preserve">ivo al </w:t>
      </w:r>
      <w:r w:rsidRPr="00B20B5C">
        <w:rPr>
          <w:rFonts w:ascii="Arial Narrow" w:hAnsi="Arial Narrow" w:cs="Arial"/>
          <w:spacing w:val="-2"/>
          <w:sz w:val="24"/>
          <w:szCs w:val="24"/>
        </w:rPr>
        <w:t xml:space="preserve">cierre del ejercicio </w:t>
      </w:r>
      <w:r w:rsidR="002124A6">
        <w:rPr>
          <w:rFonts w:ascii="Arial Narrow" w:hAnsi="Arial Narrow" w:cs="Arial"/>
          <w:spacing w:val="-2"/>
          <w:sz w:val="24"/>
          <w:szCs w:val="24"/>
        </w:rPr>
        <w:t>201</w:t>
      </w:r>
      <w:r w:rsidR="00547045">
        <w:rPr>
          <w:rFonts w:ascii="Arial Narrow" w:hAnsi="Arial Narrow" w:cs="Arial"/>
          <w:spacing w:val="-2"/>
          <w:sz w:val="24"/>
          <w:szCs w:val="24"/>
        </w:rPr>
        <w:t>8</w:t>
      </w:r>
      <w:r w:rsidR="002124A6" w:rsidRPr="00B20B5C">
        <w:rPr>
          <w:rFonts w:ascii="Arial Narrow" w:hAnsi="Arial Narrow" w:cs="Arial"/>
          <w:spacing w:val="-2"/>
          <w:sz w:val="24"/>
          <w:szCs w:val="24"/>
        </w:rPr>
        <w:t xml:space="preserve"> </w:t>
      </w:r>
      <w:r w:rsidRPr="00B20B5C">
        <w:rPr>
          <w:rFonts w:ascii="Arial Narrow" w:hAnsi="Arial Narrow" w:cs="Arial"/>
          <w:spacing w:val="-2"/>
          <w:sz w:val="24"/>
          <w:szCs w:val="24"/>
        </w:rPr>
        <w:t xml:space="preserve">es el </w:t>
      </w:r>
      <w:r w:rsidRPr="00CB06EB">
        <w:rPr>
          <w:rFonts w:ascii="Arial Narrow" w:hAnsi="Arial Narrow" w:cs="Arial"/>
          <w:spacing w:val="-2"/>
          <w:sz w:val="24"/>
          <w:szCs w:val="24"/>
        </w:rPr>
        <w:t>siguiente, en euros:</w:t>
      </w:r>
    </w:p>
    <w:p w14:paraId="0BB7EFF7" w14:textId="77777777" w:rsidR="00A66500" w:rsidRDefault="000F1778" w:rsidP="00A66500">
      <w:pPr>
        <w:spacing w:before="120" w:after="240"/>
        <w:jc w:val="both"/>
        <w:rPr>
          <w:rFonts w:ascii="Arial Narrow" w:hAnsi="Arial Narrow" w:cs="Arial"/>
          <w:b/>
          <w:snapToGrid w:val="0"/>
          <w:sz w:val="24"/>
          <w:szCs w:val="24"/>
          <w:u w:val="single"/>
          <w:lang w:eastAsia="es-ES"/>
        </w:rPr>
      </w:pPr>
      <w:r w:rsidRPr="000F1778">
        <w:rPr>
          <w:noProof/>
          <w:lang w:val="es-ES" w:eastAsia="es-ES"/>
        </w:rPr>
        <w:drawing>
          <wp:inline distT="0" distB="0" distL="0" distR="0" wp14:anchorId="398CF925" wp14:editId="703EC0A7">
            <wp:extent cx="5528945" cy="87122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7455" cy="872561"/>
                    </a:xfrm>
                    <a:prstGeom prst="rect">
                      <a:avLst/>
                    </a:prstGeom>
                    <a:noFill/>
                    <a:ln>
                      <a:noFill/>
                    </a:ln>
                  </pic:spPr>
                </pic:pic>
              </a:graphicData>
            </a:graphic>
          </wp:inline>
        </w:drawing>
      </w:r>
    </w:p>
    <w:p w14:paraId="60460D7F" w14:textId="77777777" w:rsidR="00242CD2" w:rsidRDefault="00242CD2" w:rsidP="00A66500">
      <w:pPr>
        <w:spacing w:before="120" w:after="240"/>
        <w:jc w:val="both"/>
        <w:rPr>
          <w:rFonts w:ascii="Arial Narrow" w:hAnsi="Arial Narrow" w:cs="Arial"/>
          <w:b/>
          <w:snapToGrid w:val="0"/>
          <w:sz w:val="24"/>
          <w:szCs w:val="24"/>
          <w:u w:val="single"/>
          <w:lang w:eastAsia="es-ES"/>
        </w:rPr>
      </w:pPr>
    </w:p>
    <w:p w14:paraId="38DEA86D" w14:textId="77777777" w:rsidR="00A66500" w:rsidRDefault="00FE58D2" w:rsidP="00A66500">
      <w:pPr>
        <w:spacing w:before="120" w:after="240"/>
        <w:jc w:val="both"/>
        <w:rPr>
          <w:rFonts w:ascii="Arial Narrow" w:hAnsi="Arial Narrow" w:cs="Arial"/>
          <w:b/>
          <w:snapToGrid w:val="0"/>
          <w:sz w:val="24"/>
          <w:szCs w:val="24"/>
          <w:u w:val="single"/>
          <w:lang w:eastAsia="es-ES"/>
        </w:rPr>
      </w:pPr>
      <w:r w:rsidRPr="00CB06EB">
        <w:rPr>
          <w:rFonts w:ascii="Arial Narrow" w:hAnsi="Arial Narrow" w:cs="Arial"/>
          <w:b/>
          <w:snapToGrid w:val="0"/>
          <w:sz w:val="24"/>
          <w:szCs w:val="24"/>
          <w:u w:val="single"/>
          <w:lang w:eastAsia="es-ES"/>
        </w:rPr>
        <w:t xml:space="preserve">9.1.5 </w:t>
      </w:r>
      <w:r w:rsidR="005F13DD" w:rsidRPr="00CB06EB">
        <w:rPr>
          <w:rFonts w:ascii="Arial Narrow" w:hAnsi="Arial Narrow" w:cs="Arial"/>
          <w:b/>
          <w:snapToGrid w:val="0"/>
          <w:sz w:val="24"/>
          <w:szCs w:val="24"/>
          <w:u w:val="single"/>
          <w:lang w:eastAsia="es-ES"/>
        </w:rPr>
        <w:t>Participaciones en empresas del grupo, multigrupo y asociadas</w:t>
      </w:r>
    </w:p>
    <w:p w14:paraId="7B433935" w14:textId="77777777" w:rsidR="00A66500" w:rsidRDefault="005F13DD" w:rsidP="00A66500">
      <w:pPr>
        <w:spacing w:before="120" w:after="240"/>
        <w:jc w:val="both"/>
        <w:rPr>
          <w:rFonts w:ascii="Arial Narrow" w:hAnsi="Arial Narrow" w:cs="Arial"/>
          <w:sz w:val="24"/>
          <w:szCs w:val="24"/>
          <w:u w:val="single"/>
        </w:rPr>
      </w:pPr>
      <w:r w:rsidRPr="00430AE3">
        <w:rPr>
          <w:rFonts w:ascii="Arial Narrow" w:hAnsi="Arial Narrow" w:cs="Arial"/>
          <w:sz w:val="24"/>
          <w:szCs w:val="24"/>
        </w:rPr>
        <w:t xml:space="preserve">a) </w:t>
      </w:r>
      <w:r w:rsidRPr="00430AE3">
        <w:rPr>
          <w:rFonts w:ascii="Arial Narrow" w:hAnsi="Arial Narrow" w:cs="Arial"/>
          <w:sz w:val="24"/>
          <w:szCs w:val="24"/>
          <w:u w:val="single"/>
        </w:rPr>
        <w:t>Participaciones en empresas asociadas</w:t>
      </w:r>
    </w:p>
    <w:p w14:paraId="164BD1AD" w14:textId="5CF6A7E1" w:rsidR="00547045" w:rsidRDefault="005F13DD" w:rsidP="00A66500">
      <w:pPr>
        <w:spacing w:before="120" w:after="240"/>
        <w:jc w:val="both"/>
        <w:rPr>
          <w:rFonts w:ascii="Arial Narrow" w:hAnsi="Arial Narrow" w:cs="Arial"/>
          <w:spacing w:val="-2"/>
          <w:sz w:val="24"/>
          <w:szCs w:val="24"/>
        </w:rPr>
      </w:pPr>
      <w:r w:rsidRPr="00E740BB">
        <w:rPr>
          <w:rFonts w:ascii="Arial Narrow" w:hAnsi="Arial Narrow" w:cs="Arial"/>
          <w:spacing w:val="-2"/>
          <w:sz w:val="24"/>
          <w:szCs w:val="24"/>
        </w:rPr>
        <w:t>El detalle y los movimientos de las distintas partidas que componen este epígrafe a 31 de diciembre de 201</w:t>
      </w:r>
      <w:r w:rsidR="00547045">
        <w:rPr>
          <w:rFonts w:ascii="Arial Narrow" w:hAnsi="Arial Narrow" w:cs="Arial"/>
          <w:spacing w:val="-2"/>
          <w:sz w:val="24"/>
          <w:szCs w:val="24"/>
        </w:rPr>
        <w:t>9</w:t>
      </w:r>
      <w:r w:rsidRPr="00E740BB">
        <w:rPr>
          <w:rFonts w:ascii="Arial Narrow" w:hAnsi="Arial Narrow" w:cs="Arial"/>
          <w:spacing w:val="-2"/>
          <w:sz w:val="24"/>
          <w:szCs w:val="24"/>
        </w:rPr>
        <w:t xml:space="preserve"> y 201</w:t>
      </w:r>
      <w:r w:rsidR="00547045">
        <w:rPr>
          <w:rFonts w:ascii="Arial Narrow" w:hAnsi="Arial Narrow" w:cs="Arial"/>
          <w:spacing w:val="-2"/>
          <w:sz w:val="24"/>
          <w:szCs w:val="24"/>
        </w:rPr>
        <w:t>8</w:t>
      </w:r>
      <w:r w:rsidRPr="00E740BB">
        <w:rPr>
          <w:rFonts w:ascii="Arial Narrow" w:hAnsi="Arial Narrow" w:cs="Arial"/>
          <w:spacing w:val="-2"/>
          <w:sz w:val="24"/>
          <w:szCs w:val="24"/>
        </w:rPr>
        <w:t xml:space="preserve"> son los siguientes</w:t>
      </w:r>
      <w:r w:rsidRPr="00CB06EB">
        <w:rPr>
          <w:rFonts w:ascii="Arial Narrow" w:hAnsi="Arial Narrow" w:cs="Arial"/>
          <w:spacing w:val="-2"/>
          <w:sz w:val="24"/>
          <w:szCs w:val="24"/>
        </w:rPr>
        <w:t>:</w:t>
      </w:r>
    </w:p>
    <w:p w14:paraId="75B79F4E" w14:textId="77777777" w:rsidR="00547045" w:rsidRDefault="000F1778" w:rsidP="00547045">
      <w:pPr>
        <w:keepNext/>
        <w:keepLines/>
        <w:spacing w:before="120" w:after="240"/>
        <w:jc w:val="center"/>
        <w:rPr>
          <w:rFonts w:ascii="Arial Narrow" w:hAnsi="Arial Narrow" w:cs="Arial"/>
          <w:spacing w:val="-2"/>
          <w:sz w:val="24"/>
          <w:szCs w:val="24"/>
        </w:rPr>
      </w:pPr>
      <w:r w:rsidRPr="000F1778">
        <w:rPr>
          <w:noProof/>
          <w:lang w:val="es-ES" w:eastAsia="es-ES"/>
        </w:rPr>
        <w:drawing>
          <wp:inline distT="0" distB="0" distL="0" distR="0" wp14:anchorId="3271BA0F" wp14:editId="4FFBA0CC">
            <wp:extent cx="3200400" cy="55537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2926" cy="555809"/>
                    </a:xfrm>
                    <a:prstGeom prst="rect">
                      <a:avLst/>
                    </a:prstGeom>
                    <a:noFill/>
                    <a:ln>
                      <a:noFill/>
                    </a:ln>
                  </pic:spPr>
                </pic:pic>
              </a:graphicData>
            </a:graphic>
          </wp:inline>
        </w:drawing>
      </w:r>
    </w:p>
    <w:p w14:paraId="65545F34" w14:textId="77777777" w:rsidR="009C5E01" w:rsidRDefault="009C5E01" w:rsidP="005F13DD">
      <w:pPr>
        <w:spacing w:before="240" w:after="120"/>
        <w:jc w:val="both"/>
        <w:rPr>
          <w:rFonts w:ascii="Arial Narrow" w:hAnsi="Arial Narrow" w:cs="Arial"/>
          <w:spacing w:val="-2"/>
          <w:sz w:val="24"/>
          <w:szCs w:val="24"/>
        </w:rPr>
      </w:pPr>
    </w:p>
    <w:p w14:paraId="402D96E5" w14:textId="77777777" w:rsidR="009C5E01" w:rsidRDefault="009C5E01" w:rsidP="005F13DD">
      <w:pPr>
        <w:spacing w:before="240" w:after="120"/>
        <w:jc w:val="both"/>
        <w:rPr>
          <w:rFonts w:ascii="Arial Narrow" w:hAnsi="Arial Narrow" w:cs="Arial"/>
          <w:spacing w:val="-2"/>
          <w:sz w:val="24"/>
          <w:szCs w:val="24"/>
        </w:rPr>
      </w:pPr>
    </w:p>
    <w:p w14:paraId="20675BCA" w14:textId="70D5410E" w:rsidR="005F13DD" w:rsidRDefault="005F13DD" w:rsidP="005F13DD">
      <w:pPr>
        <w:spacing w:before="240" w:after="120"/>
        <w:jc w:val="both"/>
        <w:rPr>
          <w:rFonts w:ascii="Arial Narrow" w:hAnsi="Arial Narrow" w:cs="Arial"/>
          <w:spacing w:val="-2"/>
          <w:sz w:val="24"/>
          <w:szCs w:val="24"/>
        </w:rPr>
      </w:pPr>
      <w:r w:rsidRPr="0082582E">
        <w:rPr>
          <w:rFonts w:ascii="Arial Narrow" w:hAnsi="Arial Narrow" w:cs="Arial"/>
          <w:spacing w:val="-2"/>
          <w:sz w:val="24"/>
          <w:szCs w:val="24"/>
        </w:rPr>
        <w:t xml:space="preserve">Los datos correspondientes a las empresas asociadas al 31 de </w:t>
      </w:r>
      <w:r w:rsidRPr="003B7709">
        <w:rPr>
          <w:rFonts w:ascii="Arial Narrow" w:hAnsi="Arial Narrow" w:cs="Arial"/>
          <w:spacing w:val="-2"/>
          <w:sz w:val="24"/>
          <w:szCs w:val="24"/>
        </w:rPr>
        <w:t>diciembre de 20</w:t>
      </w:r>
      <w:r w:rsidR="00547045">
        <w:rPr>
          <w:rFonts w:ascii="Arial Narrow" w:hAnsi="Arial Narrow" w:cs="Arial"/>
          <w:spacing w:val="-2"/>
          <w:sz w:val="24"/>
          <w:szCs w:val="24"/>
        </w:rPr>
        <w:t>19</w:t>
      </w:r>
      <w:r w:rsidRPr="003B7709">
        <w:rPr>
          <w:rFonts w:ascii="Arial Narrow" w:hAnsi="Arial Narrow" w:cs="Arial"/>
          <w:spacing w:val="-2"/>
          <w:sz w:val="24"/>
          <w:szCs w:val="24"/>
        </w:rPr>
        <w:t xml:space="preserve"> y 201</w:t>
      </w:r>
      <w:r w:rsidR="00547045">
        <w:rPr>
          <w:rFonts w:ascii="Arial Narrow" w:hAnsi="Arial Narrow" w:cs="Arial"/>
          <w:spacing w:val="-2"/>
          <w:sz w:val="24"/>
          <w:szCs w:val="24"/>
        </w:rPr>
        <w:t>8</w:t>
      </w:r>
      <w:r w:rsidRPr="003B7709">
        <w:rPr>
          <w:rFonts w:ascii="Arial Narrow" w:hAnsi="Arial Narrow" w:cs="Arial"/>
          <w:spacing w:val="-2"/>
          <w:sz w:val="24"/>
          <w:szCs w:val="24"/>
        </w:rPr>
        <w:t xml:space="preserve"> son </w:t>
      </w:r>
      <w:r w:rsidRPr="0082582E">
        <w:rPr>
          <w:rFonts w:ascii="Arial Narrow" w:hAnsi="Arial Narrow" w:cs="Arial"/>
          <w:spacing w:val="-2"/>
          <w:sz w:val="24"/>
          <w:szCs w:val="24"/>
        </w:rPr>
        <w:t>los siguientes:</w:t>
      </w:r>
    </w:p>
    <w:tbl>
      <w:tblPr>
        <w:tblW w:w="5180" w:type="pct"/>
        <w:tblLayout w:type="fixed"/>
        <w:tblCellMar>
          <w:left w:w="70" w:type="dxa"/>
          <w:right w:w="70" w:type="dxa"/>
        </w:tblCellMar>
        <w:tblLook w:val="04A0" w:firstRow="1" w:lastRow="0" w:firstColumn="1" w:lastColumn="0" w:noHBand="0" w:noVBand="1"/>
      </w:tblPr>
      <w:tblGrid>
        <w:gridCol w:w="3535"/>
        <w:gridCol w:w="1258"/>
        <w:gridCol w:w="1189"/>
        <w:gridCol w:w="1401"/>
        <w:gridCol w:w="2161"/>
      </w:tblGrid>
      <w:tr w:rsidR="00F56ADE" w:rsidRPr="003B7709" w14:paraId="06A4086C" w14:textId="77777777" w:rsidTr="00F24AEC">
        <w:trPr>
          <w:trHeight w:val="476"/>
        </w:trPr>
        <w:tc>
          <w:tcPr>
            <w:tcW w:w="1852" w:type="pct"/>
            <w:tcBorders>
              <w:top w:val="nil"/>
              <w:left w:val="nil"/>
              <w:bottom w:val="nil"/>
              <w:right w:val="nil"/>
            </w:tcBorders>
            <w:shd w:val="clear" w:color="000000" w:fill="CCCCCC"/>
            <w:vAlign w:val="center"/>
            <w:hideMark/>
          </w:tcPr>
          <w:p w14:paraId="0025C6A1" w14:textId="77777777" w:rsidR="005F13DD" w:rsidRPr="00730F28" w:rsidRDefault="005F13DD" w:rsidP="00F24AEC">
            <w:pPr>
              <w:jc w:val="center"/>
              <w:rPr>
                <w:rFonts w:ascii="Arial Narrow" w:hAnsi="Arial Narrow"/>
                <w:b/>
                <w:bCs/>
                <w:sz w:val="18"/>
                <w:szCs w:val="18"/>
                <w:lang w:eastAsia="es-ES"/>
              </w:rPr>
            </w:pPr>
          </w:p>
        </w:tc>
        <w:tc>
          <w:tcPr>
            <w:tcW w:w="659" w:type="pct"/>
            <w:tcBorders>
              <w:top w:val="nil"/>
              <w:left w:val="nil"/>
              <w:bottom w:val="nil"/>
              <w:right w:val="nil"/>
            </w:tcBorders>
            <w:shd w:val="clear" w:color="000000" w:fill="CCCCCC"/>
            <w:vAlign w:val="center"/>
            <w:hideMark/>
          </w:tcPr>
          <w:p w14:paraId="4441D0CD" w14:textId="77777777" w:rsidR="005F13DD" w:rsidRPr="003B7709" w:rsidRDefault="005F13DD" w:rsidP="00F24AEC">
            <w:pPr>
              <w:jc w:val="center"/>
              <w:rPr>
                <w:rFonts w:ascii="Arial Narrow" w:hAnsi="Arial Narrow"/>
                <w:b/>
                <w:bCs/>
                <w:sz w:val="18"/>
                <w:szCs w:val="18"/>
                <w:lang w:eastAsia="es-ES"/>
              </w:rPr>
            </w:pPr>
            <w:r w:rsidRPr="003B7709">
              <w:rPr>
                <w:rFonts w:ascii="Arial Narrow" w:hAnsi="Arial Narrow"/>
                <w:b/>
                <w:bCs/>
                <w:sz w:val="18"/>
                <w:szCs w:val="18"/>
                <w:lang w:eastAsia="es-ES"/>
              </w:rPr>
              <w:t>% de participación</w:t>
            </w:r>
          </w:p>
        </w:tc>
        <w:tc>
          <w:tcPr>
            <w:tcW w:w="623" w:type="pct"/>
            <w:tcBorders>
              <w:top w:val="nil"/>
              <w:left w:val="nil"/>
              <w:bottom w:val="nil"/>
              <w:right w:val="nil"/>
            </w:tcBorders>
            <w:shd w:val="clear" w:color="000000" w:fill="CCCCCC"/>
            <w:vAlign w:val="center"/>
            <w:hideMark/>
          </w:tcPr>
          <w:p w14:paraId="2BF418CC" w14:textId="77777777" w:rsidR="005F13DD" w:rsidRPr="003B7709" w:rsidRDefault="005F13DD" w:rsidP="00F24AEC">
            <w:pPr>
              <w:jc w:val="center"/>
              <w:rPr>
                <w:rFonts w:ascii="Arial Narrow" w:hAnsi="Arial Narrow"/>
                <w:b/>
                <w:bCs/>
                <w:sz w:val="18"/>
                <w:szCs w:val="18"/>
                <w:lang w:eastAsia="es-ES"/>
              </w:rPr>
            </w:pPr>
            <w:r w:rsidRPr="003B7709">
              <w:rPr>
                <w:rFonts w:ascii="Arial Narrow" w:hAnsi="Arial Narrow"/>
                <w:b/>
                <w:bCs/>
                <w:sz w:val="18"/>
                <w:szCs w:val="18"/>
                <w:lang w:eastAsia="es-ES"/>
              </w:rPr>
              <w:t>Tipo de participación</w:t>
            </w:r>
          </w:p>
        </w:tc>
        <w:tc>
          <w:tcPr>
            <w:tcW w:w="734" w:type="pct"/>
            <w:tcBorders>
              <w:top w:val="nil"/>
              <w:left w:val="nil"/>
              <w:bottom w:val="nil"/>
              <w:right w:val="nil"/>
            </w:tcBorders>
            <w:shd w:val="clear" w:color="000000" w:fill="CCCCCC"/>
            <w:vAlign w:val="center"/>
            <w:hideMark/>
          </w:tcPr>
          <w:p w14:paraId="4E68278B" w14:textId="77777777" w:rsidR="005F13DD" w:rsidRPr="003B7709" w:rsidRDefault="005F13DD" w:rsidP="00F24AEC">
            <w:pPr>
              <w:jc w:val="center"/>
              <w:rPr>
                <w:rFonts w:ascii="Arial Narrow" w:hAnsi="Arial Narrow"/>
                <w:b/>
                <w:bCs/>
                <w:sz w:val="18"/>
                <w:szCs w:val="18"/>
                <w:lang w:eastAsia="es-ES"/>
              </w:rPr>
            </w:pPr>
            <w:r w:rsidRPr="003B7709">
              <w:rPr>
                <w:rFonts w:ascii="Arial Narrow" w:hAnsi="Arial Narrow"/>
                <w:b/>
                <w:bCs/>
                <w:sz w:val="18"/>
                <w:szCs w:val="18"/>
                <w:lang w:eastAsia="es-ES"/>
              </w:rPr>
              <w:t>Domicilio</w:t>
            </w:r>
          </w:p>
        </w:tc>
        <w:tc>
          <w:tcPr>
            <w:tcW w:w="1132" w:type="pct"/>
            <w:tcBorders>
              <w:top w:val="nil"/>
              <w:left w:val="nil"/>
              <w:bottom w:val="nil"/>
              <w:right w:val="nil"/>
            </w:tcBorders>
            <w:shd w:val="clear" w:color="000000" w:fill="CCCCCC"/>
            <w:vAlign w:val="center"/>
            <w:hideMark/>
          </w:tcPr>
          <w:p w14:paraId="0CC1ECBF" w14:textId="77777777" w:rsidR="005F13DD" w:rsidRPr="003B7709" w:rsidRDefault="005F13DD" w:rsidP="00F24AEC">
            <w:pPr>
              <w:jc w:val="center"/>
              <w:rPr>
                <w:rFonts w:ascii="Arial Narrow" w:hAnsi="Arial Narrow"/>
                <w:b/>
                <w:bCs/>
                <w:sz w:val="18"/>
                <w:szCs w:val="18"/>
                <w:lang w:eastAsia="es-ES"/>
              </w:rPr>
            </w:pPr>
            <w:r w:rsidRPr="003B7709">
              <w:rPr>
                <w:rFonts w:ascii="Arial Narrow" w:hAnsi="Arial Narrow"/>
                <w:b/>
                <w:bCs/>
                <w:sz w:val="18"/>
                <w:szCs w:val="18"/>
                <w:lang w:eastAsia="es-ES"/>
              </w:rPr>
              <w:t>Actividad</w:t>
            </w:r>
          </w:p>
        </w:tc>
      </w:tr>
      <w:tr w:rsidR="00F56ADE" w:rsidRPr="003B7709" w14:paraId="19C47E8C" w14:textId="77777777" w:rsidTr="00F24AEC">
        <w:trPr>
          <w:trHeight w:val="272"/>
        </w:trPr>
        <w:tc>
          <w:tcPr>
            <w:tcW w:w="1852" w:type="pct"/>
            <w:tcBorders>
              <w:top w:val="nil"/>
              <w:left w:val="nil"/>
              <w:bottom w:val="nil"/>
              <w:right w:val="nil"/>
            </w:tcBorders>
            <w:shd w:val="clear" w:color="auto" w:fill="auto"/>
            <w:noWrap/>
            <w:vAlign w:val="center"/>
            <w:hideMark/>
          </w:tcPr>
          <w:p w14:paraId="5DE3D114"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 xml:space="preserve">Parques Eólicos Gaviota, S.A. </w:t>
            </w:r>
            <w:r w:rsidRPr="003B7709">
              <w:rPr>
                <w:rFonts w:ascii="Arial Narrow" w:hAnsi="Arial Narrow"/>
                <w:b/>
                <w:sz w:val="18"/>
                <w:szCs w:val="18"/>
                <w:lang w:eastAsia="es-ES"/>
              </w:rPr>
              <w:t>(PEGASA)</w:t>
            </w:r>
          </w:p>
        </w:tc>
        <w:tc>
          <w:tcPr>
            <w:tcW w:w="659" w:type="pct"/>
            <w:tcBorders>
              <w:top w:val="nil"/>
              <w:left w:val="nil"/>
              <w:bottom w:val="nil"/>
              <w:right w:val="nil"/>
            </w:tcBorders>
            <w:shd w:val="clear" w:color="auto" w:fill="auto"/>
            <w:noWrap/>
            <w:vAlign w:val="center"/>
            <w:hideMark/>
          </w:tcPr>
          <w:p w14:paraId="07D8CECD" w14:textId="77777777" w:rsidR="005F13DD" w:rsidRPr="003B7709" w:rsidRDefault="005F13DD" w:rsidP="00482FB6">
            <w:pPr>
              <w:jc w:val="center"/>
              <w:rPr>
                <w:rFonts w:ascii="Arial Narrow" w:hAnsi="Arial Narrow"/>
                <w:sz w:val="18"/>
                <w:szCs w:val="18"/>
                <w:lang w:eastAsia="es-ES"/>
              </w:rPr>
            </w:pPr>
            <w:r w:rsidRPr="00FF2AD6">
              <w:rPr>
                <w:rFonts w:ascii="Arial Narrow" w:hAnsi="Arial Narrow"/>
                <w:sz w:val="18"/>
                <w:szCs w:val="18"/>
                <w:lang w:eastAsia="es-ES"/>
              </w:rPr>
              <w:t>28,00%</w:t>
            </w:r>
          </w:p>
        </w:tc>
        <w:tc>
          <w:tcPr>
            <w:tcW w:w="623" w:type="pct"/>
            <w:tcBorders>
              <w:top w:val="nil"/>
              <w:left w:val="nil"/>
              <w:bottom w:val="nil"/>
              <w:right w:val="nil"/>
            </w:tcBorders>
            <w:shd w:val="clear" w:color="auto" w:fill="auto"/>
            <w:noWrap/>
            <w:vAlign w:val="center"/>
            <w:hideMark/>
          </w:tcPr>
          <w:p w14:paraId="23823C7B"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Directa</w:t>
            </w:r>
          </w:p>
        </w:tc>
        <w:tc>
          <w:tcPr>
            <w:tcW w:w="734" w:type="pct"/>
            <w:tcBorders>
              <w:top w:val="nil"/>
              <w:left w:val="nil"/>
              <w:bottom w:val="nil"/>
              <w:right w:val="nil"/>
            </w:tcBorders>
            <w:shd w:val="clear" w:color="auto" w:fill="auto"/>
            <w:noWrap/>
            <w:vAlign w:val="center"/>
            <w:hideMark/>
          </w:tcPr>
          <w:p w14:paraId="56570264"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Las Palmas de G.C.</w:t>
            </w:r>
          </w:p>
        </w:tc>
        <w:tc>
          <w:tcPr>
            <w:tcW w:w="1132" w:type="pct"/>
            <w:tcBorders>
              <w:top w:val="nil"/>
              <w:left w:val="nil"/>
              <w:bottom w:val="nil"/>
              <w:right w:val="nil"/>
            </w:tcBorders>
            <w:shd w:val="clear" w:color="auto" w:fill="auto"/>
            <w:noWrap/>
            <w:vAlign w:val="center"/>
            <w:hideMark/>
          </w:tcPr>
          <w:p w14:paraId="630389A6"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Parque eólico</w:t>
            </w:r>
          </w:p>
        </w:tc>
      </w:tr>
      <w:tr w:rsidR="00F56ADE" w:rsidRPr="003B7709" w14:paraId="08E481C7" w14:textId="77777777" w:rsidTr="00F24AEC">
        <w:trPr>
          <w:trHeight w:val="272"/>
        </w:trPr>
        <w:tc>
          <w:tcPr>
            <w:tcW w:w="1852" w:type="pct"/>
            <w:tcBorders>
              <w:top w:val="nil"/>
              <w:left w:val="nil"/>
              <w:bottom w:val="nil"/>
              <w:right w:val="nil"/>
            </w:tcBorders>
            <w:shd w:val="clear" w:color="auto" w:fill="auto"/>
            <w:noWrap/>
            <w:vAlign w:val="center"/>
            <w:hideMark/>
          </w:tcPr>
          <w:p w14:paraId="22378126"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 xml:space="preserve">Parque Tecnológico de Telde, S.A. </w:t>
            </w:r>
            <w:r w:rsidRPr="003B7709">
              <w:rPr>
                <w:rFonts w:ascii="Arial Narrow" w:hAnsi="Arial Narrow"/>
                <w:b/>
                <w:sz w:val="18"/>
                <w:szCs w:val="18"/>
                <w:lang w:eastAsia="es-ES"/>
              </w:rPr>
              <w:t>(PTT)</w:t>
            </w:r>
          </w:p>
        </w:tc>
        <w:tc>
          <w:tcPr>
            <w:tcW w:w="659" w:type="pct"/>
            <w:tcBorders>
              <w:top w:val="nil"/>
              <w:left w:val="nil"/>
              <w:bottom w:val="nil"/>
              <w:right w:val="nil"/>
            </w:tcBorders>
            <w:shd w:val="clear" w:color="auto" w:fill="auto"/>
            <w:noWrap/>
            <w:vAlign w:val="center"/>
            <w:hideMark/>
          </w:tcPr>
          <w:p w14:paraId="466262CD"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37,99%</w:t>
            </w:r>
          </w:p>
        </w:tc>
        <w:tc>
          <w:tcPr>
            <w:tcW w:w="623" w:type="pct"/>
            <w:tcBorders>
              <w:top w:val="nil"/>
              <w:left w:val="nil"/>
              <w:bottom w:val="nil"/>
              <w:right w:val="nil"/>
            </w:tcBorders>
            <w:shd w:val="clear" w:color="auto" w:fill="auto"/>
            <w:noWrap/>
            <w:vAlign w:val="center"/>
            <w:hideMark/>
          </w:tcPr>
          <w:p w14:paraId="47751DB3"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Directa</w:t>
            </w:r>
          </w:p>
        </w:tc>
        <w:tc>
          <w:tcPr>
            <w:tcW w:w="734" w:type="pct"/>
            <w:tcBorders>
              <w:top w:val="nil"/>
              <w:left w:val="nil"/>
              <w:bottom w:val="nil"/>
              <w:right w:val="nil"/>
            </w:tcBorders>
            <w:shd w:val="clear" w:color="auto" w:fill="auto"/>
            <w:noWrap/>
            <w:vAlign w:val="center"/>
            <w:hideMark/>
          </w:tcPr>
          <w:p w14:paraId="730143F3"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Telde</w:t>
            </w:r>
          </w:p>
        </w:tc>
        <w:tc>
          <w:tcPr>
            <w:tcW w:w="1132" w:type="pct"/>
            <w:tcBorders>
              <w:top w:val="nil"/>
              <w:left w:val="nil"/>
              <w:bottom w:val="nil"/>
              <w:right w:val="nil"/>
            </w:tcBorders>
            <w:shd w:val="clear" w:color="auto" w:fill="auto"/>
            <w:noWrap/>
            <w:vAlign w:val="center"/>
            <w:hideMark/>
          </w:tcPr>
          <w:p w14:paraId="1298BF03"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Parque empresarial</w:t>
            </w:r>
          </w:p>
        </w:tc>
      </w:tr>
      <w:tr w:rsidR="00F56ADE" w:rsidRPr="003B7709" w14:paraId="1E44F54D" w14:textId="77777777" w:rsidTr="00F24AEC">
        <w:trPr>
          <w:trHeight w:val="272"/>
        </w:trPr>
        <w:tc>
          <w:tcPr>
            <w:tcW w:w="1852" w:type="pct"/>
            <w:tcBorders>
              <w:top w:val="nil"/>
              <w:left w:val="nil"/>
              <w:bottom w:val="nil"/>
              <w:right w:val="nil"/>
            </w:tcBorders>
            <w:shd w:val="clear" w:color="auto" w:fill="auto"/>
            <w:noWrap/>
            <w:vAlign w:val="center"/>
            <w:hideMark/>
          </w:tcPr>
          <w:p w14:paraId="41535ECC"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 xml:space="preserve">Megaturbinas Arinaga, S.A. </w:t>
            </w:r>
            <w:r w:rsidRPr="003B7709">
              <w:rPr>
                <w:rFonts w:ascii="Arial Narrow" w:hAnsi="Arial Narrow"/>
                <w:b/>
                <w:sz w:val="18"/>
                <w:szCs w:val="18"/>
                <w:lang w:eastAsia="es-ES"/>
              </w:rPr>
              <w:t>(MEGATURBINAS)</w:t>
            </w:r>
          </w:p>
        </w:tc>
        <w:tc>
          <w:tcPr>
            <w:tcW w:w="659" w:type="pct"/>
            <w:tcBorders>
              <w:top w:val="nil"/>
              <w:left w:val="nil"/>
              <w:bottom w:val="nil"/>
              <w:right w:val="nil"/>
            </w:tcBorders>
            <w:shd w:val="clear" w:color="auto" w:fill="auto"/>
            <w:noWrap/>
            <w:vAlign w:val="center"/>
            <w:hideMark/>
          </w:tcPr>
          <w:p w14:paraId="36689818"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33,33%</w:t>
            </w:r>
          </w:p>
        </w:tc>
        <w:tc>
          <w:tcPr>
            <w:tcW w:w="623" w:type="pct"/>
            <w:tcBorders>
              <w:top w:val="nil"/>
              <w:left w:val="nil"/>
              <w:bottom w:val="nil"/>
              <w:right w:val="nil"/>
            </w:tcBorders>
            <w:shd w:val="clear" w:color="auto" w:fill="auto"/>
            <w:noWrap/>
            <w:vAlign w:val="center"/>
            <w:hideMark/>
          </w:tcPr>
          <w:p w14:paraId="659F9E58"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Directa</w:t>
            </w:r>
          </w:p>
        </w:tc>
        <w:tc>
          <w:tcPr>
            <w:tcW w:w="734" w:type="pct"/>
            <w:tcBorders>
              <w:top w:val="nil"/>
              <w:left w:val="nil"/>
              <w:bottom w:val="nil"/>
              <w:right w:val="nil"/>
            </w:tcBorders>
            <w:shd w:val="clear" w:color="auto" w:fill="auto"/>
            <w:noWrap/>
            <w:vAlign w:val="center"/>
            <w:hideMark/>
          </w:tcPr>
          <w:p w14:paraId="378A76B4"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Las Palmas de G.C.</w:t>
            </w:r>
          </w:p>
        </w:tc>
        <w:tc>
          <w:tcPr>
            <w:tcW w:w="1132" w:type="pct"/>
            <w:tcBorders>
              <w:top w:val="nil"/>
              <w:left w:val="nil"/>
              <w:bottom w:val="nil"/>
              <w:right w:val="nil"/>
            </w:tcBorders>
            <w:shd w:val="clear" w:color="auto" w:fill="auto"/>
            <w:noWrap/>
            <w:vAlign w:val="center"/>
            <w:hideMark/>
          </w:tcPr>
          <w:p w14:paraId="55F89DF9"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Aprovechamiento de energías</w:t>
            </w:r>
          </w:p>
          <w:p w14:paraId="3DD13758"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renovables</w:t>
            </w:r>
          </w:p>
        </w:tc>
      </w:tr>
      <w:tr w:rsidR="00F56ADE" w:rsidRPr="00F56ADE" w14:paraId="223C507D" w14:textId="77777777" w:rsidTr="00F24AEC">
        <w:trPr>
          <w:trHeight w:val="272"/>
        </w:trPr>
        <w:tc>
          <w:tcPr>
            <w:tcW w:w="1852" w:type="pct"/>
            <w:tcBorders>
              <w:top w:val="nil"/>
              <w:left w:val="nil"/>
              <w:bottom w:val="nil"/>
              <w:right w:val="nil"/>
            </w:tcBorders>
            <w:shd w:val="clear" w:color="auto" w:fill="auto"/>
            <w:noWrap/>
            <w:vAlign w:val="center"/>
            <w:hideMark/>
          </w:tcPr>
          <w:p w14:paraId="568345A4" w14:textId="77777777" w:rsidR="005F13DD" w:rsidRPr="003B7709" w:rsidRDefault="005F13DD" w:rsidP="00E85EEB">
            <w:pPr>
              <w:rPr>
                <w:rFonts w:ascii="Arial Narrow" w:hAnsi="Arial Narrow"/>
                <w:sz w:val="18"/>
                <w:szCs w:val="18"/>
                <w:lang w:eastAsia="es-ES"/>
              </w:rPr>
            </w:pPr>
            <w:r w:rsidRPr="003B7709">
              <w:rPr>
                <w:rFonts w:ascii="Arial Narrow" w:hAnsi="Arial Narrow"/>
                <w:sz w:val="18"/>
                <w:szCs w:val="18"/>
                <w:lang w:eastAsia="es-ES"/>
              </w:rPr>
              <w:t>Eólic</w:t>
            </w:r>
            <w:r w:rsidR="00E85EEB">
              <w:rPr>
                <w:rFonts w:ascii="Arial Narrow" w:hAnsi="Arial Narrow"/>
                <w:sz w:val="18"/>
                <w:szCs w:val="18"/>
                <w:lang w:eastAsia="es-ES"/>
              </w:rPr>
              <w:t>o</w:t>
            </w:r>
            <w:r w:rsidRPr="003B7709">
              <w:rPr>
                <w:rFonts w:ascii="Arial Narrow" w:hAnsi="Arial Narrow"/>
                <w:sz w:val="18"/>
                <w:szCs w:val="18"/>
                <w:lang w:eastAsia="es-ES"/>
              </w:rPr>
              <w:t xml:space="preserve">s de Tirajana, </w:t>
            </w:r>
            <w:r w:rsidR="00E85EEB">
              <w:rPr>
                <w:rFonts w:ascii="Arial Narrow" w:hAnsi="Arial Narrow"/>
                <w:sz w:val="18"/>
                <w:szCs w:val="18"/>
                <w:lang w:eastAsia="es-ES"/>
              </w:rPr>
              <w:t>S</w:t>
            </w:r>
            <w:r w:rsidRPr="003B7709">
              <w:rPr>
                <w:rFonts w:ascii="Arial Narrow" w:hAnsi="Arial Narrow"/>
                <w:sz w:val="18"/>
                <w:szCs w:val="18"/>
                <w:lang w:eastAsia="es-ES"/>
              </w:rPr>
              <w:t>.</w:t>
            </w:r>
            <w:r w:rsidR="00E85EEB">
              <w:rPr>
                <w:rFonts w:ascii="Arial Narrow" w:hAnsi="Arial Narrow"/>
                <w:sz w:val="18"/>
                <w:szCs w:val="18"/>
                <w:lang w:eastAsia="es-ES"/>
              </w:rPr>
              <w:t>L</w:t>
            </w:r>
            <w:r w:rsidRPr="003B7709">
              <w:rPr>
                <w:rFonts w:ascii="Arial Narrow" w:hAnsi="Arial Narrow"/>
                <w:sz w:val="18"/>
                <w:szCs w:val="18"/>
                <w:lang w:eastAsia="es-ES"/>
              </w:rPr>
              <w:t xml:space="preserve">. </w:t>
            </w:r>
            <w:r w:rsidRPr="003B7709">
              <w:rPr>
                <w:rFonts w:ascii="Arial Narrow" w:hAnsi="Arial Narrow"/>
                <w:b/>
                <w:sz w:val="18"/>
                <w:szCs w:val="18"/>
                <w:lang w:eastAsia="es-ES"/>
              </w:rPr>
              <w:t>(EÓLIC</w:t>
            </w:r>
            <w:r w:rsidR="00E85EEB">
              <w:rPr>
                <w:rFonts w:ascii="Arial Narrow" w:hAnsi="Arial Narrow"/>
                <w:b/>
                <w:sz w:val="18"/>
                <w:szCs w:val="18"/>
                <w:lang w:eastAsia="es-ES"/>
              </w:rPr>
              <w:t>O</w:t>
            </w:r>
            <w:r w:rsidRPr="003B7709">
              <w:rPr>
                <w:rFonts w:ascii="Arial Narrow" w:hAnsi="Arial Narrow"/>
                <w:b/>
                <w:sz w:val="18"/>
                <w:szCs w:val="18"/>
                <w:lang w:eastAsia="es-ES"/>
              </w:rPr>
              <w:t>S)</w:t>
            </w:r>
          </w:p>
        </w:tc>
        <w:tc>
          <w:tcPr>
            <w:tcW w:w="659" w:type="pct"/>
            <w:tcBorders>
              <w:top w:val="nil"/>
              <w:left w:val="nil"/>
              <w:bottom w:val="nil"/>
              <w:right w:val="nil"/>
            </w:tcBorders>
            <w:shd w:val="clear" w:color="auto" w:fill="auto"/>
            <w:noWrap/>
            <w:vAlign w:val="center"/>
            <w:hideMark/>
          </w:tcPr>
          <w:p w14:paraId="0513870A"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40,00%</w:t>
            </w:r>
          </w:p>
        </w:tc>
        <w:tc>
          <w:tcPr>
            <w:tcW w:w="623" w:type="pct"/>
            <w:tcBorders>
              <w:top w:val="nil"/>
              <w:left w:val="nil"/>
              <w:bottom w:val="nil"/>
              <w:right w:val="nil"/>
            </w:tcBorders>
            <w:shd w:val="clear" w:color="auto" w:fill="auto"/>
            <w:noWrap/>
            <w:vAlign w:val="center"/>
            <w:hideMark/>
          </w:tcPr>
          <w:p w14:paraId="593031AB" w14:textId="77777777" w:rsidR="005F13DD" w:rsidRPr="003B7709" w:rsidRDefault="005F13DD" w:rsidP="00482FB6">
            <w:pPr>
              <w:jc w:val="center"/>
              <w:rPr>
                <w:rFonts w:ascii="Arial Narrow" w:hAnsi="Arial Narrow"/>
                <w:sz w:val="18"/>
                <w:szCs w:val="18"/>
                <w:lang w:eastAsia="es-ES"/>
              </w:rPr>
            </w:pPr>
            <w:r w:rsidRPr="003B7709">
              <w:rPr>
                <w:rFonts w:ascii="Arial Narrow" w:hAnsi="Arial Narrow"/>
                <w:sz w:val="18"/>
                <w:szCs w:val="18"/>
                <w:lang w:eastAsia="es-ES"/>
              </w:rPr>
              <w:t>Directa</w:t>
            </w:r>
          </w:p>
        </w:tc>
        <w:tc>
          <w:tcPr>
            <w:tcW w:w="734" w:type="pct"/>
            <w:tcBorders>
              <w:top w:val="nil"/>
              <w:left w:val="nil"/>
              <w:bottom w:val="nil"/>
              <w:right w:val="nil"/>
            </w:tcBorders>
            <w:shd w:val="clear" w:color="auto" w:fill="auto"/>
            <w:noWrap/>
            <w:vAlign w:val="center"/>
            <w:hideMark/>
          </w:tcPr>
          <w:p w14:paraId="28EE5F50" w14:textId="77777777" w:rsidR="005F13DD" w:rsidRPr="003B7709" w:rsidRDefault="005F13DD" w:rsidP="00482FB6">
            <w:pPr>
              <w:rPr>
                <w:rFonts w:ascii="Arial Narrow" w:hAnsi="Arial Narrow"/>
                <w:sz w:val="18"/>
                <w:szCs w:val="18"/>
                <w:lang w:eastAsia="es-ES"/>
              </w:rPr>
            </w:pPr>
            <w:r w:rsidRPr="003B7709">
              <w:rPr>
                <w:rFonts w:ascii="Arial Narrow" w:hAnsi="Arial Narrow"/>
                <w:sz w:val="18"/>
                <w:szCs w:val="18"/>
                <w:lang w:eastAsia="es-ES"/>
              </w:rPr>
              <w:t>Las Palmas de G.C.</w:t>
            </w:r>
          </w:p>
        </w:tc>
        <w:tc>
          <w:tcPr>
            <w:tcW w:w="1132" w:type="pct"/>
            <w:tcBorders>
              <w:top w:val="nil"/>
              <w:left w:val="nil"/>
              <w:bottom w:val="nil"/>
              <w:right w:val="nil"/>
            </w:tcBorders>
            <w:shd w:val="clear" w:color="auto" w:fill="auto"/>
            <w:noWrap/>
            <w:vAlign w:val="center"/>
            <w:hideMark/>
          </w:tcPr>
          <w:p w14:paraId="5BCB5302" w14:textId="77777777" w:rsidR="005F13DD" w:rsidRPr="00730F28" w:rsidRDefault="005F13DD" w:rsidP="00482FB6">
            <w:pPr>
              <w:rPr>
                <w:rFonts w:ascii="Arial Narrow" w:hAnsi="Arial Narrow"/>
                <w:sz w:val="18"/>
                <w:szCs w:val="18"/>
                <w:lang w:eastAsia="es-ES"/>
              </w:rPr>
            </w:pPr>
            <w:r w:rsidRPr="003B7709">
              <w:rPr>
                <w:rFonts w:ascii="Arial Narrow" w:hAnsi="Arial Narrow"/>
                <w:sz w:val="18"/>
                <w:szCs w:val="18"/>
                <w:lang w:eastAsia="es-ES"/>
              </w:rPr>
              <w:t>Parque eólico</w:t>
            </w:r>
          </w:p>
        </w:tc>
      </w:tr>
      <w:tr w:rsidR="00F56ADE" w:rsidRPr="00F56ADE" w14:paraId="1B3AB182" w14:textId="77777777" w:rsidTr="00F24AEC">
        <w:trPr>
          <w:trHeight w:val="170"/>
        </w:trPr>
        <w:tc>
          <w:tcPr>
            <w:tcW w:w="1852" w:type="pct"/>
            <w:tcBorders>
              <w:top w:val="nil"/>
              <w:left w:val="nil"/>
              <w:bottom w:val="nil"/>
              <w:right w:val="nil"/>
            </w:tcBorders>
            <w:shd w:val="clear" w:color="000000" w:fill="F2F2F2"/>
            <w:noWrap/>
            <w:vAlign w:val="bottom"/>
            <w:hideMark/>
          </w:tcPr>
          <w:p w14:paraId="7EE8A04D" w14:textId="77777777" w:rsidR="005F13DD" w:rsidRPr="00730F28" w:rsidRDefault="005F13DD" w:rsidP="00482FB6">
            <w:pPr>
              <w:rPr>
                <w:rFonts w:ascii="Arial Narrow" w:hAnsi="Arial Narrow"/>
                <w:sz w:val="16"/>
                <w:szCs w:val="16"/>
                <w:lang w:eastAsia="es-ES"/>
              </w:rPr>
            </w:pPr>
          </w:p>
        </w:tc>
        <w:tc>
          <w:tcPr>
            <w:tcW w:w="659" w:type="pct"/>
            <w:tcBorders>
              <w:top w:val="nil"/>
              <w:left w:val="nil"/>
              <w:bottom w:val="nil"/>
              <w:right w:val="nil"/>
            </w:tcBorders>
            <w:shd w:val="clear" w:color="000000" w:fill="F2F2F2"/>
            <w:noWrap/>
            <w:vAlign w:val="bottom"/>
            <w:hideMark/>
          </w:tcPr>
          <w:p w14:paraId="3D5AA275" w14:textId="77777777" w:rsidR="005F13DD" w:rsidRPr="00730F28" w:rsidRDefault="005F13DD" w:rsidP="00482FB6">
            <w:pPr>
              <w:rPr>
                <w:rFonts w:ascii="Arial Narrow" w:hAnsi="Arial Narrow"/>
                <w:sz w:val="16"/>
                <w:szCs w:val="16"/>
                <w:lang w:eastAsia="es-ES"/>
              </w:rPr>
            </w:pPr>
          </w:p>
        </w:tc>
        <w:tc>
          <w:tcPr>
            <w:tcW w:w="623" w:type="pct"/>
            <w:tcBorders>
              <w:top w:val="nil"/>
              <w:left w:val="nil"/>
              <w:bottom w:val="nil"/>
              <w:right w:val="nil"/>
            </w:tcBorders>
            <w:shd w:val="clear" w:color="000000" w:fill="F2F2F2"/>
            <w:noWrap/>
            <w:vAlign w:val="bottom"/>
            <w:hideMark/>
          </w:tcPr>
          <w:p w14:paraId="59173F57" w14:textId="77777777" w:rsidR="005F13DD" w:rsidRPr="00730F28" w:rsidRDefault="005F13DD" w:rsidP="00482FB6">
            <w:pPr>
              <w:rPr>
                <w:rFonts w:ascii="Arial Narrow" w:hAnsi="Arial Narrow"/>
                <w:sz w:val="16"/>
                <w:szCs w:val="16"/>
                <w:lang w:eastAsia="es-ES"/>
              </w:rPr>
            </w:pPr>
          </w:p>
        </w:tc>
        <w:tc>
          <w:tcPr>
            <w:tcW w:w="734" w:type="pct"/>
            <w:tcBorders>
              <w:top w:val="nil"/>
              <w:left w:val="nil"/>
              <w:bottom w:val="nil"/>
              <w:right w:val="nil"/>
            </w:tcBorders>
            <w:shd w:val="clear" w:color="000000" w:fill="F2F2F2"/>
            <w:noWrap/>
            <w:vAlign w:val="bottom"/>
            <w:hideMark/>
          </w:tcPr>
          <w:p w14:paraId="6BE5C877" w14:textId="77777777" w:rsidR="005F13DD" w:rsidRPr="00730F28" w:rsidRDefault="005F13DD" w:rsidP="00482FB6">
            <w:pPr>
              <w:rPr>
                <w:rFonts w:ascii="Arial Narrow" w:hAnsi="Arial Narrow"/>
                <w:sz w:val="16"/>
                <w:szCs w:val="16"/>
                <w:lang w:eastAsia="es-ES"/>
              </w:rPr>
            </w:pPr>
          </w:p>
        </w:tc>
        <w:tc>
          <w:tcPr>
            <w:tcW w:w="1132" w:type="pct"/>
            <w:tcBorders>
              <w:top w:val="nil"/>
              <w:left w:val="nil"/>
              <w:bottom w:val="nil"/>
              <w:right w:val="nil"/>
            </w:tcBorders>
            <w:shd w:val="clear" w:color="000000" w:fill="F2F2F2"/>
            <w:noWrap/>
            <w:vAlign w:val="bottom"/>
            <w:hideMark/>
          </w:tcPr>
          <w:p w14:paraId="69487198" w14:textId="77777777" w:rsidR="005F13DD" w:rsidRPr="00730F28" w:rsidRDefault="005F13DD" w:rsidP="00482FB6">
            <w:pPr>
              <w:rPr>
                <w:rFonts w:ascii="Arial Narrow" w:hAnsi="Arial Narrow"/>
                <w:sz w:val="16"/>
                <w:szCs w:val="16"/>
                <w:lang w:eastAsia="es-ES"/>
              </w:rPr>
            </w:pPr>
          </w:p>
        </w:tc>
      </w:tr>
    </w:tbl>
    <w:p w14:paraId="35B8812C" w14:textId="77777777" w:rsidR="00D068AB" w:rsidRPr="0082582E" w:rsidRDefault="00D068AB" w:rsidP="00D068AB">
      <w:pPr>
        <w:spacing w:before="240" w:after="120"/>
        <w:jc w:val="both"/>
        <w:rPr>
          <w:rFonts w:ascii="Arial Narrow" w:hAnsi="Arial Narrow" w:cs="Arial"/>
          <w:spacing w:val="-2"/>
          <w:sz w:val="24"/>
          <w:szCs w:val="24"/>
        </w:rPr>
      </w:pPr>
      <w:r w:rsidRPr="0082582E">
        <w:rPr>
          <w:rFonts w:ascii="Arial Narrow" w:hAnsi="Arial Narrow" w:cs="Arial"/>
          <w:spacing w:val="-2"/>
          <w:sz w:val="24"/>
          <w:szCs w:val="24"/>
        </w:rPr>
        <w:t xml:space="preserve">La información relativa a las empresas </w:t>
      </w:r>
      <w:r w:rsidRPr="003B7709">
        <w:rPr>
          <w:rFonts w:ascii="Arial Narrow" w:hAnsi="Arial Narrow" w:cs="Arial"/>
          <w:spacing w:val="-2"/>
          <w:sz w:val="24"/>
          <w:szCs w:val="24"/>
        </w:rPr>
        <w:t>asociadas a 31 de diciembre de 201</w:t>
      </w:r>
      <w:r w:rsidR="00D27EBB">
        <w:rPr>
          <w:rFonts w:ascii="Arial Narrow" w:hAnsi="Arial Narrow" w:cs="Arial"/>
          <w:spacing w:val="-2"/>
          <w:sz w:val="24"/>
          <w:szCs w:val="24"/>
        </w:rPr>
        <w:t>9</w:t>
      </w:r>
      <w:r w:rsidRPr="003B7709">
        <w:rPr>
          <w:rFonts w:ascii="Arial Narrow" w:hAnsi="Arial Narrow" w:cs="Arial"/>
          <w:spacing w:val="-2"/>
          <w:sz w:val="24"/>
          <w:szCs w:val="24"/>
        </w:rPr>
        <w:t xml:space="preserve"> es la siguiente</w:t>
      </w:r>
      <w:r w:rsidRPr="0082582E">
        <w:rPr>
          <w:rFonts w:ascii="Arial Narrow" w:hAnsi="Arial Narrow" w:cs="Arial"/>
          <w:spacing w:val="-2"/>
          <w:sz w:val="24"/>
          <w:szCs w:val="24"/>
        </w:rPr>
        <w:t>:</w:t>
      </w:r>
    </w:p>
    <w:p w14:paraId="024050A0" w14:textId="3B63BDCD" w:rsidR="00D068AB" w:rsidRPr="00161D3B" w:rsidRDefault="009215E6" w:rsidP="00D068AB">
      <w:pPr>
        <w:spacing w:before="240" w:after="120"/>
        <w:jc w:val="center"/>
      </w:pPr>
      <w:r w:rsidRPr="009215E6">
        <w:rPr>
          <w:noProof/>
          <w:lang w:val="es-ES" w:eastAsia="es-ES"/>
        </w:rPr>
        <w:drawing>
          <wp:inline distT="0" distB="0" distL="0" distR="0" wp14:anchorId="295CDD85" wp14:editId="5975FE16">
            <wp:extent cx="6140088" cy="1134319"/>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2556" cy="1134775"/>
                    </a:xfrm>
                    <a:prstGeom prst="rect">
                      <a:avLst/>
                    </a:prstGeom>
                    <a:noFill/>
                    <a:ln>
                      <a:noFill/>
                    </a:ln>
                  </pic:spPr>
                </pic:pic>
              </a:graphicData>
            </a:graphic>
          </wp:inline>
        </w:drawing>
      </w:r>
    </w:p>
    <w:p w14:paraId="598B24EB" w14:textId="0197C65F" w:rsidR="00D068AB" w:rsidRPr="009215E6" w:rsidRDefault="009215E6" w:rsidP="00D068AB">
      <w:pPr>
        <w:jc w:val="both"/>
        <w:rPr>
          <w:rFonts w:ascii="Arial Narrow" w:hAnsi="Arial Narrow"/>
          <w:bCs/>
          <w:sz w:val="12"/>
          <w:szCs w:val="12"/>
          <w:lang w:eastAsia="es-ES"/>
        </w:rPr>
      </w:pPr>
      <w:r w:rsidRPr="009215E6">
        <w:rPr>
          <w:rFonts w:ascii="Arial Narrow" w:hAnsi="Arial Narrow"/>
          <w:bCs/>
          <w:sz w:val="12"/>
          <w:szCs w:val="12"/>
          <w:lang w:eastAsia="es-ES"/>
        </w:rPr>
        <w:t xml:space="preserve"> </w:t>
      </w:r>
      <w:r w:rsidR="00D068AB" w:rsidRPr="009215E6">
        <w:rPr>
          <w:rFonts w:ascii="Arial Narrow" w:hAnsi="Arial Narrow"/>
          <w:bCs/>
          <w:sz w:val="12"/>
          <w:szCs w:val="12"/>
          <w:lang w:eastAsia="es-ES"/>
        </w:rPr>
        <w:t>(**) No han depositado cuentas anuales en los últimos ejercicios, datos de 2012</w:t>
      </w:r>
    </w:p>
    <w:p w14:paraId="2AB1268D" w14:textId="77777777" w:rsidR="00044081" w:rsidRPr="00430AE3" w:rsidRDefault="00044081" w:rsidP="00044081">
      <w:pPr>
        <w:spacing w:before="240" w:after="120"/>
        <w:jc w:val="both"/>
        <w:rPr>
          <w:rFonts w:ascii="Arial Narrow" w:hAnsi="Arial Narrow" w:cs="Arial"/>
          <w:spacing w:val="-2"/>
          <w:sz w:val="24"/>
          <w:szCs w:val="24"/>
        </w:rPr>
      </w:pPr>
      <w:r w:rsidRPr="00430AE3">
        <w:rPr>
          <w:rFonts w:ascii="Arial Narrow" w:hAnsi="Arial Narrow" w:cs="Arial"/>
          <w:spacing w:val="-2"/>
          <w:sz w:val="24"/>
          <w:szCs w:val="24"/>
        </w:rPr>
        <w:t>La información relativa a las empresas asociadas a 31 de diciembre de 2018 es la siguiente:</w:t>
      </w:r>
    </w:p>
    <w:p w14:paraId="6920B487" w14:textId="1FE72AF6" w:rsidR="00044081" w:rsidRDefault="009215E6" w:rsidP="00D27EBB">
      <w:pPr>
        <w:spacing w:before="240" w:after="120"/>
        <w:jc w:val="center"/>
        <w:rPr>
          <w:rFonts w:ascii="Arial Narrow" w:hAnsi="Arial Narrow" w:cs="Arial"/>
          <w:spacing w:val="-2"/>
          <w:sz w:val="24"/>
          <w:szCs w:val="24"/>
        </w:rPr>
      </w:pPr>
      <w:r w:rsidRPr="009215E6">
        <w:rPr>
          <w:noProof/>
          <w:lang w:val="es-ES" w:eastAsia="es-ES"/>
        </w:rPr>
        <w:drawing>
          <wp:inline distT="0" distB="0" distL="0" distR="0" wp14:anchorId="713AB425" wp14:editId="34E8B711">
            <wp:extent cx="6140370" cy="9987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42839" cy="999187"/>
                    </a:xfrm>
                    <a:prstGeom prst="rect">
                      <a:avLst/>
                    </a:prstGeom>
                    <a:noFill/>
                    <a:ln>
                      <a:noFill/>
                    </a:ln>
                  </pic:spPr>
                </pic:pic>
              </a:graphicData>
            </a:graphic>
          </wp:inline>
        </w:drawing>
      </w:r>
    </w:p>
    <w:tbl>
      <w:tblPr>
        <w:tblW w:w="9641" w:type="dxa"/>
        <w:jc w:val="center"/>
        <w:tblLayout w:type="fixed"/>
        <w:tblCellMar>
          <w:left w:w="70" w:type="dxa"/>
          <w:right w:w="70" w:type="dxa"/>
        </w:tblCellMar>
        <w:tblLook w:val="04A0" w:firstRow="1" w:lastRow="0" w:firstColumn="1" w:lastColumn="0" w:noHBand="0" w:noVBand="1"/>
      </w:tblPr>
      <w:tblGrid>
        <w:gridCol w:w="9641"/>
      </w:tblGrid>
      <w:tr w:rsidR="00161D3B" w:rsidRPr="00F56ADE" w14:paraId="7167D15A" w14:textId="77777777" w:rsidTr="00BA6129">
        <w:trPr>
          <w:trHeight w:val="236"/>
          <w:jc w:val="center"/>
        </w:trPr>
        <w:tc>
          <w:tcPr>
            <w:tcW w:w="9641" w:type="dxa"/>
            <w:tcBorders>
              <w:top w:val="nil"/>
              <w:left w:val="nil"/>
              <w:bottom w:val="nil"/>
              <w:right w:val="nil"/>
            </w:tcBorders>
            <w:shd w:val="clear" w:color="auto" w:fill="auto"/>
            <w:vAlign w:val="bottom"/>
          </w:tcPr>
          <w:p w14:paraId="26BA9FEC" w14:textId="77777777" w:rsidR="00161D3B" w:rsidRPr="009215E6" w:rsidRDefault="00161D3B" w:rsidP="009215E6">
            <w:pPr>
              <w:ind w:left="215"/>
              <w:jc w:val="both"/>
              <w:rPr>
                <w:rFonts w:ascii="Arial Narrow" w:hAnsi="Arial Narrow"/>
                <w:bCs/>
                <w:sz w:val="12"/>
                <w:szCs w:val="12"/>
                <w:lang w:eastAsia="es-ES"/>
              </w:rPr>
            </w:pPr>
            <w:r w:rsidRPr="009215E6">
              <w:rPr>
                <w:rFonts w:ascii="Arial Narrow" w:hAnsi="Arial Narrow"/>
                <w:bCs/>
                <w:sz w:val="12"/>
                <w:szCs w:val="12"/>
                <w:lang w:eastAsia="es-ES"/>
              </w:rPr>
              <w:t>(*)   Estados Financieros a 31/12/2018</w:t>
            </w:r>
          </w:p>
          <w:p w14:paraId="6095E465" w14:textId="77777777" w:rsidR="00161D3B" w:rsidRPr="009215E6" w:rsidRDefault="00161D3B" w:rsidP="009215E6">
            <w:pPr>
              <w:keepNext/>
              <w:keepLines/>
              <w:ind w:left="215"/>
              <w:rPr>
                <w:rFonts w:ascii="Arial Narrow" w:hAnsi="Arial Narrow"/>
                <w:b/>
                <w:bCs/>
                <w:color w:val="FF0000"/>
                <w:sz w:val="12"/>
                <w:szCs w:val="12"/>
                <w:lang w:eastAsia="es-ES"/>
              </w:rPr>
            </w:pPr>
            <w:r w:rsidRPr="009215E6">
              <w:rPr>
                <w:rFonts w:ascii="Arial Narrow" w:hAnsi="Arial Narrow"/>
                <w:bCs/>
                <w:sz w:val="12"/>
                <w:szCs w:val="12"/>
                <w:lang w:eastAsia="es-ES"/>
              </w:rPr>
              <w:t>(**) No han depositado cuentas anuales en los últimos ejercicios, datos de 2012</w:t>
            </w:r>
          </w:p>
        </w:tc>
      </w:tr>
    </w:tbl>
    <w:p w14:paraId="36D761A8" w14:textId="77777777" w:rsidR="00161D3B" w:rsidRDefault="00161D3B" w:rsidP="00161D3B">
      <w:pPr>
        <w:spacing w:before="240" w:after="120"/>
        <w:jc w:val="both"/>
        <w:rPr>
          <w:rFonts w:ascii="Arial Narrow" w:hAnsi="Arial Narrow" w:cs="Arial"/>
          <w:spacing w:val="-2"/>
          <w:sz w:val="24"/>
          <w:szCs w:val="24"/>
        </w:rPr>
      </w:pPr>
      <w:r w:rsidRPr="00771821">
        <w:rPr>
          <w:rFonts w:ascii="Arial Narrow" w:hAnsi="Arial Narrow" w:cs="Arial"/>
          <w:color w:val="000000" w:themeColor="text1"/>
          <w:spacing w:val="-2"/>
          <w:sz w:val="24"/>
          <w:szCs w:val="24"/>
        </w:rPr>
        <w:t xml:space="preserve">No se dispone a la fecha de </w:t>
      </w:r>
      <w:r w:rsidRPr="00850B72">
        <w:rPr>
          <w:rFonts w:ascii="Arial Narrow" w:hAnsi="Arial Narrow" w:cs="Arial"/>
          <w:spacing w:val="-2"/>
          <w:sz w:val="24"/>
          <w:szCs w:val="24"/>
        </w:rPr>
        <w:t>formulación de estas cuentas de las Cuentas Anuales 201</w:t>
      </w:r>
      <w:r w:rsidR="00D27EBB">
        <w:rPr>
          <w:rFonts w:ascii="Arial Narrow" w:hAnsi="Arial Narrow" w:cs="Arial"/>
          <w:spacing w:val="-2"/>
          <w:sz w:val="24"/>
          <w:szCs w:val="24"/>
        </w:rPr>
        <w:t>9</w:t>
      </w:r>
      <w:r w:rsidRPr="00850B72">
        <w:rPr>
          <w:rFonts w:ascii="Arial Narrow" w:hAnsi="Arial Narrow" w:cs="Arial"/>
          <w:spacing w:val="-2"/>
          <w:sz w:val="24"/>
          <w:szCs w:val="24"/>
        </w:rPr>
        <w:t xml:space="preserve"> de Parque Tecnológico de Telde, S.A. Las cifras consignadas aquí corresponden a los Estados Financieros </w:t>
      </w:r>
      <w:r w:rsidRPr="00771821">
        <w:rPr>
          <w:rFonts w:ascii="Arial Narrow" w:hAnsi="Arial Narrow" w:cs="Arial"/>
          <w:color w:val="000000" w:themeColor="text1"/>
          <w:spacing w:val="-2"/>
          <w:sz w:val="24"/>
          <w:szCs w:val="24"/>
        </w:rPr>
        <w:t>disponibles a 31/</w:t>
      </w:r>
      <w:r w:rsidRPr="00850B72">
        <w:rPr>
          <w:rFonts w:ascii="Arial Narrow" w:hAnsi="Arial Narrow" w:cs="Arial"/>
          <w:spacing w:val="-2"/>
          <w:sz w:val="24"/>
          <w:szCs w:val="24"/>
        </w:rPr>
        <w:t>12/2012.</w:t>
      </w:r>
    </w:p>
    <w:p w14:paraId="0C80E05C" w14:textId="77777777" w:rsidR="005F13DD" w:rsidRPr="000B71AA" w:rsidRDefault="005F13DD" w:rsidP="00161D3B">
      <w:pPr>
        <w:spacing w:before="120"/>
        <w:jc w:val="both"/>
        <w:rPr>
          <w:rFonts w:ascii="Arial Narrow" w:hAnsi="Arial Narrow" w:cs="Arial"/>
          <w:spacing w:val="-2"/>
          <w:sz w:val="24"/>
          <w:szCs w:val="24"/>
        </w:rPr>
      </w:pPr>
      <w:r w:rsidRPr="000B71AA">
        <w:rPr>
          <w:rFonts w:ascii="Arial Narrow" w:hAnsi="Arial Narrow" w:cs="Arial"/>
          <w:spacing w:val="-2"/>
          <w:sz w:val="24"/>
          <w:szCs w:val="24"/>
        </w:rPr>
        <w:t>Los resultados de las empresas asociadas indicados en el cuadro anterior corresponden en su totalidad a operaciones continuadas.</w:t>
      </w:r>
    </w:p>
    <w:p w14:paraId="472BF0AE" w14:textId="77777777" w:rsidR="005F13DD" w:rsidRPr="000B71AA" w:rsidRDefault="005F13DD" w:rsidP="00B671EA">
      <w:pPr>
        <w:spacing w:before="120"/>
        <w:jc w:val="both"/>
        <w:rPr>
          <w:rFonts w:ascii="Arial Narrow" w:hAnsi="Arial Narrow" w:cs="Arial"/>
          <w:spacing w:val="-2"/>
          <w:sz w:val="24"/>
          <w:szCs w:val="24"/>
        </w:rPr>
      </w:pPr>
      <w:r w:rsidRPr="000B71AA">
        <w:rPr>
          <w:rFonts w:ascii="Arial Narrow" w:hAnsi="Arial Narrow" w:cs="Arial"/>
          <w:spacing w:val="-2"/>
          <w:sz w:val="24"/>
          <w:szCs w:val="24"/>
        </w:rPr>
        <w:t>Ninguna de las empresas del Grupo en las que la Sociedad tiene participación cotiza en Bolsa.</w:t>
      </w:r>
    </w:p>
    <w:p w14:paraId="7BBD1315" w14:textId="77777777" w:rsidR="005F13DD" w:rsidRPr="000B71AA" w:rsidRDefault="005F13DD" w:rsidP="00B671EA">
      <w:pPr>
        <w:spacing w:before="120"/>
        <w:jc w:val="both"/>
        <w:rPr>
          <w:rFonts w:ascii="Arial Narrow" w:hAnsi="Arial Narrow" w:cs="Arial"/>
          <w:spacing w:val="-2"/>
          <w:sz w:val="24"/>
          <w:szCs w:val="24"/>
        </w:rPr>
      </w:pPr>
      <w:r w:rsidRPr="000B71AA">
        <w:rPr>
          <w:rFonts w:ascii="Arial Narrow" w:hAnsi="Arial Narrow" w:cs="Arial"/>
          <w:spacing w:val="-2"/>
          <w:sz w:val="24"/>
          <w:szCs w:val="24"/>
        </w:rPr>
        <w:t>No existen sociedades en las que teniendo menos del 20% se concluya que existe influencia significativa, y que teniendo más del 20% se pueda concluir que no existe influencia significativa.</w:t>
      </w:r>
    </w:p>
    <w:p w14:paraId="1F91FE99" w14:textId="77777777" w:rsidR="00BD112C" w:rsidRDefault="005F13DD" w:rsidP="00BD112C">
      <w:pPr>
        <w:spacing w:before="120"/>
        <w:jc w:val="both"/>
        <w:rPr>
          <w:rFonts w:ascii="Arial Narrow" w:hAnsi="Arial Narrow" w:cs="Arial"/>
          <w:spacing w:val="-2"/>
          <w:sz w:val="24"/>
          <w:szCs w:val="24"/>
        </w:rPr>
      </w:pPr>
      <w:r w:rsidRPr="000B71AA">
        <w:rPr>
          <w:rFonts w:ascii="Arial Narrow" w:hAnsi="Arial Narrow" w:cs="Arial"/>
          <w:spacing w:val="-2"/>
          <w:sz w:val="24"/>
          <w:szCs w:val="24"/>
        </w:rPr>
        <w:t>La Sociedad no ha incurrido en contingencias en relación con las asociadas.</w:t>
      </w:r>
    </w:p>
    <w:p w14:paraId="7A80B4D3" w14:textId="77777777" w:rsidR="00242CD2" w:rsidRDefault="00242CD2" w:rsidP="00BD112C">
      <w:pPr>
        <w:spacing w:before="120"/>
        <w:jc w:val="both"/>
        <w:rPr>
          <w:rFonts w:ascii="Arial Narrow" w:hAnsi="Arial Narrow" w:cs="Arial"/>
          <w:spacing w:val="-2"/>
          <w:sz w:val="24"/>
          <w:szCs w:val="24"/>
        </w:rPr>
      </w:pPr>
    </w:p>
    <w:p w14:paraId="36A5EDE0" w14:textId="77777777" w:rsidR="00242CD2" w:rsidRDefault="00242CD2" w:rsidP="00BD112C">
      <w:pPr>
        <w:spacing w:before="120"/>
        <w:jc w:val="both"/>
        <w:rPr>
          <w:rFonts w:ascii="Arial Narrow" w:hAnsi="Arial Narrow" w:cs="Arial"/>
          <w:spacing w:val="-2"/>
          <w:sz w:val="24"/>
          <w:szCs w:val="24"/>
        </w:rPr>
      </w:pPr>
    </w:p>
    <w:p w14:paraId="16A38185" w14:textId="77777777" w:rsidR="00242CD2" w:rsidRDefault="00242CD2" w:rsidP="00BD112C">
      <w:pPr>
        <w:spacing w:before="120"/>
        <w:jc w:val="both"/>
        <w:rPr>
          <w:rFonts w:ascii="Arial Narrow" w:hAnsi="Arial Narrow" w:cs="Arial"/>
          <w:spacing w:val="-2"/>
          <w:sz w:val="24"/>
          <w:szCs w:val="24"/>
        </w:rPr>
      </w:pPr>
    </w:p>
    <w:p w14:paraId="19AC8850" w14:textId="77777777" w:rsidR="00242CD2" w:rsidRPr="000B71AA" w:rsidRDefault="00242CD2" w:rsidP="00BD112C">
      <w:pPr>
        <w:spacing w:before="120"/>
        <w:jc w:val="both"/>
        <w:rPr>
          <w:rFonts w:ascii="Arial Narrow" w:hAnsi="Arial Narrow" w:cs="Arial"/>
          <w:spacing w:val="-2"/>
          <w:sz w:val="24"/>
          <w:szCs w:val="24"/>
        </w:rPr>
      </w:pPr>
    </w:p>
    <w:p w14:paraId="56A529C1" w14:textId="77777777" w:rsidR="00BD112C" w:rsidRDefault="00C847E6" w:rsidP="005F13DD">
      <w:pPr>
        <w:keepNext/>
        <w:keepLines/>
        <w:spacing w:before="120" w:after="120"/>
        <w:jc w:val="both"/>
        <w:rPr>
          <w:rFonts w:ascii="Arial Narrow" w:hAnsi="Arial Narrow" w:cs="Arial"/>
          <w:b/>
          <w:spacing w:val="-2"/>
          <w:sz w:val="24"/>
          <w:szCs w:val="24"/>
          <w:u w:val="single"/>
        </w:rPr>
      </w:pPr>
      <w:r w:rsidRPr="0066233F">
        <w:rPr>
          <w:rFonts w:ascii="Arial Narrow" w:hAnsi="Arial Narrow" w:cs="Arial"/>
          <w:b/>
          <w:spacing w:val="-2"/>
          <w:sz w:val="24"/>
          <w:szCs w:val="24"/>
          <w:u w:val="single"/>
        </w:rPr>
        <w:t>9</w:t>
      </w:r>
      <w:r w:rsidR="00BD112C" w:rsidRPr="0066233F">
        <w:rPr>
          <w:rFonts w:ascii="Arial Narrow" w:hAnsi="Arial Narrow" w:cs="Arial"/>
          <w:b/>
          <w:spacing w:val="-2"/>
          <w:sz w:val="24"/>
          <w:szCs w:val="24"/>
          <w:u w:val="single"/>
        </w:rPr>
        <w:t>.2 Efectivos y Otros Activos Líquidos Equivalentes</w:t>
      </w:r>
    </w:p>
    <w:p w14:paraId="0AF612FF" w14:textId="77777777" w:rsidR="00242CD2" w:rsidRPr="0066233F" w:rsidRDefault="00242CD2" w:rsidP="005F13DD">
      <w:pPr>
        <w:keepNext/>
        <w:keepLines/>
        <w:spacing w:before="120" w:after="120"/>
        <w:jc w:val="both"/>
        <w:rPr>
          <w:rFonts w:ascii="Arial Narrow" w:hAnsi="Arial Narrow" w:cs="Arial"/>
          <w:b/>
          <w:spacing w:val="-2"/>
          <w:sz w:val="24"/>
          <w:szCs w:val="24"/>
          <w:u w:val="single"/>
        </w:rPr>
      </w:pPr>
    </w:p>
    <w:p w14:paraId="193FC721" w14:textId="77777777" w:rsidR="005F13DD" w:rsidRDefault="005F13DD" w:rsidP="005F13DD">
      <w:pPr>
        <w:keepNext/>
        <w:keepLines/>
        <w:spacing w:before="120" w:after="120"/>
        <w:jc w:val="both"/>
        <w:rPr>
          <w:rFonts w:ascii="Arial Narrow" w:hAnsi="Arial Narrow" w:cs="Arial"/>
          <w:spacing w:val="-2"/>
          <w:sz w:val="24"/>
          <w:szCs w:val="24"/>
        </w:rPr>
      </w:pPr>
      <w:r w:rsidRPr="0066233F">
        <w:rPr>
          <w:rFonts w:ascii="Arial Narrow" w:hAnsi="Arial Narrow" w:cs="Arial"/>
          <w:spacing w:val="-2"/>
          <w:sz w:val="24"/>
          <w:szCs w:val="24"/>
        </w:rPr>
        <w:t>El epígrafe de otros activos líquidos equivalentes incluye los siguientes conceptos e importes, en euros:</w:t>
      </w:r>
    </w:p>
    <w:p w14:paraId="3EC6F3B0" w14:textId="77777777" w:rsidR="007D76BC" w:rsidRDefault="007D76BC" w:rsidP="005F13DD">
      <w:pPr>
        <w:keepNext/>
        <w:keepLines/>
        <w:spacing w:before="120" w:after="120"/>
        <w:jc w:val="both"/>
        <w:rPr>
          <w:rFonts w:ascii="Arial Narrow" w:hAnsi="Arial Narrow" w:cs="Arial"/>
          <w:spacing w:val="-2"/>
          <w:sz w:val="24"/>
          <w:szCs w:val="24"/>
        </w:rPr>
      </w:pPr>
    </w:p>
    <w:tbl>
      <w:tblPr>
        <w:tblW w:w="6504" w:type="dxa"/>
        <w:jc w:val="center"/>
        <w:tblCellMar>
          <w:left w:w="70" w:type="dxa"/>
          <w:right w:w="70" w:type="dxa"/>
        </w:tblCellMar>
        <w:tblLook w:val="04A0" w:firstRow="1" w:lastRow="0" w:firstColumn="1" w:lastColumn="0" w:noHBand="0" w:noVBand="1"/>
      </w:tblPr>
      <w:tblGrid>
        <w:gridCol w:w="4125"/>
        <w:gridCol w:w="1189"/>
        <w:gridCol w:w="1190"/>
      </w:tblGrid>
      <w:tr w:rsidR="00BC6B40" w:rsidRPr="00F96F90" w14:paraId="7AE2ADB7" w14:textId="77777777" w:rsidTr="0066233F">
        <w:trPr>
          <w:trHeight w:val="340"/>
          <w:jc w:val="center"/>
        </w:trPr>
        <w:tc>
          <w:tcPr>
            <w:tcW w:w="3171" w:type="pct"/>
            <w:tcBorders>
              <w:top w:val="nil"/>
              <w:left w:val="nil"/>
              <w:bottom w:val="nil"/>
              <w:right w:val="nil"/>
            </w:tcBorders>
            <w:shd w:val="clear" w:color="000000" w:fill="D8D8D8"/>
            <w:vAlign w:val="center"/>
            <w:hideMark/>
          </w:tcPr>
          <w:p w14:paraId="717F7157" w14:textId="77777777" w:rsidR="00BC6B40" w:rsidRPr="00F96F90" w:rsidRDefault="00BC6B40" w:rsidP="00BC6B40">
            <w:pPr>
              <w:keepNext/>
              <w:keepLines/>
              <w:jc w:val="center"/>
              <w:rPr>
                <w:rFonts w:ascii="Arial Narrow" w:hAnsi="Arial Narrow"/>
                <w:b/>
                <w:bCs/>
                <w:sz w:val="20"/>
                <w:lang w:eastAsia="es-ES"/>
              </w:rPr>
            </w:pPr>
            <w:r w:rsidRPr="00F96F90">
              <w:rPr>
                <w:rFonts w:ascii="Arial Narrow" w:hAnsi="Arial Narrow"/>
                <w:b/>
                <w:bCs/>
                <w:sz w:val="20"/>
                <w:lang w:eastAsia="es-ES"/>
              </w:rPr>
              <w:t>Descripción</w:t>
            </w:r>
          </w:p>
        </w:tc>
        <w:tc>
          <w:tcPr>
            <w:tcW w:w="914" w:type="pct"/>
            <w:tcBorders>
              <w:top w:val="nil"/>
              <w:left w:val="nil"/>
              <w:bottom w:val="nil"/>
              <w:right w:val="nil"/>
            </w:tcBorders>
            <w:shd w:val="clear" w:color="000000" w:fill="D8D8D8"/>
            <w:vAlign w:val="center"/>
            <w:hideMark/>
          </w:tcPr>
          <w:p w14:paraId="412BFE9B" w14:textId="77777777" w:rsidR="00BC6B40" w:rsidRPr="00850B72" w:rsidRDefault="00BC6B40" w:rsidP="00BC6B40">
            <w:pPr>
              <w:keepNext/>
              <w:keepLines/>
              <w:jc w:val="center"/>
              <w:rPr>
                <w:rFonts w:ascii="Arial Narrow" w:hAnsi="Arial Narrow"/>
                <w:b/>
                <w:bCs/>
                <w:sz w:val="20"/>
                <w:lang w:eastAsia="es-ES"/>
              </w:rPr>
            </w:pPr>
            <w:r w:rsidRPr="00F96F90">
              <w:rPr>
                <w:rFonts w:ascii="Arial Narrow" w:hAnsi="Arial Narrow"/>
                <w:b/>
                <w:bCs/>
                <w:sz w:val="20"/>
                <w:lang w:eastAsia="es-ES"/>
              </w:rPr>
              <w:t>31/12/201</w:t>
            </w:r>
            <w:r>
              <w:rPr>
                <w:rFonts w:ascii="Arial Narrow" w:hAnsi="Arial Narrow"/>
                <w:b/>
                <w:bCs/>
                <w:sz w:val="20"/>
                <w:lang w:eastAsia="es-ES"/>
              </w:rPr>
              <w:t>9</w:t>
            </w:r>
          </w:p>
        </w:tc>
        <w:tc>
          <w:tcPr>
            <w:tcW w:w="915" w:type="pct"/>
            <w:tcBorders>
              <w:top w:val="nil"/>
              <w:left w:val="nil"/>
              <w:bottom w:val="nil"/>
              <w:right w:val="nil"/>
            </w:tcBorders>
            <w:shd w:val="clear" w:color="000000" w:fill="D8D8D8"/>
            <w:vAlign w:val="center"/>
            <w:hideMark/>
          </w:tcPr>
          <w:p w14:paraId="4FD35EA5" w14:textId="77777777" w:rsidR="00BC6B40" w:rsidRPr="00850B72" w:rsidRDefault="00BC6B40" w:rsidP="00BC6B40">
            <w:pPr>
              <w:keepNext/>
              <w:keepLines/>
              <w:jc w:val="center"/>
              <w:rPr>
                <w:rFonts w:ascii="Arial Narrow" w:hAnsi="Arial Narrow"/>
                <w:b/>
                <w:bCs/>
                <w:sz w:val="20"/>
                <w:lang w:eastAsia="es-ES"/>
              </w:rPr>
            </w:pPr>
            <w:r w:rsidRPr="00F96F90">
              <w:rPr>
                <w:rFonts w:ascii="Arial Narrow" w:hAnsi="Arial Narrow"/>
                <w:b/>
                <w:bCs/>
                <w:sz w:val="20"/>
                <w:lang w:eastAsia="es-ES"/>
              </w:rPr>
              <w:t>31/12/201</w:t>
            </w:r>
            <w:r>
              <w:rPr>
                <w:rFonts w:ascii="Arial Narrow" w:hAnsi="Arial Narrow"/>
                <w:b/>
                <w:bCs/>
                <w:sz w:val="20"/>
                <w:lang w:eastAsia="es-ES"/>
              </w:rPr>
              <w:t>8</w:t>
            </w:r>
          </w:p>
        </w:tc>
      </w:tr>
      <w:tr w:rsidR="00BC6B40" w:rsidRPr="00F56ADE" w14:paraId="4C4C6A76" w14:textId="77777777" w:rsidTr="0066233F">
        <w:trPr>
          <w:trHeight w:val="340"/>
          <w:jc w:val="center"/>
        </w:trPr>
        <w:tc>
          <w:tcPr>
            <w:tcW w:w="3171" w:type="pct"/>
            <w:tcBorders>
              <w:top w:val="nil"/>
              <w:left w:val="nil"/>
              <w:bottom w:val="nil"/>
              <w:right w:val="nil"/>
            </w:tcBorders>
            <w:shd w:val="clear" w:color="000000" w:fill="FFFFFF"/>
            <w:noWrap/>
            <w:vAlign w:val="center"/>
            <w:hideMark/>
          </w:tcPr>
          <w:p w14:paraId="652F3426" w14:textId="77777777" w:rsidR="00BC6B40" w:rsidRPr="00F96F90" w:rsidRDefault="00BC6B40" w:rsidP="00BC6B40">
            <w:pPr>
              <w:keepNext/>
              <w:keepLines/>
              <w:rPr>
                <w:rFonts w:ascii="Arial Narrow" w:hAnsi="Arial Narrow" w:cs="Arial"/>
                <w:sz w:val="20"/>
                <w:lang w:eastAsia="es-ES"/>
              </w:rPr>
            </w:pPr>
            <w:r w:rsidRPr="00F96F90">
              <w:rPr>
                <w:rFonts w:ascii="Arial Narrow" w:hAnsi="Arial Narrow" w:cs="Arial"/>
                <w:sz w:val="20"/>
                <w:lang w:eastAsia="es-ES"/>
              </w:rPr>
              <w:t>Efectivo y otros activos líquidos equivalentes</w:t>
            </w:r>
          </w:p>
        </w:tc>
        <w:tc>
          <w:tcPr>
            <w:tcW w:w="914" w:type="pct"/>
            <w:tcBorders>
              <w:top w:val="nil"/>
              <w:left w:val="nil"/>
              <w:bottom w:val="nil"/>
              <w:right w:val="nil"/>
            </w:tcBorders>
            <w:shd w:val="clear" w:color="000000" w:fill="FFFFFF"/>
            <w:vAlign w:val="center"/>
            <w:hideMark/>
          </w:tcPr>
          <w:p w14:paraId="5EF07A95" w14:textId="77777777" w:rsidR="00BC6B40" w:rsidRPr="00F96F90" w:rsidRDefault="00BC6B40" w:rsidP="00BC6B40">
            <w:pPr>
              <w:keepNext/>
              <w:keepLines/>
              <w:jc w:val="center"/>
              <w:rPr>
                <w:rFonts w:ascii="Arial Narrow" w:hAnsi="Arial Narrow"/>
                <w:noProof/>
                <w:sz w:val="20"/>
                <w:lang w:eastAsia="es-ES"/>
              </w:rPr>
            </w:pPr>
            <w:r w:rsidRPr="00BC6B40">
              <w:rPr>
                <w:rFonts w:ascii="Arial Narrow" w:hAnsi="Arial Narrow"/>
                <w:noProof/>
                <w:sz w:val="20"/>
                <w:lang w:eastAsia="es-ES"/>
              </w:rPr>
              <w:t>3.652.984,32</w:t>
            </w:r>
          </w:p>
        </w:tc>
        <w:tc>
          <w:tcPr>
            <w:tcW w:w="915" w:type="pct"/>
            <w:tcBorders>
              <w:top w:val="nil"/>
              <w:left w:val="nil"/>
              <w:bottom w:val="nil"/>
              <w:right w:val="nil"/>
            </w:tcBorders>
            <w:shd w:val="clear" w:color="000000" w:fill="FFFFFF"/>
            <w:vAlign w:val="center"/>
            <w:hideMark/>
          </w:tcPr>
          <w:p w14:paraId="4A9B8BBB" w14:textId="77777777" w:rsidR="00BC6B40" w:rsidRPr="00F96F90" w:rsidRDefault="00BC6B40" w:rsidP="00BC6B40">
            <w:pPr>
              <w:keepNext/>
              <w:keepLines/>
              <w:jc w:val="center"/>
              <w:rPr>
                <w:rFonts w:ascii="Arial Narrow" w:hAnsi="Arial Narrow"/>
                <w:noProof/>
                <w:sz w:val="20"/>
                <w:lang w:eastAsia="es-ES"/>
              </w:rPr>
            </w:pPr>
            <w:r>
              <w:rPr>
                <w:rFonts w:ascii="Arial Narrow" w:hAnsi="Arial Narrow"/>
                <w:noProof/>
                <w:sz w:val="20"/>
                <w:lang w:eastAsia="es-ES"/>
              </w:rPr>
              <w:t>261.784,60</w:t>
            </w:r>
          </w:p>
        </w:tc>
      </w:tr>
      <w:tr w:rsidR="00F56ADE" w:rsidRPr="00F56ADE" w14:paraId="7A9295E8" w14:textId="77777777" w:rsidTr="0066233F">
        <w:trPr>
          <w:trHeight w:val="227"/>
          <w:jc w:val="center"/>
        </w:trPr>
        <w:tc>
          <w:tcPr>
            <w:tcW w:w="3171" w:type="pct"/>
            <w:tcBorders>
              <w:top w:val="nil"/>
              <w:left w:val="nil"/>
              <w:bottom w:val="nil"/>
              <w:right w:val="nil"/>
            </w:tcBorders>
            <w:shd w:val="clear" w:color="000000" w:fill="F2F2F2"/>
            <w:noWrap/>
            <w:vAlign w:val="bottom"/>
            <w:hideMark/>
          </w:tcPr>
          <w:p w14:paraId="2A9D0F6E" w14:textId="77777777" w:rsidR="005F13DD" w:rsidRPr="0066233F" w:rsidRDefault="005F13DD" w:rsidP="00482FB6">
            <w:pPr>
              <w:keepNext/>
              <w:keepLines/>
              <w:rPr>
                <w:rFonts w:ascii="Arial Narrow" w:hAnsi="Arial Narrow"/>
                <w:b/>
                <w:noProof/>
                <w:sz w:val="20"/>
                <w:lang w:eastAsia="es-ES"/>
              </w:rPr>
            </w:pPr>
          </w:p>
        </w:tc>
        <w:tc>
          <w:tcPr>
            <w:tcW w:w="914" w:type="pct"/>
            <w:tcBorders>
              <w:top w:val="nil"/>
              <w:left w:val="nil"/>
              <w:bottom w:val="nil"/>
              <w:right w:val="nil"/>
            </w:tcBorders>
            <w:shd w:val="clear" w:color="000000" w:fill="F2F2F2"/>
            <w:noWrap/>
            <w:vAlign w:val="bottom"/>
            <w:hideMark/>
          </w:tcPr>
          <w:p w14:paraId="6665AB47" w14:textId="77777777" w:rsidR="005F13DD" w:rsidRPr="0066233F" w:rsidRDefault="005F13DD" w:rsidP="00482FB6">
            <w:pPr>
              <w:keepNext/>
              <w:keepLines/>
              <w:rPr>
                <w:rFonts w:ascii="Arial Narrow" w:hAnsi="Arial Narrow"/>
                <w:b/>
                <w:noProof/>
                <w:sz w:val="20"/>
                <w:lang w:eastAsia="es-ES"/>
              </w:rPr>
            </w:pPr>
          </w:p>
        </w:tc>
        <w:tc>
          <w:tcPr>
            <w:tcW w:w="915" w:type="pct"/>
            <w:tcBorders>
              <w:top w:val="nil"/>
              <w:left w:val="nil"/>
              <w:bottom w:val="nil"/>
              <w:right w:val="nil"/>
            </w:tcBorders>
            <w:shd w:val="clear" w:color="000000" w:fill="F2F2F2"/>
            <w:noWrap/>
            <w:vAlign w:val="bottom"/>
            <w:hideMark/>
          </w:tcPr>
          <w:p w14:paraId="6568A519" w14:textId="77777777" w:rsidR="005F13DD" w:rsidRPr="0066233F" w:rsidRDefault="005F13DD" w:rsidP="00482FB6">
            <w:pPr>
              <w:keepNext/>
              <w:keepLines/>
              <w:rPr>
                <w:rFonts w:ascii="Arial Narrow" w:hAnsi="Arial Narrow"/>
                <w:b/>
                <w:noProof/>
                <w:sz w:val="20"/>
                <w:lang w:eastAsia="es-ES"/>
              </w:rPr>
            </w:pPr>
          </w:p>
        </w:tc>
      </w:tr>
    </w:tbl>
    <w:p w14:paraId="4A5A8273" w14:textId="77777777" w:rsidR="002F4A22" w:rsidRDefault="002F4A22" w:rsidP="005F13DD">
      <w:pPr>
        <w:spacing w:before="120"/>
        <w:jc w:val="both"/>
        <w:rPr>
          <w:rFonts w:ascii="Arial Narrow" w:hAnsi="Arial Narrow" w:cs="Arial"/>
          <w:spacing w:val="-2"/>
          <w:sz w:val="24"/>
          <w:szCs w:val="24"/>
        </w:rPr>
      </w:pPr>
    </w:p>
    <w:p w14:paraId="648DDFB6" w14:textId="77777777" w:rsidR="005F13DD" w:rsidRPr="0066233F" w:rsidRDefault="00B90156" w:rsidP="005F13DD">
      <w:pPr>
        <w:spacing w:before="120"/>
        <w:jc w:val="both"/>
        <w:rPr>
          <w:rFonts w:ascii="Arial Narrow" w:hAnsi="Arial Narrow" w:cs="Arial"/>
          <w:spacing w:val="-2"/>
          <w:sz w:val="24"/>
          <w:szCs w:val="24"/>
        </w:rPr>
      </w:pPr>
      <w:r>
        <w:rPr>
          <w:rFonts w:ascii="Arial Narrow" w:hAnsi="Arial Narrow" w:cs="Arial"/>
          <w:spacing w:val="-2"/>
          <w:sz w:val="24"/>
          <w:szCs w:val="24"/>
        </w:rPr>
        <w:t xml:space="preserve">Dentro de este epígrafe se considera el efectivo en cuentas corrientes bancarias, el efectivo en </w:t>
      </w:r>
      <w:r w:rsidR="00890CB5">
        <w:rPr>
          <w:rFonts w:ascii="Arial Narrow" w:hAnsi="Arial Narrow" w:cs="Arial"/>
          <w:spacing w:val="-2"/>
          <w:sz w:val="24"/>
          <w:szCs w:val="24"/>
        </w:rPr>
        <w:t xml:space="preserve">las cajas para pequeños pagos que hay en las sedes principales y se descuenta el importe pendiente de liquidar por el banco, por los cargos realizados por las tarjetas de crédito. </w:t>
      </w:r>
      <w:r w:rsidR="005F13DD" w:rsidRPr="0066233F">
        <w:rPr>
          <w:rFonts w:ascii="Arial Narrow" w:hAnsi="Arial Narrow" w:cs="Arial"/>
          <w:spacing w:val="-2"/>
          <w:sz w:val="24"/>
          <w:szCs w:val="24"/>
        </w:rPr>
        <w:t xml:space="preserve">Las cuentas corrientes </w:t>
      </w:r>
      <w:r w:rsidR="00161D3B">
        <w:rPr>
          <w:rFonts w:ascii="Arial Narrow" w:hAnsi="Arial Narrow" w:cs="Arial"/>
          <w:spacing w:val="-2"/>
          <w:sz w:val="24"/>
          <w:szCs w:val="24"/>
        </w:rPr>
        <w:t xml:space="preserve">en la actualidad no </w:t>
      </w:r>
      <w:r w:rsidR="005F13DD" w:rsidRPr="0066233F">
        <w:rPr>
          <w:rFonts w:ascii="Arial Narrow" w:hAnsi="Arial Narrow" w:cs="Arial"/>
          <w:spacing w:val="-2"/>
          <w:sz w:val="24"/>
          <w:szCs w:val="24"/>
        </w:rPr>
        <w:t xml:space="preserve">devengan </w:t>
      </w:r>
      <w:r w:rsidR="00161D3B">
        <w:rPr>
          <w:rFonts w:ascii="Arial Narrow" w:hAnsi="Arial Narrow" w:cs="Arial"/>
          <w:spacing w:val="-2"/>
          <w:sz w:val="24"/>
          <w:szCs w:val="24"/>
        </w:rPr>
        <w:t xml:space="preserve">ningún </w:t>
      </w:r>
      <w:r w:rsidR="005F13DD" w:rsidRPr="0066233F">
        <w:rPr>
          <w:rFonts w:ascii="Arial Narrow" w:hAnsi="Arial Narrow" w:cs="Arial"/>
          <w:spacing w:val="-2"/>
          <w:sz w:val="24"/>
          <w:szCs w:val="24"/>
        </w:rPr>
        <w:t xml:space="preserve">tipo de interés </w:t>
      </w:r>
      <w:r w:rsidR="00161D3B">
        <w:rPr>
          <w:rFonts w:ascii="Arial Narrow" w:hAnsi="Arial Narrow" w:cs="Arial"/>
          <w:spacing w:val="-2"/>
          <w:sz w:val="24"/>
          <w:szCs w:val="24"/>
        </w:rPr>
        <w:t>por lo que no se recibe remuneración alguna por este tipo de cuentas</w:t>
      </w:r>
      <w:r w:rsidR="005F13DD" w:rsidRPr="0066233F">
        <w:rPr>
          <w:rFonts w:ascii="Arial Narrow" w:hAnsi="Arial Narrow" w:cs="Arial"/>
          <w:spacing w:val="-2"/>
          <w:sz w:val="24"/>
          <w:szCs w:val="24"/>
        </w:rPr>
        <w:t>.</w:t>
      </w:r>
    </w:p>
    <w:p w14:paraId="1E952D7C" w14:textId="77777777" w:rsidR="000167A8" w:rsidRDefault="005F13DD" w:rsidP="000167A8">
      <w:pPr>
        <w:spacing w:before="120"/>
        <w:jc w:val="both"/>
        <w:rPr>
          <w:rFonts w:ascii="Arial Narrow" w:hAnsi="Arial Narrow" w:cs="Arial"/>
          <w:spacing w:val="-2"/>
          <w:sz w:val="24"/>
          <w:szCs w:val="24"/>
        </w:rPr>
      </w:pPr>
      <w:r w:rsidRPr="0066233F">
        <w:rPr>
          <w:rFonts w:ascii="Arial Narrow" w:hAnsi="Arial Narrow" w:cs="Arial"/>
          <w:spacing w:val="-2"/>
          <w:sz w:val="24"/>
          <w:szCs w:val="24"/>
        </w:rPr>
        <w:t>No existen restricciones a la disponibilidad de estos saldos.</w:t>
      </w:r>
    </w:p>
    <w:p w14:paraId="545BEE45" w14:textId="77777777" w:rsidR="000167A8" w:rsidRDefault="000167A8" w:rsidP="000167A8">
      <w:pPr>
        <w:spacing w:before="120"/>
        <w:jc w:val="both"/>
        <w:rPr>
          <w:rFonts w:ascii="Arial Narrow" w:hAnsi="Arial Narrow" w:cs="Arial"/>
          <w:spacing w:val="-2"/>
          <w:sz w:val="24"/>
          <w:szCs w:val="24"/>
        </w:rPr>
      </w:pPr>
    </w:p>
    <w:p w14:paraId="13602445" w14:textId="77777777" w:rsidR="000167A8" w:rsidRDefault="00BD112C" w:rsidP="000167A8">
      <w:pPr>
        <w:spacing w:before="120"/>
        <w:jc w:val="both"/>
        <w:rPr>
          <w:rFonts w:ascii="Arial Narrow" w:hAnsi="Arial Narrow" w:cs="Arial"/>
          <w:b/>
          <w:sz w:val="24"/>
          <w:szCs w:val="24"/>
          <w:u w:val="single"/>
        </w:rPr>
      </w:pPr>
      <w:r w:rsidRPr="005F5C48">
        <w:rPr>
          <w:rFonts w:ascii="Arial Narrow" w:hAnsi="Arial Narrow" w:cs="Arial"/>
          <w:b/>
          <w:sz w:val="24"/>
          <w:szCs w:val="24"/>
          <w:u w:val="single"/>
        </w:rPr>
        <w:t>9.3 Pasivos Financieros.</w:t>
      </w:r>
    </w:p>
    <w:p w14:paraId="1D438161" w14:textId="77777777" w:rsidR="00242CD2" w:rsidRDefault="00242CD2" w:rsidP="000167A8">
      <w:pPr>
        <w:spacing w:before="120"/>
        <w:jc w:val="both"/>
        <w:rPr>
          <w:rFonts w:ascii="Arial Narrow" w:hAnsi="Arial Narrow" w:cs="Arial"/>
          <w:b/>
          <w:sz w:val="24"/>
          <w:szCs w:val="24"/>
          <w:u w:val="single"/>
        </w:rPr>
      </w:pPr>
    </w:p>
    <w:p w14:paraId="160AFCD0" w14:textId="3E917707" w:rsidR="000167A8" w:rsidRDefault="005F13DD" w:rsidP="000167A8">
      <w:pPr>
        <w:spacing w:before="120"/>
        <w:jc w:val="both"/>
        <w:rPr>
          <w:rFonts w:ascii="Arial Narrow" w:hAnsi="Arial Narrow" w:cs="Arial"/>
          <w:sz w:val="24"/>
          <w:szCs w:val="24"/>
        </w:rPr>
      </w:pPr>
      <w:r w:rsidRPr="0066233F">
        <w:rPr>
          <w:rFonts w:ascii="Arial Narrow" w:hAnsi="Arial Narrow" w:cs="Arial"/>
          <w:sz w:val="24"/>
          <w:szCs w:val="24"/>
        </w:rPr>
        <w:t>El detalle de pasivos financieros a largo y corto plazo es el siguiente, en euros:</w:t>
      </w:r>
    </w:p>
    <w:p w14:paraId="6D901B9C" w14:textId="77777777" w:rsidR="000167A8" w:rsidRDefault="000167A8" w:rsidP="000167A8">
      <w:pPr>
        <w:spacing w:before="120"/>
        <w:rPr>
          <w:rFonts w:ascii="Arial Narrow" w:hAnsi="Arial Narrow" w:cs="Arial"/>
          <w:sz w:val="24"/>
          <w:szCs w:val="24"/>
        </w:rPr>
      </w:pPr>
    </w:p>
    <w:tbl>
      <w:tblPr>
        <w:tblpPr w:leftFromText="141" w:rightFromText="141" w:vertAnchor="text" w:tblpY="1"/>
        <w:tblOverlap w:val="never"/>
        <w:tblW w:w="7457" w:type="dxa"/>
        <w:tblCellMar>
          <w:left w:w="70" w:type="dxa"/>
          <w:right w:w="70" w:type="dxa"/>
        </w:tblCellMar>
        <w:tblLook w:val="04A0" w:firstRow="1" w:lastRow="0" w:firstColumn="1" w:lastColumn="0" w:noHBand="0" w:noVBand="1"/>
      </w:tblPr>
      <w:tblGrid>
        <w:gridCol w:w="3412"/>
        <w:gridCol w:w="1766"/>
        <w:gridCol w:w="2279"/>
      </w:tblGrid>
      <w:tr w:rsidR="000167A8" w:rsidRPr="00F96F90" w14:paraId="54723751" w14:textId="77777777" w:rsidTr="000167A8">
        <w:trPr>
          <w:trHeight w:val="287"/>
        </w:trPr>
        <w:tc>
          <w:tcPr>
            <w:tcW w:w="2288" w:type="pct"/>
            <w:tcBorders>
              <w:top w:val="nil"/>
              <w:left w:val="nil"/>
              <w:bottom w:val="nil"/>
              <w:right w:val="nil"/>
            </w:tcBorders>
            <w:shd w:val="clear" w:color="000000" w:fill="D8D8D8"/>
            <w:vAlign w:val="bottom"/>
            <w:hideMark/>
          </w:tcPr>
          <w:p w14:paraId="3AD82C27" w14:textId="77777777" w:rsidR="000167A8" w:rsidRPr="00114BFF" w:rsidRDefault="000167A8" w:rsidP="000167A8">
            <w:pPr>
              <w:keepNext/>
              <w:keepLines/>
              <w:jc w:val="both"/>
              <w:rPr>
                <w:rFonts w:ascii="Arial Narrow" w:hAnsi="Arial Narrow"/>
                <w:sz w:val="20"/>
                <w:lang w:eastAsia="es-ES"/>
              </w:rPr>
            </w:pPr>
          </w:p>
        </w:tc>
        <w:tc>
          <w:tcPr>
            <w:tcW w:w="2712" w:type="pct"/>
            <w:gridSpan w:val="2"/>
            <w:tcBorders>
              <w:top w:val="nil"/>
              <w:left w:val="nil"/>
              <w:bottom w:val="nil"/>
              <w:right w:val="nil"/>
            </w:tcBorders>
            <w:shd w:val="clear" w:color="000000" w:fill="D8D8D8"/>
            <w:vAlign w:val="bottom"/>
            <w:hideMark/>
          </w:tcPr>
          <w:p w14:paraId="122299C8" w14:textId="77777777" w:rsidR="000167A8" w:rsidRPr="00F96F90" w:rsidRDefault="000167A8" w:rsidP="000167A8">
            <w:pPr>
              <w:keepNext/>
              <w:keepLines/>
              <w:jc w:val="center"/>
              <w:rPr>
                <w:rFonts w:ascii="Arial Narrow" w:hAnsi="Arial Narrow"/>
                <w:b/>
                <w:bCs/>
                <w:sz w:val="20"/>
                <w:lang w:eastAsia="es-ES"/>
              </w:rPr>
            </w:pPr>
            <w:r w:rsidRPr="00F96F90">
              <w:rPr>
                <w:rFonts w:ascii="Arial Narrow" w:hAnsi="Arial Narrow"/>
                <w:b/>
                <w:bCs/>
                <w:sz w:val="20"/>
                <w:lang w:eastAsia="es-ES"/>
              </w:rPr>
              <w:t>Créditos, derivados, otros</w:t>
            </w:r>
          </w:p>
        </w:tc>
      </w:tr>
      <w:tr w:rsidR="000167A8" w:rsidRPr="00F96F90" w14:paraId="0AC1F41F" w14:textId="77777777" w:rsidTr="000167A8">
        <w:trPr>
          <w:trHeight w:val="287"/>
        </w:trPr>
        <w:tc>
          <w:tcPr>
            <w:tcW w:w="2288" w:type="pct"/>
            <w:tcBorders>
              <w:top w:val="nil"/>
              <w:left w:val="nil"/>
              <w:bottom w:val="nil"/>
              <w:right w:val="nil"/>
            </w:tcBorders>
            <w:shd w:val="clear" w:color="000000" w:fill="D8D8D8"/>
            <w:vAlign w:val="bottom"/>
            <w:hideMark/>
          </w:tcPr>
          <w:p w14:paraId="3CC0F7F7" w14:textId="77777777" w:rsidR="000167A8" w:rsidRPr="00F96F90" w:rsidRDefault="000167A8" w:rsidP="000167A8">
            <w:pPr>
              <w:keepNext/>
              <w:keepLines/>
              <w:rPr>
                <w:rFonts w:ascii="Arial Narrow" w:hAnsi="Arial Narrow"/>
                <w:b/>
                <w:bCs/>
                <w:sz w:val="20"/>
                <w:lang w:eastAsia="es-ES"/>
              </w:rPr>
            </w:pPr>
            <w:r w:rsidRPr="00F96F90">
              <w:rPr>
                <w:rFonts w:ascii="Arial Narrow" w:hAnsi="Arial Narrow"/>
                <w:b/>
                <w:bCs/>
                <w:sz w:val="20"/>
                <w:lang w:eastAsia="es-ES"/>
              </w:rPr>
              <w:t>A largo plazo</w:t>
            </w:r>
          </w:p>
        </w:tc>
        <w:tc>
          <w:tcPr>
            <w:tcW w:w="1184" w:type="pct"/>
            <w:tcBorders>
              <w:top w:val="nil"/>
              <w:left w:val="nil"/>
              <w:bottom w:val="nil"/>
              <w:right w:val="nil"/>
            </w:tcBorders>
            <w:shd w:val="clear" w:color="000000" w:fill="D8D8D8"/>
            <w:vAlign w:val="bottom"/>
            <w:hideMark/>
          </w:tcPr>
          <w:p w14:paraId="51F59AE4" w14:textId="77777777" w:rsidR="000167A8" w:rsidRPr="00850B72" w:rsidRDefault="000167A8" w:rsidP="000167A8">
            <w:pPr>
              <w:keepNext/>
              <w:keepLines/>
              <w:ind w:right="120"/>
              <w:jc w:val="center"/>
              <w:rPr>
                <w:rFonts w:ascii="Arial Narrow" w:hAnsi="Arial Narrow"/>
                <w:b/>
                <w:bCs/>
                <w:sz w:val="20"/>
                <w:lang w:eastAsia="es-ES"/>
              </w:rPr>
            </w:pPr>
            <w:r>
              <w:rPr>
                <w:rFonts w:ascii="Arial Narrow" w:hAnsi="Arial Narrow"/>
                <w:b/>
                <w:bCs/>
                <w:sz w:val="20"/>
                <w:lang w:eastAsia="es-ES"/>
              </w:rPr>
              <w:t xml:space="preserve">                                                    </w:t>
            </w:r>
            <w:r w:rsidRPr="00F96F90">
              <w:rPr>
                <w:rFonts w:ascii="Arial Narrow" w:hAnsi="Arial Narrow"/>
                <w:b/>
                <w:bCs/>
                <w:sz w:val="20"/>
                <w:lang w:eastAsia="es-ES"/>
              </w:rPr>
              <w:t>31/12/201</w:t>
            </w:r>
            <w:r>
              <w:rPr>
                <w:rFonts w:ascii="Arial Narrow" w:hAnsi="Arial Narrow"/>
                <w:b/>
                <w:bCs/>
                <w:sz w:val="20"/>
                <w:lang w:eastAsia="es-ES"/>
              </w:rPr>
              <w:t>9</w:t>
            </w:r>
          </w:p>
        </w:tc>
        <w:tc>
          <w:tcPr>
            <w:tcW w:w="1528" w:type="pct"/>
            <w:tcBorders>
              <w:top w:val="nil"/>
              <w:left w:val="nil"/>
              <w:bottom w:val="nil"/>
              <w:right w:val="nil"/>
            </w:tcBorders>
            <w:shd w:val="clear" w:color="000000" w:fill="D8D8D8"/>
            <w:vAlign w:val="bottom"/>
            <w:hideMark/>
          </w:tcPr>
          <w:p w14:paraId="564406B3" w14:textId="77777777" w:rsidR="000167A8" w:rsidRPr="00850B72" w:rsidRDefault="000167A8" w:rsidP="000167A8">
            <w:pPr>
              <w:keepNext/>
              <w:keepLines/>
              <w:ind w:right="120"/>
              <w:jc w:val="right"/>
              <w:rPr>
                <w:rFonts w:ascii="Arial Narrow" w:hAnsi="Arial Narrow"/>
                <w:b/>
                <w:bCs/>
                <w:sz w:val="20"/>
                <w:lang w:eastAsia="es-ES"/>
              </w:rPr>
            </w:pPr>
            <w:r>
              <w:rPr>
                <w:rFonts w:ascii="Arial Narrow" w:hAnsi="Arial Narrow"/>
                <w:b/>
                <w:bCs/>
                <w:sz w:val="20"/>
                <w:lang w:eastAsia="es-ES"/>
              </w:rPr>
              <w:t xml:space="preserve">                                                    </w:t>
            </w:r>
            <w:r w:rsidRPr="00F96F90">
              <w:rPr>
                <w:rFonts w:ascii="Arial Narrow" w:hAnsi="Arial Narrow"/>
                <w:b/>
                <w:bCs/>
                <w:sz w:val="20"/>
                <w:lang w:eastAsia="es-ES"/>
              </w:rPr>
              <w:t>31/12/201</w:t>
            </w:r>
            <w:r>
              <w:rPr>
                <w:rFonts w:ascii="Arial Narrow" w:hAnsi="Arial Narrow"/>
                <w:b/>
                <w:bCs/>
                <w:sz w:val="20"/>
                <w:lang w:eastAsia="es-ES"/>
              </w:rPr>
              <w:t>8</w:t>
            </w:r>
          </w:p>
        </w:tc>
      </w:tr>
      <w:tr w:rsidR="000167A8" w:rsidRPr="00F96F90" w14:paraId="3C22D34B" w14:textId="77777777" w:rsidTr="000167A8">
        <w:trPr>
          <w:trHeight w:hRule="exact" w:val="180"/>
        </w:trPr>
        <w:tc>
          <w:tcPr>
            <w:tcW w:w="2288" w:type="pct"/>
            <w:tcBorders>
              <w:top w:val="nil"/>
              <w:left w:val="nil"/>
              <w:bottom w:val="nil"/>
              <w:right w:val="nil"/>
            </w:tcBorders>
            <w:shd w:val="clear" w:color="000000" w:fill="FFFFFF"/>
            <w:vAlign w:val="bottom"/>
            <w:hideMark/>
          </w:tcPr>
          <w:p w14:paraId="4DBEFCBD" w14:textId="77777777" w:rsidR="000167A8" w:rsidRPr="00F96F90" w:rsidRDefault="000167A8" w:rsidP="000167A8">
            <w:pPr>
              <w:keepNext/>
              <w:keepLines/>
              <w:rPr>
                <w:rFonts w:ascii="Arial Narrow" w:hAnsi="Arial Narrow"/>
                <w:sz w:val="20"/>
                <w:lang w:eastAsia="es-ES"/>
              </w:rPr>
            </w:pPr>
          </w:p>
        </w:tc>
        <w:tc>
          <w:tcPr>
            <w:tcW w:w="1184" w:type="pct"/>
            <w:tcBorders>
              <w:top w:val="nil"/>
              <w:left w:val="nil"/>
              <w:bottom w:val="nil"/>
              <w:right w:val="nil"/>
            </w:tcBorders>
            <w:shd w:val="clear" w:color="auto" w:fill="auto"/>
            <w:vAlign w:val="bottom"/>
            <w:hideMark/>
          </w:tcPr>
          <w:p w14:paraId="32F2B055" w14:textId="77777777" w:rsidR="000167A8" w:rsidRPr="00F96F90" w:rsidRDefault="000167A8" w:rsidP="000167A8">
            <w:pPr>
              <w:keepNext/>
              <w:keepLines/>
              <w:ind w:right="120"/>
              <w:jc w:val="right"/>
              <w:rPr>
                <w:rFonts w:ascii="Arial Narrow" w:hAnsi="Arial Narrow"/>
                <w:sz w:val="20"/>
                <w:lang w:eastAsia="es-ES"/>
              </w:rPr>
            </w:pPr>
          </w:p>
        </w:tc>
        <w:tc>
          <w:tcPr>
            <w:tcW w:w="1528" w:type="pct"/>
            <w:tcBorders>
              <w:top w:val="nil"/>
              <w:left w:val="nil"/>
              <w:bottom w:val="nil"/>
              <w:right w:val="nil"/>
            </w:tcBorders>
            <w:shd w:val="clear" w:color="auto" w:fill="auto"/>
            <w:vAlign w:val="bottom"/>
            <w:hideMark/>
          </w:tcPr>
          <w:p w14:paraId="23638645" w14:textId="77777777" w:rsidR="000167A8" w:rsidRPr="00F96F90" w:rsidRDefault="000167A8" w:rsidP="000167A8">
            <w:pPr>
              <w:keepNext/>
              <w:keepLines/>
              <w:ind w:right="120"/>
              <w:jc w:val="right"/>
              <w:rPr>
                <w:rFonts w:ascii="Arial Narrow" w:hAnsi="Arial Narrow"/>
                <w:sz w:val="20"/>
                <w:lang w:eastAsia="es-ES"/>
              </w:rPr>
            </w:pPr>
          </w:p>
        </w:tc>
      </w:tr>
      <w:tr w:rsidR="000167A8" w:rsidRPr="00F96F90" w14:paraId="4E193BE9" w14:textId="77777777" w:rsidTr="000167A8">
        <w:trPr>
          <w:trHeight w:val="287"/>
        </w:trPr>
        <w:tc>
          <w:tcPr>
            <w:tcW w:w="2288" w:type="pct"/>
            <w:tcBorders>
              <w:top w:val="nil"/>
              <w:left w:val="nil"/>
              <w:bottom w:val="nil"/>
              <w:right w:val="nil"/>
            </w:tcBorders>
            <w:shd w:val="clear" w:color="000000" w:fill="FFFFFF"/>
            <w:vAlign w:val="center"/>
            <w:hideMark/>
          </w:tcPr>
          <w:p w14:paraId="1F10B000" w14:textId="77777777" w:rsidR="000167A8" w:rsidRPr="00BC6B40" w:rsidRDefault="000167A8" w:rsidP="000167A8">
            <w:pPr>
              <w:keepNext/>
              <w:keepLines/>
              <w:rPr>
                <w:rFonts w:ascii="Arial Narrow" w:hAnsi="Arial Narrow"/>
                <w:sz w:val="20"/>
                <w:lang w:eastAsia="es-ES"/>
              </w:rPr>
            </w:pPr>
            <w:r w:rsidRPr="00BC6B40">
              <w:rPr>
                <w:rFonts w:ascii="Arial Narrow" w:hAnsi="Arial Narrow"/>
                <w:sz w:val="20"/>
                <w:lang w:eastAsia="es-ES"/>
              </w:rPr>
              <w:t>Débitos y partidas a pagar</w:t>
            </w:r>
          </w:p>
        </w:tc>
        <w:tc>
          <w:tcPr>
            <w:tcW w:w="1184" w:type="pct"/>
            <w:tcBorders>
              <w:top w:val="nil"/>
              <w:left w:val="nil"/>
              <w:bottom w:val="nil"/>
              <w:right w:val="nil"/>
            </w:tcBorders>
            <w:shd w:val="clear" w:color="000000" w:fill="FFFFFF"/>
          </w:tcPr>
          <w:p w14:paraId="5E3CBBFA" w14:textId="77777777" w:rsidR="000167A8" w:rsidRPr="00BC6B40" w:rsidRDefault="000167A8" w:rsidP="000167A8">
            <w:pPr>
              <w:jc w:val="right"/>
              <w:rPr>
                <w:rFonts w:ascii="Arial Narrow" w:hAnsi="Arial Narrow"/>
                <w:sz w:val="20"/>
                <w:lang w:eastAsia="es-ES"/>
              </w:rPr>
            </w:pPr>
            <w:r w:rsidRPr="00BC6B40">
              <w:rPr>
                <w:rFonts w:ascii="Arial Narrow" w:hAnsi="Arial Narrow"/>
                <w:sz w:val="20"/>
                <w:lang w:eastAsia="es-ES"/>
              </w:rPr>
              <w:t>1.365.292,49</w:t>
            </w:r>
          </w:p>
        </w:tc>
        <w:tc>
          <w:tcPr>
            <w:tcW w:w="1528" w:type="pct"/>
            <w:tcBorders>
              <w:top w:val="nil"/>
              <w:left w:val="nil"/>
              <w:bottom w:val="nil"/>
              <w:right w:val="nil"/>
            </w:tcBorders>
            <w:shd w:val="clear" w:color="000000" w:fill="FFFFFF"/>
            <w:vAlign w:val="center"/>
            <w:hideMark/>
          </w:tcPr>
          <w:p w14:paraId="5B0446B4" w14:textId="77777777" w:rsidR="000167A8" w:rsidRPr="00F96F90" w:rsidRDefault="000167A8" w:rsidP="000167A8">
            <w:pPr>
              <w:keepNext/>
              <w:keepLines/>
              <w:jc w:val="right"/>
              <w:rPr>
                <w:rFonts w:ascii="Arial Narrow" w:hAnsi="Arial Narrow"/>
                <w:sz w:val="20"/>
                <w:lang w:eastAsia="es-ES"/>
              </w:rPr>
            </w:pPr>
            <w:r>
              <w:rPr>
                <w:rFonts w:ascii="Arial Narrow" w:hAnsi="Arial Narrow"/>
                <w:sz w:val="20"/>
                <w:lang w:eastAsia="es-ES"/>
              </w:rPr>
              <w:t>1.185.698,27</w:t>
            </w:r>
          </w:p>
        </w:tc>
      </w:tr>
      <w:tr w:rsidR="000167A8" w:rsidRPr="00BC6B40" w14:paraId="027591AC" w14:textId="77777777" w:rsidTr="000167A8">
        <w:trPr>
          <w:trHeight w:val="287"/>
        </w:trPr>
        <w:tc>
          <w:tcPr>
            <w:tcW w:w="2288" w:type="pct"/>
            <w:tcBorders>
              <w:top w:val="nil"/>
              <w:left w:val="nil"/>
              <w:bottom w:val="nil"/>
              <w:right w:val="nil"/>
            </w:tcBorders>
            <w:shd w:val="clear" w:color="000000" w:fill="F2F2F2"/>
            <w:vAlign w:val="center"/>
            <w:hideMark/>
          </w:tcPr>
          <w:p w14:paraId="391C2F4A" w14:textId="77777777" w:rsidR="000167A8" w:rsidRPr="00BC6B40" w:rsidRDefault="000167A8" w:rsidP="000167A8">
            <w:pPr>
              <w:keepNext/>
              <w:keepLines/>
              <w:rPr>
                <w:rFonts w:ascii="Arial Narrow" w:hAnsi="Arial Narrow"/>
                <w:b/>
                <w:bCs/>
                <w:sz w:val="20"/>
                <w:lang w:eastAsia="es-ES"/>
              </w:rPr>
            </w:pPr>
            <w:r w:rsidRPr="00BC6B40">
              <w:rPr>
                <w:rFonts w:ascii="Arial Narrow" w:hAnsi="Arial Narrow"/>
                <w:b/>
                <w:bCs/>
                <w:sz w:val="20"/>
                <w:lang w:eastAsia="es-ES"/>
              </w:rPr>
              <w:t>Total largo plazo</w:t>
            </w:r>
          </w:p>
        </w:tc>
        <w:tc>
          <w:tcPr>
            <w:tcW w:w="1184" w:type="pct"/>
            <w:tcBorders>
              <w:top w:val="nil"/>
              <w:left w:val="nil"/>
              <w:bottom w:val="nil"/>
              <w:right w:val="nil"/>
            </w:tcBorders>
            <w:shd w:val="clear" w:color="000000" w:fill="F2F2F2"/>
          </w:tcPr>
          <w:p w14:paraId="094EF4F7" w14:textId="77777777" w:rsidR="000167A8" w:rsidRPr="00BC6B40" w:rsidRDefault="000167A8" w:rsidP="000167A8">
            <w:pPr>
              <w:keepNext/>
              <w:keepLines/>
              <w:jc w:val="right"/>
              <w:rPr>
                <w:rFonts w:ascii="Arial Narrow" w:hAnsi="Arial Narrow"/>
                <w:b/>
                <w:bCs/>
                <w:sz w:val="20"/>
                <w:lang w:eastAsia="es-ES"/>
              </w:rPr>
            </w:pPr>
            <w:r w:rsidRPr="00BC6B40">
              <w:rPr>
                <w:rFonts w:ascii="Arial Narrow" w:hAnsi="Arial Narrow"/>
                <w:b/>
                <w:bCs/>
                <w:sz w:val="20"/>
                <w:lang w:eastAsia="es-ES"/>
              </w:rPr>
              <w:t>1.365.292,49</w:t>
            </w:r>
          </w:p>
        </w:tc>
        <w:tc>
          <w:tcPr>
            <w:tcW w:w="1528" w:type="pct"/>
            <w:tcBorders>
              <w:top w:val="nil"/>
              <w:left w:val="nil"/>
              <w:bottom w:val="nil"/>
              <w:right w:val="nil"/>
            </w:tcBorders>
            <w:shd w:val="clear" w:color="000000" w:fill="F2F2F2"/>
            <w:vAlign w:val="center"/>
            <w:hideMark/>
          </w:tcPr>
          <w:p w14:paraId="35185B5B" w14:textId="77777777" w:rsidR="000167A8" w:rsidRPr="00F96F90" w:rsidRDefault="000167A8" w:rsidP="000167A8">
            <w:pPr>
              <w:keepNext/>
              <w:keepLines/>
              <w:jc w:val="right"/>
              <w:rPr>
                <w:rFonts w:ascii="Arial Narrow" w:hAnsi="Arial Narrow"/>
                <w:b/>
                <w:bCs/>
                <w:sz w:val="20"/>
                <w:lang w:eastAsia="es-ES"/>
              </w:rPr>
            </w:pPr>
            <w:r w:rsidRPr="00BC6B40">
              <w:rPr>
                <w:rFonts w:ascii="Arial Narrow" w:hAnsi="Arial Narrow"/>
                <w:b/>
                <w:bCs/>
                <w:sz w:val="20"/>
                <w:lang w:eastAsia="es-ES"/>
              </w:rPr>
              <w:t>1.185.698,27</w:t>
            </w:r>
          </w:p>
        </w:tc>
      </w:tr>
      <w:tr w:rsidR="000167A8" w:rsidRPr="00F96F90" w14:paraId="6F256F4F" w14:textId="77777777" w:rsidTr="000167A8">
        <w:trPr>
          <w:trHeight w:hRule="exact" w:val="180"/>
        </w:trPr>
        <w:tc>
          <w:tcPr>
            <w:tcW w:w="2288" w:type="pct"/>
            <w:tcBorders>
              <w:top w:val="nil"/>
              <w:left w:val="nil"/>
              <w:bottom w:val="nil"/>
              <w:right w:val="nil"/>
            </w:tcBorders>
            <w:shd w:val="clear" w:color="000000" w:fill="FFFFFF"/>
            <w:vAlign w:val="bottom"/>
            <w:hideMark/>
          </w:tcPr>
          <w:p w14:paraId="73621E44" w14:textId="77777777" w:rsidR="000167A8" w:rsidRPr="00F96F90" w:rsidRDefault="000167A8" w:rsidP="000167A8">
            <w:pPr>
              <w:keepNext/>
              <w:keepLines/>
              <w:rPr>
                <w:rFonts w:ascii="Arial Narrow" w:hAnsi="Arial Narrow"/>
                <w:sz w:val="20"/>
                <w:lang w:eastAsia="es-ES"/>
              </w:rPr>
            </w:pPr>
          </w:p>
        </w:tc>
        <w:tc>
          <w:tcPr>
            <w:tcW w:w="1184" w:type="pct"/>
            <w:tcBorders>
              <w:top w:val="nil"/>
              <w:left w:val="nil"/>
              <w:bottom w:val="nil"/>
              <w:right w:val="nil"/>
            </w:tcBorders>
            <w:shd w:val="clear" w:color="000000" w:fill="FFFFFF"/>
            <w:vAlign w:val="center"/>
          </w:tcPr>
          <w:p w14:paraId="16300C0C" w14:textId="77777777" w:rsidR="000167A8" w:rsidRPr="00F96F90" w:rsidRDefault="000167A8" w:rsidP="000167A8">
            <w:pPr>
              <w:keepNext/>
              <w:keepLines/>
              <w:ind w:right="120"/>
              <w:jc w:val="right"/>
              <w:rPr>
                <w:rFonts w:ascii="Arial Narrow" w:hAnsi="Arial Narrow"/>
                <w:sz w:val="20"/>
                <w:lang w:eastAsia="es-ES"/>
              </w:rPr>
            </w:pPr>
          </w:p>
        </w:tc>
        <w:tc>
          <w:tcPr>
            <w:tcW w:w="1528" w:type="pct"/>
            <w:tcBorders>
              <w:top w:val="nil"/>
              <w:left w:val="nil"/>
              <w:bottom w:val="nil"/>
              <w:right w:val="nil"/>
            </w:tcBorders>
            <w:shd w:val="clear" w:color="000000" w:fill="FFFFFF"/>
            <w:vAlign w:val="center"/>
            <w:hideMark/>
          </w:tcPr>
          <w:p w14:paraId="4C4ADDA2" w14:textId="77777777" w:rsidR="000167A8" w:rsidRPr="00F96F90" w:rsidRDefault="000167A8" w:rsidP="000167A8">
            <w:pPr>
              <w:keepNext/>
              <w:keepLines/>
              <w:ind w:right="120"/>
              <w:jc w:val="right"/>
              <w:rPr>
                <w:rFonts w:ascii="Arial Narrow" w:hAnsi="Arial Narrow"/>
                <w:sz w:val="20"/>
                <w:lang w:eastAsia="es-ES"/>
              </w:rPr>
            </w:pPr>
          </w:p>
        </w:tc>
      </w:tr>
      <w:tr w:rsidR="000167A8" w:rsidRPr="00F96F90" w14:paraId="716B51C4" w14:textId="77777777" w:rsidTr="000167A8">
        <w:trPr>
          <w:trHeight w:val="287"/>
        </w:trPr>
        <w:tc>
          <w:tcPr>
            <w:tcW w:w="2288" w:type="pct"/>
            <w:tcBorders>
              <w:top w:val="nil"/>
              <w:left w:val="nil"/>
              <w:bottom w:val="nil"/>
              <w:right w:val="nil"/>
            </w:tcBorders>
            <w:shd w:val="clear" w:color="000000" w:fill="D8D8D8"/>
            <w:vAlign w:val="bottom"/>
            <w:hideMark/>
          </w:tcPr>
          <w:p w14:paraId="0A2C1347" w14:textId="77777777" w:rsidR="000167A8" w:rsidRPr="00F96F90" w:rsidRDefault="000167A8" w:rsidP="000167A8">
            <w:pPr>
              <w:keepNext/>
              <w:keepLines/>
              <w:rPr>
                <w:rFonts w:ascii="Arial Narrow" w:hAnsi="Arial Narrow"/>
                <w:b/>
                <w:bCs/>
                <w:sz w:val="20"/>
                <w:lang w:eastAsia="es-ES"/>
              </w:rPr>
            </w:pPr>
            <w:r w:rsidRPr="00F96F90">
              <w:rPr>
                <w:rFonts w:ascii="Arial Narrow" w:hAnsi="Arial Narrow"/>
                <w:b/>
                <w:bCs/>
                <w:sz w:val="20"/>
                <w:lang w:eastAsia="es-ES"/>
              </w:rPr>
              <w:t>A corto plazo</w:t>
            </w:r>
          </w:p>
        </w:tc>
        <w:tc>
          <w:tcPr>
            <w:tcW w:w="1184" w:type="pct"/>
            <w:tcBorders>
              <w:top w:val="nil"/>
              <w:left w:val="nil"/>
              <w:bottom w:val="nil"/>
              <w:right w:val="nil"/>
            </w:tcBorders>
            <w:shd w:val="clear" w:color="000000" w:fill="D8D8D8"/>
            <w:vAlign w:val="center"/>
          </w:tcPr>
          <w:p w14:paraId="57EC3BB8" w14:textId="77777777" w:rsidR="000167A8" w:rsidRPr="00F96F90" w:rsidRDefault="000167A8" w:rsidP="000167A8">
            <w:pPr>
              <w:keepNext/>
              <w:keepLines/>
              <w:ind w:right="120"/>
              <w:jc w:val="right"/>
              <w:rPr>
                <w:rFonts w:ascii="Arial Narrow" w:hAnsi="Arial Narrow"/>
                <w:b/>
                <w:bCs/>
                <w:sz w:val="20"/>
                <w:lang w:eastAsia="es-ES"/>
              </w:rPr>
            </w:pPr>
          </w:p>
        </w:tc>
        <w:tc>
          <w:tcPr>
            <w:tcW w:w="1528" w:type="pct"/>
            <w:tcBorders>
              <w:top w:val="nil"/>
              <w:left w:val="nil"/>
              <w:bottom w:val="nil"/>
              <w:right w:val="nil"/>
            </w:tcBorders>
            <w:shd w:val="clear" w:color="000000" w:fill="D8D8D8"/>
            <w:vAlign w:val="center"/>
            <w:hideMark/>
          </w:tcPr>
          <w:p w14:paraId="1CBBF323" w14:textId="77777777" w:rsidR="000167A8" w:rsidRPr="00F96F90" w:rsidRDefault="000167A8" w:rsidP="000167A8">
            <w:pPr>
              <w:keepNext/>
              <w:keepLines/>
              <w:ind w:right="120"/>
              <w:jc w:val="right"/>
              <w:rPr>
                <w:rFonts w:ascii="Arial Narrow" w:hAnsi="Arial Narrow"/>
                <w:b/>
                <w:bCs/>
                <w:sz w:val="20"/>
                <w:lang w:eastAsia="es-ES"/>
              </w:rPr>
            </w:pPr>
          </w:p>
        </w:tc>
      </w:tr>
      <w:tr w:rsidR="000167A8" w:rsidRPr="00F96F90" w14:paraId="3194A7BC" w14:textId="77777777" w:rsidTr="000167A8">
        <w:trPr>
          <w:trHeight w:hRule="exact" w:val="180"/>
        </w:trPr>
        <w:tc>
          <w:tcPr>
            <w:tcW w:w="2288" w:type="pct"/>
            <w:tcBorders>
              <w:top w:val="nil"/>
              <w:left w:val="nil"/>
              <w:bottom w:val="nil"/>
              <w:right w:val="nil"/>
            </w:tcBorders>
            <w:shd w:val="clear" w:color="000000" w:fill="FFFFFF"/>
            <w:vAlign w:val="bottom"/>
            <w:hideMark/>
          </w:tcPr>
          <w:p w14:paraId="3D2CB40E" w14:textId="77777777" w:rsidR="000167A8" w:rsidRPr="00F96F90" w:rsidRDefault="000167A8" w:rsidP="000167A8">
            <w:pPr>
              <w:keepNext/>
              <w:keepLines/>
              <w:rPr>
                <w:rFonts w:ascii="Arial Narrow" w:hAnsi="Arial Narrow"/>
                <w:sz w:val="20"/>
                <w:lang w:eastAsia="es-ES"/>
              </w:rPr>
            </w:pPr>
          </w:p>
        </w:tc>
        <w:tc>
          <w:tcPr>
            <w:tcW w:w="1184" w:type="pct"/>
            <w:tcBorders>
              <w:top w:val="nil"/>
              <w:left w:val="nil"/>
              <w:bottom w:val="nil"/>
              <w:right w:val="nil"/>
            </w:tcBorders>
            <w:shd w:val="clear" w:color="auto" w:fill="auto"/>
            <w:vAlign w:val="center"/>
          </w:tcPr>
          <w:p w14:paraId="77044D7B" w14:textId="77777777" w:rsidR="000167A8" w:rsidRPr="00F96F90" w:rsidRDefault="000167A8" w:rsidP="000167A8">
            <w:pPr>
              <w:keepNext/>
              <w:keepLines/>
              <w:ind w:right="120"/>
              <w:jc w:val="right"/>
              <w:rPr>
                <w:rFonts w:ascii="Arial Narrow" w:hAnsi="Arial Narrow"/>
                <w:b/>
                <w:bCs/>
                <w:sz w:val="20"/>
                <w:lang w:eastAsia="es-ES"/>
              </w:rPr>
            </w:pPr>
          </w:p>
        </w:tc>
        <w:tc>
          <w:tcPr>
            <w:tcW w:w="1528" w:type="pct"/>
            <w:tcBorders>
              <w:top w:val="nil"/>
              <w:left w:val="nil"/>
              <w:bottom w:val="nil"/>
              <w:right w:val="nil"/>
            </w:tcBorders>
            <w:shd w:val="clear" w:color="auto" w:fill="auto"/>
            <w:vAlign w:val="center"/>
            <w:hideMark/>
          </w:tcPr>
          <w:p w14:paraId="7B1D6410" w14:textId="77777777" w:rsidR="000167A8" w:rsidRPr="00F96F90" w:rsidRDefault="000167A8" w:rsidP="000167A8">
            <w:pPr>
              <w:keepNext/>
              <w:keepLines/>
              <w:ind w:right="120"/>
              <w:jc w:val="right"/>
              <w:rPr>
                <w:rFonts w:ascii="Arial Narrow" w:hAnsi="Arial Narrow"/>
                <w:b/>
                <w:bCs/>
                <w:sz w:val="20"/>
                <w:lang w:eastAsia="es-ES"/>
              </w:rPr>
            </w:pPr>
          </w:p>
        </w:tc>
      </w:tr>
      <w:tr w:rsidR="000167A8" w:rsidRPr="00F96F90" w14:paraId="4616D222" w14:textId="77777777" w:rsidTr="000167A8">
        <w:trPr>
          <w:trHeight w:val="287"/>
        </w:trPr>
        <w:tc>
          <w:tcPr>
            <w:tcW w:w="2288" w:type="pct"/>
            <w:tcBorders>
              <w:top w:val="nil"/>
              <w:left w:val="nil"/>
              <w:bottom w:val="nil"/>
              <w:right w:val="nil"/>
            </w:tcBorders>
            <w:shd w:val="clear" w:color="000000" w:fill="FFFFFF"/>
            <w:vAlign w:val="center"/>
            <w:hideMark/>
          </w:tcPr>
          <w:p w14:paraId="2EF39CC2" w14:textId="77777777" w:rsidR="000167A8" w:rsidRPr="00F96F90" w:rsidRDefault="000167A8" w:rsidP="000167A8">
            <w:pPr>
              <w:keepNext/>
              <w:keepLines/>
              <w:rPr>
                <w:rFonts w:ascii="Arial Narrow" w:hAnsi="Arial Narrow" w:cs="Arial"/>
                <w:sz w:val="20"/>
                <w:lang w:eastAsia="es-ES"/>
              </w:rPr>
            </w:pPr>
            <w:r w:rsidRPr="00F96F90">
              <w:rPr>
                <w:rFonts w:ascii="Arial Narrow" w:hAnsi="Arial Narrow" w:cs="Arial"/>
                <w:sz w:val="20"/>
                <w:lang w:eastAsia="es-ES"/>
              </w:rPr>
              <w:t>Débitos y partidas a pagar</w:t>
            </w:r>
          </w:p>
        </w:tc>
        <w:tc>
          <w:tcPr>
            <w:tcW w:w="1184" w:type="pct"/>
            <w:tcBorders>
              <w:top w:val="nil"/>
              <w:left w:val="nil"/>
              <w:bottom w:val="nil"/>
              <w:right w:val="nil"/>
            </w:tcBorders>
            <w:shd w:val="clear" w:color="000000" w:fill="FFFFFF"/>
            <w:vAlign w:val="center"/>
          </w:tcPr>
          <w:p w14:paraId="52D18090" w14:textId="77777777" w:rsidR="000167A8" w:rsidRPr="00F96F90" w:rsidRDefault="000167A8" w:rsidP="000167A8">
            <w:pPr>
              <w:keepNext/>
              <w:keepLines/>
              <w:jc w:val="right"/>
              <w:rPr>
                <w:rFonts w:ascii="Arial Narrow" w:hAnsi="Arial Narrow"/>
                <w:sz w:val="20"/>
                <w:lang w:eastAsia="es-ES"/>
              </w:rPr>
            </w:pPr>
            <w:r w:rsidRPr="00BC6B40">
              <w:rPr>
                <w:rFonts w:ascii="Arial Narrow" w:hAnsi="Arial Narrow"/>
                <w:sz w:val="20"/>
                <w:lang w:eastAsia="es-ES"/>
              </w:rPr>
              <w:t>18.064.808,72</w:t>
            </w:r>
          </w:p>
        </w:tc>
        <w:tc>
          <w:tcPr>
            <w:tcW w:w="1528" w:type="pct"/>
            <w:tcBorders>
              <w:top w:val="nil"/>
              <w:left w:val="nil"/>
              <w:bottom w:val="nil"/>
              <w:right w:val="nil"/>
            </w:tcBorders>
            <w:shd w:val="clear" w:color="000000" w:fill="FFFFFF"/>
            <w:vAlign w:val="center"/>
            <w:hideMark/>
          </w:tcPr>
          <w:p w14:paraId="4A3DF618" w14:textId="77777777" w:rsidR="000167A8" w:rsidRPr="00F96F90" w:rsidRDefault="000167A8" w:rsidP="000167A8">
            <w:pPr>
              <w:keepNext/>
              <w:keepLines/>
              <w:jc w:val="right"/>
              <w:rPr>
                <w:rFonts w:ascii="Arial Narrow" w:hAnsi="Arial Narrow"/>
                <w:sz w:val="20"/>
                <w:lang w:eastAsia="es-ES"/>
              </w:rPr>
            </w:pPr>
            <w:r>
              <w:rPr>
                <w:rFonts w:ascii="Arial Narrow" w:hAnsi="Arial Narrow"/>
                <w:sz w:val="20"/>
                <w:lang w:eastAsia="es-ES"/>
              </w:rPr>
              <w:t>13.157.995,94</w:t>
            </w:r>
          </w:p>
        </w:tc>
      </w:tr>
      <w:tr w:rsidR="000167A8" w:rsidRPr="00F56ADE" w14:paraId="536FC731" w14:textId="77777777" w:rsidTr="000167A8">
        <w:trPr>
          <w:trHeight w:val="287"/>
        </w:trPr>
        <w:tc>
          <w:tcPr>
            <w:tcW w:w="2288" w:type="pct"/>
            <w:tcBorders>
              <w:top w:val="nil"/>
              <w:left w:val="nil"/>
              <w:bottom w:val="nil"/>
              <w:right w:val="nil"/>
            </w:tcBorders>
            <w:shd w:val="clear" w:color="000000" w:fill="F2F2F2"/>
            <w:noWrap/>
            <w:vAlign w:val="center"/>
            <w:hideMark/>
          </w:tcPr>
          <w:p w14:paraId="74882CE7" w14:textId="77777777" w:rsidR="000167A8" w:rsidRPr="00F96F90" w:rsidRDefault="000167A8" w:rsidP="000167A8">
            <w:pPr>
              <w:keepNext/>
              <w:keepLines/>
              <w:rPr>
                <w:rFonts w:ascii="Arial Narrow" w:hAnsi="Arial Narrow"/>
                <w:b/>
                <w:bCs/>
                <w:sz w:val="20"/>
                <w:lang w:eastAsia="es-ES"/>
              </w:rPr>
            </w:pPr>
            <w:r w:rsidRPr="00F96F90">
              <w:rPr>
                <w:rFonts w:ascii="Arial Narrow" w:hAnsi="Arial Narrow"/>
                <w:b/>
                <w:bCs/>
                <w:sz w:val="20"/>
                <w:lang w:eastAsia="es-ES"/>
              </w:rPr>
              <w:t>Total corto plazo</w:t>
            </w:r>
          </w:p>
        </w:tc>
        <w:tc>
          <w:tcPr>
            <w:tcW w:w="1184" w:type="pct"/>
            <w:tcBorders>
              <w:top w:val="nil"/>
              <w:left w:val="nil"/>
              <w:bottom w:val="nil"/>
              <w:right w:val="nil"/>
            </w:tcBorders>
            <w:shd w:val="clear" w:color="000000" w:fill="F2F2F2"/>
            <w:noWrap/>
            <w:vAlign w:val="center"/>
          </w:tcPr>
          <w:p w14:paraId="272F8FDB" w14:textId="77777777" w:rsidR="000167A8" w:rsidRPr="00F96F90" w:rsidRDefault="000167A8" w:rsidP="000167A8">
            <w:pPr>
              <w:keepNext/>
              <w:keepLines/>
              <w:jc w:val="right"/>
              <w:rPr>
                <w:rFonts w:ascii="Arial Narrow" w:hAnsi="Arial Narrow"/>
                <w:b/>
                <w:bCs/>
                <w:sz w:val="20"/>
              </w:rPr>
            </w:pPr>
            <w:r w:rsidRPr="00BC6B40">
              <w:rPr>
                <w:rFonts w:ascii="Arial Narrow" w:hAnsi="Arial Narrow"/>
                <w:b/>
                <w:bCs/>
                <w:sz w:val="20"/>
              </w:rPr>
              <w:t>18.064.808,72</w:t>
            </w:r>
          </w:p>
        </w:tc>
        <w:tc>
          <w:tcPr>
            <w:tcW w:w="1528" w:type="pct"/>
            <w:tcBorders>
              <w:top w:val="nil"/>
              <w:left w:val="nil"/>
              <w:bottom w:val="nil"/>
              <w:right w:val="nil"/>
            </w:tcBorders>
            <w:shd w:val="clear" w:color="000000" w:fill="F2F2F2"/>
            <w:noWrap/>
            <w:vAlign w:val="center"/>
            <w:hideMark/>
          </w:tcPr>
          <w:p w14:paraId="66AE9AA6" w14:textId="77777777" w:rsidR="000167A8" w:rsidRPr="00F96F90" w:rsidRDefault="000167A8" w:rsidP="000167A8">
            <w:pPr>
              <w:keepNext/>
              <w:keepLines/>
              <w:jc w:val="right"/>
              <w:rPr>
                <w:rFonts w:ascii="Arial Narrow" w:hAnsi="Arial Narrow"/>
                <w:b/>
                <w:bCs/>
                <w:sz w:val="20"/>
              </w:rPr>
            </w:pPr>
            <w:r w:rsidRPr="001914F0">
              <w:rPr>
                <w:rFonts w:ascii="Arial Narrow" w:hAnsi="Arial Narrow"/>
                <w:b/>
                <w:bCs/>
                <w:sz w:val="20"/>
              </w:rPr>
              <w:t>13.157.995,94</w:t>
            </w:r>
          </w:p>
        </w:tc>
      </w:tr>
    </w:tbl>
    <w:p w14:paraId="11792910" w14:textId="14B2871E" w:rsidR="005F13DD" w:rsidRPr="005F5C48" w:rsidRDefault="00FE58D2" w:rsidP="005F13DD">
      <w:pPr>
        <w:keepNext/>
        <w:keepLines/>
        <w:rPr>
          <w:rFonts w:ascii="Arial Narrow" w:hAnsi="Arial Narrow" w:cs="Arial"/>
          <w:b/>
          <w:sz w:val="24"/>
          <w:szCs w:val="24"/>
        </w:rPr>
      </w:pPr>
      <w:bookmarkStart w:id="11" w:name="_Hlk34905297"/>
      <w:r w:rsidRPr="005F5C48">
        <w:rPr>
          <w:rFonts w:ascii="Arial Narrow" w:hAnsi="Arial Narrow" w:cs="Arial"/>
          <w:b/>
          <w:sz w:val="24"/>
          <w:szCs w:val="24"/>
          <w:u w:val="single"/>
        </w:rPr>
        <w:t xml:space="preserve">9.3.1 </w:t>
      </w:r>
      <w:r w:rsidR="005F13DD" w:rsidRPr="005F5C48">
        <w:rPr>
          <w:rFonts w:ascii="Arial Narrow" w:hAnsi="Arial Narrow" w:cs="Arial"/>
          <w:b/>
          <w:sz w:val="24"/>
          <w:szCs w:val="24"/>
          <w:u w:val="single"/>
        </w:rPr>
        <w:t>Débitos y partidas a pagar</w:t>
      </w:r>
    </w:p>
    <w:bookmarkEnd w:id="11"/>
    <w:p w14:paraId="70290122" w14:textId="77777777" w:rsidR="004F45B0" w:rsidRDefault="005F13DD" w:rsidP="004F45B0">
      <w:pPr>
        <w:keepNext/>
        <w:keepLines/>
        <w:widowControl w:val="0"/>
        <w:spacing w:before="120" w:after="120"/>
        <w:jc w:val="both"/>
        <w:rPr>
          <w:rFonts w:ascii="Arial Narrow" w:hAnsi="Arial Narrow" w:cs="Arial"/>
          <w:sz w:val="24"/>
          <w:szCs w:val="24"/>
        </w:rPr>
      </w:pPr>
      <w:r w:rsidRPr="00AF37A2">
        <w:rPr>
          <w:rFonts w:ascii="Arial Narrow" w:hAnsi="Arial Narrow" w:cs="Arial"/>
          <w:sz w:val="24"/>
          <w:szCs w:val="24"/>
        </w:rPr>
        <w:t xml:space="preserve">El detalle de débitos y partidas a pagar a 31 de </w:t>
      </w:r>
      <w:r w:rsidRPr="00E740BB">
        <w:rPr>
          <w:rFonts w:ascii="Arial Narrow" w:hAnsi="Arial Narrow" w:cs="Arial"/>
          <w:sz w:val="24"/>
          <w:szCs w:val="24"/>
        </w:rPr>
        <w:t>diciembre de 201</w:t>
      </w:r>
      <w:r w:rsidR="004F45B0">
        <w:rPr>
          <w:rFonts w:ascii="Arial Narrow" w:hAnsi="Arial Narrow" w:cs="Arial"/>
          <w:sz w:val="24"/>
          <w:szCs w:val="24"/>
        </w:rPr>
        <w:t>9</w:t>
      </w:r>
      <w:r w:rsidRPr="00E740BB">
        <w:rPr>
          <w:rFonts w:ascii="Arial Narrow" w:hAnsi="Arial Narrow" w:cs="Arial"/>
          <w:sz w:val="24"/>
          <w:szCs w:val="24"/>
        </w:rPr>
        <w:t xml:space="preserve"> y 201</w:t>
      </w:r>
      <w:r w:rsidR="004F45B0">
        <w:rPr>
          <w:rFonts w:ascii="Arial Narrow" w:hAnsi="Arial Narrow" w:cs="Arial"/>
          <w:sz w:val="24"/>
          <w:szCs w:val="24"/>
        </w:rPr>
        <w:t>8</w:t>
      </w:r>
      <w:r w:rsidRPr="00E740BB">
        <w:rPr>
          <w:rFonts w:ascii="Arial Narrow" w:hAnsi="Arial Narrow" w:cs="Arial"/>
          <w:sz w:val="24"/>
          <w:szCs w:val="24"/>
        </w:rPr>
        <w:t xml:space="preserve"> es el siguiente</w:t>
      </w:r>
      <w:r w:rsidRPr="00AF37A2">
        <w:rPr>
          <w:rFonts w:ascii="Arial Narrow" w:hAnsi="Arial Narrow" w:cs="Arial"/>
          <w:sz w:val="24"/>
          <w:szCs w:val="24"/>
        </w:rPr>
        <w:t>, en euros:</w:t>
      </w:r>
    </w:p>
    <w:p w14:paraId="336A8ED2" w14:textId="77777777" w:rsidR="004F45B0" w:rsidRDefault="004F45B0" w:rsidP="004F45B0">
      <w:pPr>
        <w:keepNext/>
        <w:keepLines/>
        <w:widowControl w:val="0"/>
        <w:spacing w:before="120" w:after="120"/>
        <w:jc w:val="center"/>
        <w:rPr>
          <w:rFonts w:ascii="Arial Narrow" w:hAnsi="Arial Narrow" w:cs="Arial"/>
          <w:sz w:val="24"/>
          <w:szCs w:val="24"/>
        </w:rPr>
      </w:pPr>
      <w:r w:rsidRPr="004F45B0">
        <w:rPr>
          <w:noProof/>
          <w:lang w:val="es-ES" w:eastAsia="es-ES"/>
        </w:rPr>
        <w:drawing>
          <wp:inline distT="0" distB="0" distL="0" distR="0" wp14:anchorId="5CF5C1E8" wp14:editId="5B1CC948">
            <wp:extent cx="4201160" cy="4330700"/>
            <wp:effectExtent l="0" t="0" r="889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01160" cy="4330700"/>
                    </a:xfrm>
                    <a:prstGeom prst="rect">
                      <a:avLst/>
                    </a:prstGeom>
                    <a:noFill/>
                    <a:ln>
                      <a:noFill/>
                    </a:ln>
                  </pic:spPr>
                </pic:pic>
              </a:graphicData>
            </a:graphic>
          </wp:inline>
        </w:drawing>
      </w:r>
    </w:p>
    <w:p w14:paraId="19F5EAD4" w14:textId="77777777" w:rsidR="004F45B0" w:rsidRDefault="004F45B0" w:rsidP="004F45B0">
      <w:pPr>
        <w:keepNext/>
        <w:keepLines/>
        <w:widowControl w:val="0"/>
        <w:spacing w:before="120" w:after="120"/>
        <w:jc w:val="both"/>
        <w:rPr>
          <w:rFonts w:ascii="Arial Narrow" w:hAnsi="Arial Narrow" w:cs="Arial"/>
          <w:sz w:val="24"/>
          <w:szCs w:val="24"/>
        </w:rPr>
      </w:pPr>
    </w:p>
    <w:p w14:paraId="0A3E8702" w14:textId="77777777" w:rsidR="00A76751" w:rsidRDefault="005F13DD" w:rsidP="00A76751">
      <w:pPr>
        <w:spacing w:before="120" w:after="120"/>
        <w:jc w:val="both"/>
        <w:rPr>
          <w:rFonts w:ascii="Arial Narrow" w:hAnsi="Arial Narrow" w:cs="Arial"/>
          <w:spacing w:val="-2"/>
          <w:sz w:val="24"/>
          <w:szCs w:val="24"/>
        </w:rPr>
      </w:pPr>
      <w:r w:rsidRPr="00566DED">
        <w:rPr>
          <w:rFonts w:ascii="Arial Narrow" w:hAnsi="Arial Narrow" w:cs="Arial"/>
          <w:spacing w:val="-2"/>
          <w:sz w:val="24"/>
          <w:szCs w:val="24"/>
        </w:rPr>
        <w:t>El valor contable de las deudas a corto plazo se aproxima a su valor razonable, dado que el efecto del descuento no es significativo.</w:t>
      </w:r>
    </w:p>
    <w:p w14:paraId="1BCE0FDA" w14:textId="77777777" w:rsidR="00A76751" w:rsidRPr="00B70C20" w:rsidRDefault="005F13DD" w:rsidP="00A76751">
      <w:pPr>
        <w:spacing w:before="120" w:after="120"/>
        <w:jc w:val="both"/>
        <w:rPr>
          <w:rFonts w:ascii="Arial Narrow" w:hAnsi="Arial Narrow" w:cs="Arial"/>
          <w:snapToGrid w:val="0"/>
          <w:sz w:val="24"/>
          <w:szCs w:val="24"/>
          <w:u w:val="single"/>
          <w:lang w:eastAsia="es-ES"/>
        </w:rPr>
      </w:pPr>
      <w:r w:rsidRPr="00B70C20">
        <w:rPr>
          <w:rFonts w:ascii="Arial Narrow" w:hAnsi="Arial Narrow" w:cs="Arial"/>
          <w:snapToGrid w:val="0"/>
          <w:sz w:val="24"/>
          <w:szCs w:val="24"/>
          <w:lang w:eastAsia="es-ES"/>
        </w:rPr>
        <w:t xml:space="preserve">a) </w:t>
      </w:r>
      <w:r w:rsidRPr="00B70C20">
        <w:rPr>
          <w:rFonts w:ascii="Arial Narrow" w:hAnsi="Arial Narrow" w:cs="Arial"/>
          <w:snapToGrid w:val="0"/>
          <w:sz w:val="24"/>
          <w:szCs w:val="24"/>
          <w:lang w:eastAsia="es-ES"/>
        </w:rPr>
        <w:tab/>
      </w:r>
      <w:r w:rsidRPr="00B70C20">
        <w:rPr>
          <w:rFonts w:ascii="Arial Narrow" w:hAnsi="Arial Narrow" w:cs="Arial"/>
          <w:snapToGrid w:val="0"/>
          <w:sz w:val="24"/>
          <w:szCs w:val="24"/>
          <w:u w:val="single"/>
          <w:lang w:eastAsia="es-ES"/>
        </w:rPr>
        <w:t>Préstamos con empresas del grupo</w:t>
      </w:r>
    </w:p>
    <w:p w14:paraId="4B42D38B" w14:textId="2328B70C" w:rsidR="005F13DD" w:rsidRPr="004707C7" w:rsidRDefault="005F13DD" w:rsidP="00A76751">
      <w:pPr>
        <w:spacing w:before="120" w:after="120"/>
        <w:jc w:val="both"/>
        <w:rPr>
          <w:rFonts w:ascii="Arial Narrow" w:hAnsi="Arial Narrow" w:cs="Arial"/>
          <w:spacing w:val="-2"/>
          <w:sz w:val="24"/>
          <w:szCs w:val="24"/>
        </w:rPr>
      </w:pPr>
      <w:r w:rsidRPr="00B70C20">
        <w:rPr>
          <w:rFonts w:ascii="Arial Narrow" w:hAnsi="Arial Narrow" w:cs="Arial"/>
          <w:spacing w:val="-2"/>
          <w:sz w:val="24"/>
          <w:szCs w:val="24"/>
        </w:rPr>
        <w:t>En el ejercicio 2011 la “</w:t>
      </w:r>
      <w:r w:rsidRPr="00B70C20">
        <w:rPr>
          <w:rFonts w:ascii="Arial Narrow" w:hAnsi="Arial Narrow" w:cs="Arial"/>
          <w:i/>
          <w:spacing w:val="-2"/>
          <w:sz w:val="24"/>
          <w:szCs w:val="24"/>
        </w:rPr>
        <w:t>Agencia Canaria de Investigación, Innovación y Sociedad de la Información</w:t>
      </w:r>
      <w:r w:rsidRPr="00B70C20">
        <w:rPr>
          <w:rFonts w:ascii="Arial Narrow" w:hAnsi="Arial Narrow" w:cs="Arial"/>
          <w:spacing w:val="-2"/>
          <w:sz w:val="24"/>
          <w:szCs w:val="24"/>
        </w:rPr>
        <w:t xml:space="preserve">” concedió a la Sociedad un préstamo por importe 2.817.281,00 euros, a tipo de interés cero y con vencimiento el 30 de junio del 2023. Dado que los intereses se encuentran implícitos dentro del total concedido, la Sociedad ha procedido a valorarlos de acuerdo con el coste amortizado, usando para ello un tipo de interés acorde con el mercado. </w:t>
      </w:r>
      <w:r w:rsidR="007410E2" w:rsidRPr="007410E2">
        <w:rPr>
          <w:rFonts w:ascii="Arial Narrow" w:hAnsi="Arial Narrow" w:cs="Arial"/>
          <w:spacing w:val="-2"/>
          <w:sz w:val="24"/>
          <w:szCs w:val="24"/>
        </w:rPr>
        <w:t>A 31 de diciembre de 201</w:t>
      </w:r>
      <w:r w:rsidR="007410E2">
        <w:rPr>
          <w:rFonts w:ascii="Arial Narrow" w:hAnsi="Arial Narrow" w:cs="Arial"/>
          <w:spacing w:val="-2"/>
          <w:sz w:val="24"/>
          <w:szCs w:val="24"/>
        </w:rPr>
        <w:t>9</w:t>
      </w:r>
      <w:r w:rsidR="007410E2" w:rsidRPr="007410E2">
        <w:rPr>
          <w:rFonts w:ascii="Arial Narrow" w:hAnsi="Arial Narrow" w:cs="Arial"/>
          <w:spacing w:val="-2"/>
          <w:sz w:val="24"/>
          <w:szCs w:val="24"/>
        </w:rPr>
        <w:t xml:space="preserve">, la deuda pendiente a largo plazo es de </w:t>
      </w:r>
      <w:r w:rsidR="007410E2">
        <w:rPr>
          <w:rFonts w:ascii="Arial Narrow" w:hAnsi="Arial Narrow" w:cs="Arial"/>
          <w:spacing w:val="-2"/>
          <w:sz w:val="24"/>
          <w:szCs w:val="24"/>
        </w:rPr>
        <w:t>637.427,38</w:t>
      </w:r>
      <w:r w:rsidR="007410E2" w:rsidRPr="007410E2">
        <w:rPr>
          <w:rFonts w:ascii="Arial Narrow" w:hAnsi="Arial Narrow" w:cs="Arial"/>
          <w:spacing w:val="-2"/>
          <w:sz w:val="24"/>
          <w:szCs w:val="24"/>
        </w:rPr>
        <w:t xml:space="preserve"> euros y a corto plazo de </w:t>
      </w:r>
      <w:r w:rsidR="00E55B7E">
        <w:rPr>
          <w:rFonts w:ascii="Arial Narrow" w:hAnsi="Arial Narrow" w:cs="Arial"/>
          <w:spacing w:val="-2"/>
          <w:sz w:val="24"/>
          <w:szCs w:val="24"/>
        </w:rPr>
        <w:t>191.267</w:t>
      </w:r>
      <w:r w:rsidR="00854735">
        <w:rPr>
          <w:rFonts w:ascii="Arial Narrow" w:hAnsi="Arial Narrow" w:cs="Arial"/>
          <w:spacing w:val="-2"/>
          <w:sz w:val="24"/>
          <w:szCs w:val="24"/>
        </w:rPr>
        <w:t>,00</w:t>
      </w:r>
      <w:r w:rsidR="007410E2" w:rsidRPr="007410E2">
        <w:rPr>
          <w:rFonts w:ascii="Arial Narrow" w:hAnsi="Arial Narrow" w:cs="Arial"/>
          <w:spacing w:val="-2"/>
          <w:sz w:val="24"/>
          <w:szCs w:val="24"/>
        </w:rPr>
        <w:t xml:space="preserve"> euros, más la parte de intereses generados por importe de </w:t>
      </w:r>
      <w:r w:rsidR="00E55B7E">
        <w:rPr>
          <w:rFonts w:ascii="Arial Narrow" w:hAnsi="Arial Narrow" w:cs="Arial"/>
          <w:spacing w:val="-2"/>
          <w:sz w:val="24"/>
          <w:szCs w:val="24"/>
        </w:rPr>
        <w:t>21.753,22</w:t>
      </w:r>
      <w:r w:rsidR="007410E2" w:rsidRPr="007410E2">
        <w:rPr>
          <w:rFonts w:ascii="Arial Narrow" w:hAnsi="Arial Narrow" w:cs="Arial"/>
          <w:spacing w:val="-2"/>
          <w:sz w:val="24"/>
          <w:szCs w:val="24"/>
        </w:rPr>
        <w:t xml:space="preserve"> euros, para el periodo comprendido entre el 1 de julio y el 31 de diciembre</w:t>
      </w:r>
      <w:r w:rsidR="00854735">
        <w:rPr>
          <w:rFonts w:ascii="Arial Narrow" w:hAnsi="Arial Narrow" w:cs="Arial"/>
          <w:spacing w:val="-2"/>
          <w:sz w:val="24"/>
          <w:szCs w:val="24"/>
        </w:rPr>
        <w:t xml:space="preserve"> de 2019</w:t>
      </w:r>
      <w:r w:rsidR="007410E2" w:rsidRPr="007410E2">
        <w:rPr>
          <w:rFonts w:ascii="Arial Narrow" w:hAnsi="Arial Narrow" w:cs="Arial"/>
          <w:spacing w:val="-2"/>
          <w:sz w:val="24"/>
          <w:szCs w:val="24"/>
        </w:rPr>
        <w:t>, aún no pagados y que serán abonados en la cuota de 20</w:t>
      </w:r>
      <w:r w:rsidR="007410E2">
        <w:rPr>
          <w:rFonts w:ascii="Arial Narrow" w:hAnsi="Arial Narrow" w:cs="Arial"/>
          <w:spacing w:val="-2"/>
          <w:sz w:val="24"/>
          <w:szCs w:val="24"/>
        </w:rPr>
        <w:t>20</w:t>
      </w:r>
      <w:r w:rsidR="007410E2" w:rsidRPr="007410E2">
        <w:rPr>
          <w:rFonts w:ascii="Arial Narrow" w:hAnsi="Arial Narrow" w:cs="Arial"/>
          <w:spacing w:val="-2"/>
          <w:sz w:val="24"/>
          <w:szCs w:val="24"/>
        </w:rPr>
        <w:t xml:space="preserve">, y quedando por subvención de interés de dicho </w:t>
      </w:r>
      <w:r w:rsidR="002F4A22">
        <w:rPr>
          <w:rFonts w:ascii="Arial Narrow" w:hAnsi="Arial Narrow" w:cs="Arial"/>
          <w:spacing w:val="-2"/>
          <w:sz w:val="24"/>
          <w:szCs w:val="24"/>
        </w:rPr>
        <w:t xml:space="preserve">préstamo pendiente de amortizar </w:t>
      </w:r>
      <w:r w:rsidR="007410E2">
        <w:rPr>
          <w:rFonts w:ascii="Arial Narrow" w:hAnsi="Arial Narrow" w:cs="Arial"/>
          <w:spacing w:val="-2"/>
          <w:sz w:val="24"/>
          <w:szCs w:val="24"/>
        </w:rPr>
        <w:t>88.646,17</w:t>
      </w:r>
      <w:r w:rsidR="007410E2" w:rsidRPr="007410E2">
        <w:rPr>
          <w:rFonts w:ascii="Arial Narrow" w:hAnsi="Arial Narrow" w:cs="Arial"/>
          <w:spacing w:val="-2"/>
          <w:sz w:val="24"/>
          <w:szCs w:val="24"/>
        </w:rPr>
        <w:t xml:space="preserve"> euros</w:t>
      </w:r>
      <w:r w:rsidR="007410E2">
        <w:rPr>
          <w:rFonts w:ascii="Arial Narrow" w:hAnsi="Arial Narrow" w:cs="Arial"/>
          <w:spacing w:val="-2"/>
          <w:sz w:val="24"/>
          <w:szCs w:val="24"/>
        </w:rPr>
        <w:t xml:space="preserve">. </w:t>
      </w:r>
      <w:r w:rsidR="00861AD8" w:rsidRPr="00183061">
        <w:rPr>
          <w:rFonts w:ascii="Arial Narrow" w:hAnsi="Arial Narrow" w:cs="Arial"/>
          <w:spacing w:val="-2"/>
          <w:sz w:val="24"/>
          <w:szCs w:val="24"/>
        </w:rPr>
        <w:t>A 31 de diciembre de 201</w:t>
      </w:r>
      <w:r w:rsidR="002F1AC4">
        <w:rPr>
          <w:rFonts w:ascii="Arial Narrow" w:hAnsi="Arial Narrow" w:cs="Arial"/>
          <w:spacing w:val="-2"/>
          <w:sz w:val="24"/>
          <w:szCs w:val="24"/>
        </w:rPr>
        <w:t>8</w:t>
      </w:r>
      <w:r w:rsidRPr="00183061">
        <w:rPr>
          <w:rFonts w:ascii="Arial Narrow" w:hAnsi="Arial Narrow" w:cs="Arial"/>
          <w:spacing w:val="-2"/>
          <w:sz w:val="24"/>
          <w:szCs w:val="24"/>
        </w:rPr>
        <w:t>, la deuda pendiente a largo plazo e</w:t>
      </w:r>
      <w:r w:rsidR="00854735">
        <w:rPr>
          <w:rFonts w:ascii="Arial Narrow" w:hAnsi="Arial Narrow" w:cs="Arial"/>
          <w:spacing w:val="-2"/>
          <w:sz w:val="24"/>
          <w:szCs w:val="24"/>
        </w:rPr>
        <w:t>ra</w:t>
      </w:r>
      <w:r w:rsidRPr="00183061">
        <w:rPr>
          <w:rFonts w:ascii="Arial Narrow" w:hAnsi="Arial Narrow" w:cs="Arial"/>
          <w:spacing w:val="-2"/>
          <w:sz w:val="24"/>
          <w:szCs w:val="24"/>
        </w:rPr>
        <w:t xml:space="preserve"> de </w:t>
      </w:r>
      <w:r w:rsidR="001914F0">
        <w:rPr>
          <w:rFonts w:ascii="Arial Narrow" w:hAnsi="Arial Narrow" w:cs="Arial"/>
          <w:spacing w:val="-2"/>
          <w:sz w:val="24"/>
          <w:szCs w:val="24"/>
        </w:rPr>
        <w:t>828.694,38</w:t>
      </w:r>
      <w:r w:rsidR="00861AD8" w:rsidRPr="00183061">
        <w:rPr>
          <w:rFonts w:ascii="Arial Narrow" w:hAnsi="Arial Narrow" w:cs="Arial"/>
          <w:spacing w:val="-2"/>
          <w:sz w:val="24"/>
          <w:szCs w:val="24"/>
        </w:rPr>
        <w:t xml:space="preserve"> </w:t>
      </w:r>
      <w:r w:rsidRPr="00183061">
        <w:rPr>
          <w:rFonts w:ascii="Arial Narrow" w:hAnsi="Arial Narrow" w:cs="Arial"/>
          <w:spacing w:val="-2"/>
          <w:sz w:val="24"/>
          <w:szCs w:val="24"/>
        </w:rPr>
        <w:t xml:space="preserve">euros y a corto plazo de </w:t>
      </w:r>
      <w:r w:rsidR="000C179C">
        <w:rPr>
          <w:rFonts w:ascii="Arial Narrow" w:hAnsi="Arial Narrow" w:cs="Arial"/>
          <w:spacing w:val="-2"/>
          <w:sz w:val="24"/>
          <w:szCs w:val="24"/>
        </w:rPr>
        <w:t>1</w:t>
      </w:r>
      <w:r w:rsidR="00342FF8">
        <w:rPr>
          <w:rFonts w:ascii="Arial Narrow" w:hAnsi="Arial Narrow" w:cs="Arial"/>
          <w:spacing w:val="-2"/>
          <w:sz w:val="24"/>
          <w:szCs w:val="24"/>
        </w:rPr>
        <w:t>81.726,36</w:t>
      </w:r>
      <w:r w:rsidRPr="00183061">
        <w:rPr>
          <w:rFonts w:ascii="Arial Narrow" w:hAnsi="Arial Narrow" w:cs="Arial"/>
          <w:spacing w:val="-2"/>
          <w:sz w:val="24"/>
          <w:szCs w:val="24"/>
        </w:rPr>
        <w:t xml:space="preserve"> euros</w:t>
      </w:r>
      <w:r w:rsidR="00FA3810" w:rsidRPr="004707C7">
        <w:rPr>
          <w:rFonts w:ascii="Arial Narrow" w:hAnsi="Arial Narrow" w:cs="Arial"/>
          <w:spacing w:val="-2"/>
          <w:sz w:val="24"/>
          <w:szCs w:val="24"/>
        </w:rPr>
        <w:t xml:space="preserve">, más la parte de intereses generados por importe de </w:t>
      </w:r>
      <w:r w:rsidR="00342FF8">
        <w:rPr>
          <w:rFonts w:ascii="Arial Narrow" w:hAnsi="Arial Narrow" w:cs="Arial"/>
          <w:spacing w:val="-2"/>
          <w:sz w:val="24"/>
          <w:szCs w:val="24"/>
        </w:rPr>
        <w:t>26.523,54</w:t>
      </w:r>
      <w:r w:rsidR="00FA3810" w:rsidRPr="004707C7">
        <w:rPr>
          <w:rFonts w:ascii="Arial Narrow" w:hAnsi="Arial Narrow" w:cs="Arial"/>
          <w:spacing w:val="-2"/>
          <w:sz w:val="24"/>
          <w:szCs w:val="24"/>
        </w:rPr>
        <w:t xml:space="preserve"> euros, para el periodo comprendido entre el 1 de julio y el 31 de diciembre</w:t>
      </w:r>
      <w:r w:rsidR="00854735">
        <w:rPr>
          <w:rFonts w:ascii="Arial Narrow" w:hAnsi="Arial Narrow" w:cs="Arial"/>
          <w:spacing w:val="-2"/>
          <w:sz w:val="24"/>
          <w:szCs w:val="24"/>
        </w:rPr>
        <w:t xml:space="preserve"> de 2018</w:t>
      </w:r>
      <w:r w:rsidR="00FA3810" w:rsidRPr="004707C7">
        <w:rPr>
          <w:rFonts w:ascii="Arial Narrow" w:hAnsi="Arial Narrow" w:cs="Arial"/>
          <w:spacing w:val="-2"/>
          <w:sz w:val="24"/>
          <w:szCs w:val="24"/>
        </w:rPr>
        <w:t xml:space="preserve">, aún no pagados y que </w:t>
      </w:r>
      <w:r w:rsidR="00854735">
        <w:rPr>
          <w:rFonts w:ascii="Arial Narrow" w:hAnsi="Arial Narrow" w:cs="Arial"/>
          <w:spacing w:val="-2"/>
          <w:sz w:val="24"/>
          <w:szCs w:val="24"/>
        </w:rPr>
        <w:t>fueron</w:t>
      </w:r>
      <w:r w:rsidR="00FA3810" w:rsidRPr="004707C7">
        <w:rPr>
          <w:rFonts w:ascii="Arial Narrow" w:hAnsi="Arial Narrow" w:cs="Arial"/>
          <w:spacing w:val="-2"/>
          <w:sz w:val="24"/>
          <w:szCs w:val="24"/>
        </w:rPr>
        <w:t xml:space="preserve"> abonados en la cuota de </w:t>
      </w:r>
      <w:r w:rsidR="001914F0" w:rsidRPr="004707C7">
        <w:rPr>
          <w:rFonts w:ascii="Arial Narrow" w:hAnsi="Arial Narrow" w:cs="Arial"/>
          <w:spacing w:val="-2"/>
          <w:sz w:val="24"/>
          <w:szCs w:val="24"/>
        </w:rPr>
        <w:t>201</w:t>
      </w:r>
      <w:r w:rsidR="001914F0">
        <w:rPr>
          <w:rFonts w:ascii="Arial Narrow" w:hAnsi="Arial Narrow" w:cs="Arial"/>
          <w:spacing w:val="-2"/>
          <w:sz w:val="24"/>
          <w:szCs w:val="24"/>
        </w:rPr>
        <w:t>9</w:t>
      </w:r>
      <w:r w:rsidR="00FA3810" w:rsidRPr="004707C7">
        <w:rPr>
          <w:rFonts w:ascii="Arial Narrow" w:hAnsi="Arial Narrow" w:cs="Arial"/>
          <w:spacing w:val="-2"/>
          <w:sz w:val="24"/>
          <w:szCs w:val="24"/>
        </w:rPr>
        <w:t xml:space="preserve">, </w:t>
      </w:r>
      <w:r w:rsidRPr="004707C7">
        <w:rPr>
          <w:rFonts w:ascii="Arial Narrow" w:hAnsi="Arial Narrow" w:cs="Arial"/>
          <w:spacing w:val="-2"/>
          <w:sz w:val="24"/>
          <w:szCs w:val="24"/>
        </w:rPr>
        <w:t xml:space="preserve">y </w:t>
      </w:r>
      <w:r w:rsidR="000C179C">
        <w:rPr>
          <w:rFonts w:ascii="Arial Narrow" w:hAnsi="Arial Narrow" w:cs="Arial"/>
          <w:spacing w:val="-2"/>
          <w:sz w:val="24"/>
          <w:szCs w:val="24"/>
        </w:rPr>
        <w:t xml:space="preserve">quedando </w:t>
      </w:r>
      <w:r w:rsidRPr="004707C7">
        <w:rPr>
          <w:rFonts w:ascii="Arial Narrow" w:hAnsi="Arial Narrow" w:cs="Arial"/>
          <w:spacing w:val="-2"/>
          <w:sz w:val="24"/>
          <w:szCs w:val="24"/>
        </w:rPr>
        <w:t xml:space="preserve">por subvención de </w:t>
      </w:r>
      <w:r w:rsidR="000C179C">
        <w:rPr>
          <w:rFonts w:ascii="Arial Narrow" w:hAnsi="Arial Narrow" w:cs="Arial"/>
          <w:spacing w:val="-2"/>
          <w:sz w:val="24"/>
          <w:szCs w:val="24"/>
        </w:rPr>
        <w:t>interés de dicho préstamo pendiente de amortizar</w:t>
      </w:r>
      <w:r w:rsidR="000C179C" w:rsidRPr="004707C7">
        <w:rPr>
          <w:rFonts w:ascii="Arial Narrow" w:hAnsi="Arial Narrow" w:cs="Arial"/>
          <w:spacing w:val="-2"/>
          <w:sz w:val="24"/>
          <w:szCs w:val="24"/>
        </w:rPr>
        <w:t xml:space="preserve"> </w:t>
      </w:r>
      <w:r w:rsidR="001914F0">
        <w:rPr>
          <w:rFonts w:ascii="Arial Narrow" w:hAnsi="Arial Narrow" w:cs="Arial"/>
          <w:spacing w:val="-2"/>
          <w:sz w:val="24"/>
          <w:szCs w:val="24"/>
        </w:rPr>
        <w:t>136.922,94</w:t>
      </w:r>
      <w:r w:rsidRPr="001914F0">
        <w:rPr>
          <w:rFonts w:ascii="Arial Narrow" w:hAnsi="Arial Narrow" w:cs="Arial"/>
          <w:spacing w:val="-2"/>
          <w:sz w:val="24"/>
          <w:szCs w:val="24"/>
        </w:rPr>
        <w:t xml:space="preserve"> euros</w:t>
      </w:r>
      <w:r w:rsidR="00E55B7E">
        <w:rPr>
          <w:rFonts w:ascii="Arial Narrow" w:hAnsi="Arial Narrow" w:cs="Arial"/>
          <w:spacing w:val="-2"/>
          <w:sz w:val="24"/>
          <w:szCs w:val="24"/>
        </w:rPr>
        <w:t>.</w:t>
      </w:r>
    </w:p>
    <w:p w14:paraId="5DBA61EC" w14:textId="77777777" w:rsidR="005F13DD" w:rsidRPr="00B70C20" w:rsidRDefault="005F13DD" w:rsidP="005F13DD">
      <w:pPr>
        <w:keepNext/>
        <w:keepLines/>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120"/>
        <w:ind w:right="142"/>
        <w:jc w:val="both"/>
        <w:rPr>
          <w:rFonts w:ascii="Arial Narrow" w:hAnsi="Arial Narrow" w:cs="Arial"/>
          <w:snapToGrid w:val="0"/>
          <w:sz w:val="24"/>
          <w:szCs w:val="24"/>
          <w:lang w:eastAsia="es-ES"/>
        </w:rPr>
      </w:pPr>
      <w:bookmarkStart w:id="12" w:name="_Hlk34905282"/>
      <w:r w:rsidRPr="00B70C20">
        <w:rPr>
          <w:rFonts w:ascii="Arial Narrow" w:hAnsi="Arial Narrow" w:cs="Arial"/>
          <w:snapToGrid w:val="0"/>
          <w:sz w:val="24"/>
          <w:szCs w:val="24"/>
          <w:lang w:eastAsia="es-ES"/>
        </w:rPr>
        <w:t xml:space="preserve">b) </w:t>
      </w:r>
      <w:r w:rsidRPr="00B70C20">
        <w:rPr>
          <w:rFonts w:ascii="Arial Narrow" w:hAnsi="Arial Narrow" w:cs="Arial"/>
          <w:snapToGrid w:val="0"/>
          <w:sz w:val="24"/>
          <w:szCs w:val="24"/>
          <w:lang w:eastAsia="es-ES"/>
        </w:rPr>
        <w:tab/>
      </w:r>
      <w:r w:rsidRPr="00B70C20">
        <w:rPr>
          <w:rFonts w:ascii="Arial Narrow" w:hAnsi="Arial Narrow" w:cs="Arial"/>
          <w:snapToGrid w:val="0"/>
          <w:sz w:val="24"/>
          <w:szCs w:val="24"/>
          <w:u w:val="single"/>
          <w:lang w:eastAsia="es-ES"/>
        </w:rPr>
        <w:t>Otras deudas</w:t>
      </w:r>
    </w:p>
    <w:bookmarkEnd w:id="12"/>
    <w:p w14:paraId="524B8030" w14:textId="77777777" w:rsidR="00F10B31" w:rsidRDefault="00F10B31" w:rsidP="00F10B31">
      <w:pPr>
        <w:spacing w:before="120" w:after="120"/>
        <w:jc w:val="both"/>
        <w:rPr>
          <w:rFonts w:ascii="Arial Narrow" w:hAnsi="Arial Narrow" w:cs="Arial"/>
          <w:spacing w:val="-2"/>
          <w:sz w:val="24"/>
          <w:szCs w:val="24"/>
        </w:rPr>
      </w:pPr>
      <w:r w:rsidRPr="000F1778">
        <w:rPr>
          <w:rFonts w:ascii="Arial Narrow" w:hAnsi="Arial Narrow" w:cs="Arial"/>
          <w:spacing w:val="-2"/>
          <w:sz w:val="24"/>
          <w:szCs w:val="24"/>
        </w:rPr>
        <w:t>En el ejercicio 2019, se incluyen 2.644,90 euros (67.429,70 euros en el 2018) correspondientes a importes debidos a socios de proyectos subvencionados en los que el ITC actúa como Jefe de Fila y pendientes de abonar por parte del organismo financiador. Esta cifra ha bajado considerablemente porque desde la última convocatoria MAC, el organismo financiador ingresa a cada socio los gastos justificados sin pasar por el Jefe de Fila y este importe son correspondientes a proyectos antiguos, pendientes de la resolución final del proyecto.</w:t>
      </w:r>
    </w:p>
    <w:p w14:paraId="35818908" w14:textId="77777777" w:rsidR="00F10B31" w:rsidRDefault="00F10B31" w:rsidP="00F10B31">
      <w:pPr>
        <w:spacing w:before="120" w:after="120"/>
        <w:jc w:val="both"/>
        <w:rPr>
          <w:rFonts w:ascii="Arial Narrow" w:hAnsi="Arial Narrow" w:cs="Arial"/>
          <w:spacing w:val="-2"/>
          <w:sz w:val="24"/>
          <w:szCs w:val="24"/>
        </w:rPr>
      </w:pPr>
    </w:p>
    <w:p w14:paraId="4572B858" w14:textId="77777777" w:rsidR="005F13DD" w:rsidRPr="00B70C20" w:rsidRDefault="005F13DD" w:rsidP="00F10B31">
      <w:pPr>
        <w:spacing w:before="120" w:after="120"/>
        <w:jc w:val="both"/>
        <w:rPr>
          <w:rFonts w:ascii="Arial Narrow" w:hAnsi="Arial Narrow" w:cs="Arial"/>
          <w:snapToGrid w:val="0"/>
          <w:sz w:val="24"/>
          <w:szCs w:val="24"/>
          <w:u w:val="single"/>
          <w:lang w:eastAsia="es-ES"/>
        </w:rPr>
      </w:pPr>
      <w:r w:rsidRPr="00B70C20">
        <w:rPr>
          <w:rFonts w:ascii="Arial Narrow" w:hAnsi="Arial Narrow" w:cs="Arial"/>
          <w:snapToGrid w:val="0"/>
          <w:sz w:val="24"/>
          <w:szCs w:val="24"/>
          <w:lang w:eastAsia="es-ES"/>
        </w:rPr>
        <w:t xml:space="preserve">c) </w:t>
      </w:r>
      <w:r w:rsidRPr="00B70C20">
        <w:rPr>
          <w:rFonts w:ascii="Arial Narrow" w:hAnsi="Arial Narrow" w:cs="Arial"/>
          <w:snapToGrid w:val="0"/>
          <w:sz w:val="24"/>
          <w:szCs w:val="24"/>
          <w:lang w:eastAsia="es-ES"/>
        </w:rPr>
        <w:tab/>
      </w:r>
      <w:r w:rsidRPr="00B70C20">
        <w:rPr>
          <w:rFonts w:ascii="Arial Narrow" w:hAnsi="Arial Narrow" w:cs="Arial"/>
          <w:snapToGrid w:val="0"/>
          <w:sz w:val="24"/>
          <w:szCs w:val="24"/>
          <w:u w:val="single"/>
          <w:lang w:eastAsia="es-ES"/>
        </w:rPr>
        <w:t>Subvenciones reintegrables de capital</w:t>
      </w:r>
    </w:p>
    <w:p w14:paraId="5D16E9E6" w14:textId="4C617BAE" w:rsidR="005B7E94" w:rsidRPr="00FD2733" w:rsidRDefault="005F13DD" w:rsidP="005B7E94">
      <w:pPr>
        <w:spacing w:before="120" w:after="120"/>
        <w:jc w:val="both"/>
        <w:rPr>
          <w:rFonts w:ascii="Arial Narrow" w:hAnsi="Arial Narrow" w:cs="Arial"/>
          <w:spacing w:val="-2"/>
          <w:sz w:val="24"/>
          <w:szCs w:val="24"/>
        </w:rPr>
      </w:pPr>
      <w:r w:rsidRPr="004707C7">
        <w:rPr>
          <w:rFonts w:ascii="Arial Narrow" w:hAnsi="Arial Narrow" w:cs="Arial"/>
          <w:spacing w:val="-2"/>
          <w:sz w:val="24"/>
          <w:szCs w:val="24"/>
        </w:rPr>
        <w:t xml:space="preserve">Esta cuenta incluye las subvenciones de capital concedidas a la Sociedad </w:t>
      </w:r>
      <w:r w:rsidR="00B93B17" w:rsidRPr="004707C7">
        <w:rPr>
          <w:rFonts w:ascii="Arial Narrow" w:hAnsi="Arial Narrow" w:cs="Arial"/>
          <w:spacing w:val="-2"/>
          <w:sz w:val="24"/>
          <w:szCs w:val="24"/>
        </w:rPr>
        <w:t>y que</w:t>
      </w:r>
      <w:r w:rsidR="00FD2733" w:rsidRPr="004707C7">
        <w:rPr>
          <w:rFonts w:ascii="Arial Narrow" w:hAnsi="Arial Narrow" w:cs="Arial"/>
          <w:spacing w:val="-2"/>
          <w:sz w:val="24"/>
          <w:szCs w:val="24"/>
        </w:rPr>
        <w:t>,</w:t>
      </w:r>
      <w:r w:rsidR="00B93B17" w:rsidRPr="004707C7">
        <w:rPr>
          <w:rFonts w:ascii="Arial Narrow" w:hAnsi="Arial Narrow" w:cs="Arial"/>
          <w:spacing w:val="-2"/>
          <w:sz w:val="24"/>
          <w:szCs w:val="24"/>
        </w:rPr>
        <w:t xml:space="preserve"> a 31 de diciembre de 201</w:t>
      </w:r>
      <w:r w:rsidR="00E55B7E">
        <w:rPr>
          <w:rFonts w:ascii="Arial Narrow" w:hAnsi="Arial Narrow" w:cs="Arial"/>
          <w:spacing w:val="-2"/>
          <w:sz w:val="24"/>
          <w:szCs w:val="24"/>
        </w:rPr>
        <w:t>9</w:t>
      </w:r>
      <w:r w:rsidR="00FD2733" w:rsidRPr="004707C7">
        <w:rPr>
          <w:rFonts w:ascii="Arial Narrow" w:hAnsi="Arial Narrow" w:cs="Arial"/>
          <w:spacing w:val="-2"/>
          <w:sz w:val="24"/>
          <w:szCs w:val="24"/>
        </w:rPr>
        <w:t>,</w:t>
      </w:r>
      <w:r w:rsidRPr="004707C7">
        <w:rPr>
          <w:rFonts w:ascii="Arial Narrow" w:hAnsi="Arial Narrow" w:cs="Arial"/>
          <w:spacing w:val="-2"/>
          <w:sz w:val="24"/>
          <w:szCs w:val="24"/>
        </w:rPr>
        <w:t xml:space="preserve"> no se ha cumplido con todos los requisitos incluidos en la orden de concesión. La Sociedad las clasifica a corto plazo al considerar que se cumplirá con los compromisos asumidos en la aceptación de la</w:t>
      </w:r>
      <w:r w:rsidR="00FD2733" w:rsidRPr="004707C7">
        <w:rPr>
          <w:rFonts w:ascii="Arial Narrow" w:hAnsi="Arial Narrow" w:cs="Arial"/>
          <w:spacing w:val="-2"/>
          <w:sz w:val="24"/>
          <w:szCs w:val="24"/>
        </w:rPr>
        <w:t xml:space="preserve"> subvención en el ejercicio 20</w:t>
      </w:r>
      <w:r w:rsidR="00E55B7E">
        <w:rPr>
          <w:rFonts w:ascii="Arial Narrow" w:hAnsi="Arial Narrow" w:cs="Arial"/>
          <w:spacing w:val="-2"/>
          <w:sz w:val="24"/>
          <w:szCs w:val="24"/>
        </w:rPr>
        <w:t>20</w:t>
      </w:r>
      <w:r w:rsidR="005B7E94">
        <w:rPr>
          <w:rFonts w:ascii="Arial Narrow" w:hAnsi="Arial Narrow" w:cs="Arial"/>
          <w:spacing w:val="-2"/>
          <w:sz w:val="24"/>
          <w:szCs w:val="24"/>
        </w:rPr>
        <w:t xml:space="preserve"> y cuyo saldo </w:t>
      </w:r>
      <w:r w:rsidR="005B7E94" w:rsidRPr="00FD2733">
        <w:rPr>
          <w:rFonts w:ascii="Arial Narrow" w:hAnsi="Arial Narrow" w:cs="Arial"/>
          <w:spacing w:val="-2"/>
          <w:sz w:val="24"/>
          <w:szCs w:val="24"/>
        </w:rPr>
        <w:t xml:space="preserve">asciende a </w:t>
      </w:r>
      <w:r w:rsidR="00DF35F1">
        <w:rPr>
          <w:rFonts w:ascii="Arial Narrow" w:hAnsi="Arial Narrow" w:cs="Arial"/>
          <w:spacing w:val="-2"/>
          <w:sz w:val="24"/>
          <w:szCs w:val="24"/>
        </w:rPr>
        <w:t xml:space="preserve">6.651.534,48 €, </w:t>
      </w:r>
      <w:r w:rsidR="005B7E94">
        <w:rPr>
          <w:rFonts w:ascii="Arial Narrow" w:hAnsi="Arial Narrow" w:cs="Arial"/>
          <w:spacing w:val="-2"/>
          <w:sz w:val="24"/>
          <w:szCs w:val="24"/>
        </w:rPr>
        <w:t>6.172.890,57</w:t>
      </w:r>
      <w:r w:rsidR="005B7E94" w:rsidRPr="00FD2733">
        <w:rPr>
          <w:rFonts w:ascii="Arial Narrow" w:hAnsi="Arial Narrow" w:cs="Arial"/>
          <w:spacing w:val="-2"/>
          <w:sz w:val="24"/>
          <w:szCs w:val="24"/>
        </w:rPr>
        <w:t xml:space="preserve"> euros</w:t>
      </w:r>
      <w:r w:rsidR="00DF35F1">
        <w:rPr>
          <w:rFonts w:ascii="Arial Narrow" w:hAnsi="Arial Narrow" w:cs="Arial"/>
          <w:spacing w:val="-2"/>
          <w:sz w:val="24"/>
          <w:szCs w:val="24"/>
        </w:rPr>
        <w:t xml:space="preserve"> en el año 2018.</w:t>
      </w:r>
    </w:p>
    <w:p w14:paraId="531805E7" w14:textId="6D1D10D0" w:rsidR="000E3A24" w:rsidRDefault="000F1778" w:rsidP="00F97FE8">
      <w:pPr>
        <w:spacing w:before="120" w:after="120"/>
        <w:jc w:val="both"/>
        <w:rPr>
          <w:rFonts w:ascii="Arial Narrow" w:hAnsi="Arial Narrow" w:cs="Arial"/>
          <w:spacing w:val="-2"/>
          <w:sz w:val="24"/>
          <w:szCs w:val="24"/>
          <w:highlight w:val="yellow"/>
        </w:rPr>
      </w:pPr>
      <w:r w:rsidRPr="000F1778">
        <w:rPr>
          <w:rFonts w:ascii="Arial Narrow" w:hAnsi="Arial Narrow" w:cs="Arial"/>
          <w:spacing w:val="-2"/>
          <w:sz w:val="24"/>
          <w:szCs w:val="24"/>
        </w:rPr>
        <w:t>En el ejercicio 2010  la Sociedad recibió una subvención para el desarrollo del Convenio suscrito entre el Ministerio de Ciencia e Innovación y el Gobierno de Canarias para el fortalecimiento y apoyo a la Red de Parques Tecnológicos de Canarias a través de la Agencia Canaria de Investigación, Innovación y Sociedad de la Información (ACIISI), cuyo importe reintegrable a fecha 31 de diciembre de 2018, ascendía a 3.041.224,30 euros, y que se justificó íntegramente en 2018, por lo que en el año 2019 se saldó el saldo pendiente no cobrado por el ITC y que en la resolución de justificación indicaba que dicho importe pendiente no se iba a ejecutar</w:t>
      </w:r>
      <w:r w:rsidR="003E21A8">
        <w:rPr>
          <w:rFonts w:ascii="Arial Narrow" w:hAnsi="Arial Narrow" w:cs="Arial"/>
          <w:spacing w:val="-2"/>
          <w:sz w:val="24"/>
          <w:szCs w:val="24"/>
        </w:rPr>
        <w:t>,</w:t>
      </w:r>
      <w:r w:rsidRPr="000F1778">
        <w:rPr>
          <w:rFonts w:ascii="Arial Narrow" w:hAnsi="Arial Narrow" w:cs="Arial"/>
          <w:spacing w:val="-2"/>
          <w:sz w:val="24"/>
          <w:szCs w:val="24"/>
        </w:rPr>
        <w:t xml:space="preserve"> y por tanto</w:t>
      </w:r>
      <w:r w:rsidR="003E21A8">
        <w:rPr>
          <w:rFonts w:ascii="Arial Narrow" w:hAnsi="Arial Narrow" w:cs="Arial"/>
          <w:spacing w:val="-2"/>
          <w:sz w:val="24"/>
          <w:szCs w:val="24"/>
        </w:rPr>
        <w:t>,</w:t>
      </w:r>
      <w:r w:rsidRPr="000F1778">
        <w:rPr>
          <w:rFonts w:ascii="Arial Narrow" w:hAnsi="Arial Narrow" w:cs="Arial"/>
          <w:spacing w:val="-2"/>
          <w:sz w:val="24"/>
          <w:szCs w:val="24"/>
        </w:rPr>
        <w:t xml:space="preserve"> era la resolución definitiva de justificación.</w:t>
      </w:r>
    </w:p>
    <w:p w14:paraId="413A1B67" w14:textId="52D29A2D" w:rsidR="003E21A8" w:rsidRDefault="00FA3810" w:rsidP="00F97FE8">
      <w:pPr>
        <w:spacing w:before="120" w:after="120"/>
        <w:jc w:val="both"/>
        <w:rPr>
          <w:rFonts w:ascii="Arial Narrow" w:hAnsi="Arial Narrow" w:cs="Arial"/>
          <w:spacing w:val="-2"/>
          <w:sz w:val="24"/>
          <w:szCs w:val="24"/>
        </w:rPr>
      </w:pPr>
      <w:r w:rsidRPr="00FE2086">
        <w:rPr>
          <w:rFonts w:ascii="Arial Narrow" w:hAnsi="Arial Narrow" w:cs="Arial"/>
          <w:spacing w:val="-2"/>
          <w:sz w:val="24"/>
          <w:szCs w:val="24"/>
        </w:rPr>
        <w:t xml:space="preserve">El resto de las subvenciones reintegrables de capital </w:t>
      </w:r>
      <w:r w:rsidR="00F97FE8" w:rsidRPr="00FE2086">
        <w:rPr>
          <w:rFonts w:ascii="Arial Narrow" w:hAnsi="Arial Narrow" w:cs="Arial"/>
          <w:spacing w:val="-2"/>
          <w:sz w:val="24"/>
          <w:szCs w:val="24"/>
        </w:rPr>
        <w:t xml:space="preserve">o </w:t>
      </w:r>
      <w:r w:rsidRPr="00FE2086">
        <w:rPr>
          <w:rFonts w:ascii="Arial Narrow" w:hAnsi="Arial Narrow" w:cs="Arial"/>
          <w:spacing w:val="-2"/>
          <w:sz w:val="24"/>
          <w:szCs w:val="24"/>
        </w:rPr>
        <w:t>son de nueva concesión</w:t>
      </w:r>
      <w:r w:rsidR="00F97FE8" w:rsidRPr="00FE2086">
        <w:rPr>
          <w:rFonts w:ascii="Arial Narrow" w:hAnsi="Arial Narrow" w:cs="Arial"/>
          <w:spacing w:val="-2"/>
          <w:sz w:val="24"/>
          <w:szCs w:val="24"/>
        </w:rPr>
        <w:t xml:space="preserve"> o provienen de ejercicios anteriores como</w:t>
      </w:r>
      <w:r w:rsidRPr="00FE2086">
        <w:rPr>
          <w:rFonts w:ascii="Arial Narrow" w:hAnsi="Arial Narrow" w:cs="Arial"/>
          <w:spacing w:val="-2"/>
          <w:sz w:val="24"/>
          <w:szCs w:val="24"/>
        </w:rPr>
        <w:t xml:space="preserve"> </w:t>
      </w:r>
      <w:r w:rsidR="00FE2086" w:rsidRPr="00FE2086">
        <w:rPr>
          <w:rFonts w:ascii="Arial Narrow" w:hAnsi="Arial Narrow" w:cs="Arial"/>
          <w:spacing w:val="-2"/>
          <w:sz w:val="24"/>
          <w:szCs w:val="24"/>
        </w:rPr>
        <w:t>las correspondientes</w:t>
      </w:r>
      <w:r w:rsidRPr="00FE2086">
        <w:rPr>
          <w:rFonts w:ascii="Arial Narrow" w:hAnsi="Arial Narrow" w:cs="Arial"/>
          <w:spacing w:val="-2"/>
          <w:sz w:val="24"/>
          <w:szCs w:val="24"/>
        </w:rPr>
        <w:t xml:space="preserve"> a la convocatoria MAC 2014-2020</w:t>
      </w:r>
      <w:r w:rsidR="006D016B" w:rsidRPr="00FE2086">
        <w:rPr>
          <w:rFonts w:ascii="Arial Narrow" w:hAnsi="Arial Narrow" w:cs="Arial"/>
          <w:spacing w:val="-2"/>
          <w:sz w:val="24"/>
          <w:szCs w:val="24"/>
        </w:rPr>
        <w:t xml:space="preserve"> de proyectos europeos </w:t>
      </w:r>
      <w:r w:rsidR="003E21A8" w:rsidRPr="003E21A8">
        <w:rPr>
          <w:rFonts w:ascii="Arial Narrow" w:hAnsi="Arial Narrow" w:cs="Arial"/>
          <w:spacing w:val="-2"/>
          <w:sz w:val="24"/>
          <w:szCs w:val="24"/>
        </w:rPr>
        <w:t xml:space="preserve">y a otras aportaciones y subvenciones del Gobierno de Canarias </w:t>
      </w:r>
      <w:r w:rsidR="006D016B" w:rsidRPr="00FE2086">
        <w:rPr>
          <w:rFonts w:ascii="Arial Narrow" w:hAnsi="Arial Narrow" w:cs="Arial"/>
          <w:spacing w:val="-2"/>
          <w:sz w:val="24"/>
          <w:szCs w:val="24"/>
        </w:rPr>
        <w:t>que no ha</w:t>
      </w:r>
      <w:r w:rsidR="003E21A8">
        <w:rPr>
          <w:rFonts w:ascii="Arial Narrow" w:hAnsi="Arial Narrow" w:cs="Arial"/>
          <w:spacing w:val="-2"/>
          <w:sz w:val="24"/>
          <w:szCs w:val="24"/>
        </w:rPr>
        <w:t>n</w:t>
      </w:r>
      <w:r w:rsidR="006D016B" w:rsidRPr="00FE2086">
        <w:rPr>
          <w:rFonts w:ascii="Arial Narrow" w:hAnsi="Arial Narrow" w:cs="Arial"/>
          <w:spacing w:val="-2"/>
          <w:sz w:val="24"/>
          <w:szCs w:val="24"/>
        </w:rPr>
        <w:t xml:space="preserve"> finalizado el plazo de ejecución</w:t>
      </w:r>
      <w:r w:rsidR="003E21A8">
        <w:rPr>
          <w:rFonts w:ascii="Arial Narrow" w:hAnsi="Arial Narrow" w:cs="Arial"/>
          <w:spacing w:val="-2"/>
          <w:sz w:val="24"/>
          <w:szCs w:val="24"/>
        </w:rPr>
        <w:t>, como son las siguientes:</w:t>
      </w:r>
    </w:p>
    <w:p w14:paraId="3DD8328B" w14:textId="77777777" w:rsidR="000E3A24" w:rsidRPr="00FE2086" w:rsidRDefault="006D016B" w:rsidP="009C5E01">
      <w:pPr>
        <w:pStyle w:val="Prrafodelista"/>
        <w:numPr>
          <w:ilvl w:val="0"/>
          <w:numId w:val="22"/>
        </w:numPr>
        <w:spacing w:before="120" w:after="120"/>
        <w:jc w:val="both"/>
        <w:rPr>
          <w:rFonts w:ascii="Arial Narrow" w:hAnsi="Arial Narrow" w:cs="Arial"/>
          <w:spacing w:val="-2"/>
          <w:sz w:val="24"/>
          <w:szCs w:val="24"/>
        </w:rPr>
      </w:pPr>
      <w:r w:rsidRPr="00FE2086">
        <w:rPr>
          <w:rFonts w:ascii="Arial Narrow" w:hAnsi="Arial Narrow" w:cs="Arial"/>
          <w:spacing w:val="-2"/>
          <w:sz w:val="24"/>
          <w:szCs w:val="24"/>
        </w:rPr>
        <w:t>MAC 2ª Convocatoria,</w:t>
      </w:r>
      <w:r w:rsidR="00FA3810" w:rsidRPr="00FE2086">
        <w:rPr>
          <w:rFonts w:ascii="Arial Narrow" w:hAnsi="Arial Narrow" w:cs="Arial"/>
          <w:spacing w:val="-2"/>
          <w:sz w:val="24"/>
          <w:szCs w:val="24"/>
        </w:rPr>
        <w:t xml:space="preserve"> de proyectos europeos</w:t>
      </w:r>
      <w:r w:rsidRPr="00FE2086">
        <w:rPr>
          <w:rFonts w:ascii="Arial Narrow" w:hAnsi="Arial Narrow" w:cs="Arial"/>
          <w:spacing w:val="-2"/>
          <w:sz w:val="24"/>
          <w:szCs w:val="24"/>
        </w:rPr>
        <w:t xml:space="preserve"> manteniendo un saldo de 994.234,63 €</w:t>
      </w:r>
      <w:r w:rsidR="005B7E94" w:rsidRPr="00FE2086">
        <w:rPr>
          <w:rFonts w:ascii="Arial Narrow" w:hAnsi="Arial Narrow" w:cs="Arial"/>
          <w:spacing w:val="-2"/>
          <w:sz w:val="24"/>
          <w:szCs w:val="24"/>
        </w:rPr>
        <w:t xml:space="preserve">, </w:t>
      </w:r>
    </w:p>
    <w:p w14:paraId="6E353F89" w14:textId="08EBFB39" w:rsidR="00FE2086" w:rsidRPr="00FE2086" w:rsidRDefault="00FE2086" w:rsidP="009C5E01">
      <w:pPr>
        <w:pStyle w:val="Prrafodelista"/>
        <w:numPr>
          <w:ilvl w:val="0"/>
          <w:numId w:val="22"/>
        </w:numPr>
        <w:spacing w:before="120" w:after="120"/>
        <w:jc w:val="both"/>
        <w:rPr>
          <w:rFonts w:ascii="Arial Narrow" w:hAnsi="Arial Narrow" w:cs="Arial"/>
          <w:spacing w:val="-2"/>
          <w:sz w:val="24"/>
          <w:szCs w:val="24"/>
        </w:rPr>
      </w:pPr>
      <w:r w:rsidRPr="00FE2086">
        <w:rPr>
          <w:rFonts w:ascii="Arial Narrow" w:hAnsi="Arial Narrow" w:cs="Arial"/>
          <w:spacing w:val="-2"/>
          <w:sz w:val="24"/>
          <w:szCs w:val="24"/>
        </w:rPr>
        <w:tab/>
        <w:t>Aportaciones de la Consejería de Economía, Industria, Comercio y conocimiento para equipamiento y activar servicios singulares/estratégicos para la mejora de la competitividad y calidad de las empresas de los sectores Agroalimentario y de la Biomecánica recibida en 2018 con abono anticipado por 500.000 € y manteniendo un saldo pendiente de ejecutar de 268.091,75 euros, y a una expresión de interés pública convocada por la ACIISI y cofinanciada por el FEDER para inversiones del proyecto BIOSOST concedida a finales de 2018 y que tiene ejecución en 2019 y 2020 con saldo pendiente de ejecutar por la anualidad 2019 de</w:t>
      </w:r>
      <w:r w:rsidR="003E21A8">
        <w:rPr>
          <w:rFonts w:ascii="Arial Narrow" w:hAnsi="Arial Narrow" w:cs="Arial"/>
          <w:spacing w:val="-2"/>
          <w:sz w:val="24"/>
          <w:szCs w:val="24"/>
        </w:rPr>
        <w:t xml:space="preserve"> </w:t>
      </w:r>
      <w:r w:rsidRPr="00FE2086">
        <w:rPr>
          <w:rFonts w:ascii="Arial Narrow" w:hAnsi="Arial Narrow" w:cs="Arial"/>
          <w:spacing w:val="-2"/>
          <w:sz w:val="24"/>
          <w:szCs w:val="24"/>
        </w:rPr>
        <w:t xml:space="preserve">845.611,96 euros. </w:t>
      </w:r>
    </w:p>
    <w:p w14:paraId="459C8828" w14:textId="58C9E727" w:rsidR="00FE2086" w:rsidRPr="00FE2086" w:rsidRDefault="00FE2086" w:rsidP="009C5E01">
      <w:pPr>
        <w:pStyle w:val="Prrafodelista"/>
        <w:numPr>
          <w:ilvl w:val="0"/>
          <w:numId w:val="22"/>
        </w:numPr>
        <w:spacing w:before="120" w:after="120"/>
        <w:jc w:val="both"/>
        <w:rPr>
          <w:rFonts w:ascii="Arial Narrow" w:hAnsi="Arial Narrow" w:cs="Arial"/>
          <w:spacing w:val="-2"/>
          <w:sz w:val="24"/>
          <w:szCs w:val="24"/>
        </w:rPr>
      </w:pPr>
      <w:r w:rsidRPr="00FE2086">
        <w:rPr>
          <w:rFonts w:ascii="Arial Narrow" w:hAnsi="Arial Narrow" w:cs="Arial"/>
          <w:spacing w:val="-2"/>
          <w:sz w:val="24"/>
          <w:szCs w:val="24"/>
        </w:rPr>
        <w:tab/>
        <w:t>APD-1907 LA GOMERA SOSTENIBLE, financiación de una serie de proyectos innovadores y singulares que permitan la integración de fuentes de energías renovables en la isla de La Gomera a partir de fuentes de generación de energía solar y almacenamiento energético de forma  distribuida, a  partir  de la  instalación  de  centrales de generación  híbridas  con tecnología fotovoltaica  y  almacenamiento  energético  asociadas  a  áreas  de  la  red  de  distribución  como microrredes, o asociadas a un consumidor en forma de sistemas de autoconsumo, todo ello en el marco del plan de acción denominado “La Gomera 100% sostenible”. Importe concedido 2.430.000 € y pendiente de ejecutar a cierre de 2019, 2.406.694,00 €.</w:t>
      </w:r>
    </w:p>
    <w:p w14:paraId="6D832BFC" w14:textId="0834D346" w:rsidR="00FE2086" w:rsidRPr="00FE2086" w:rsidRDefault="00FE2086" w:rsidP="009C5E01">
      <w:pPr>
        <w:pStyle w:val="Prrafodelista"/>
        <w:numPr>
          <w:ilvl w:val="0"/>
          <w:numId w:val="22"/>
        </w:numPr>
        <w:spacing w:before="120" w:after="120"/>
        <w:jc w:val="both"/>
        <w:rPr>
          <w:rFonts w:ascii="Arial Narrow" w:hAnsi="Arial Narrow" w:cs="Arial"/>
          <w:spacing w:val="-2"/>
          <w:sz w:val="24"/>
          <w:szCs w:val="24"/>
        </w:rPr>
      </w:pPr>
      <w:r w:rsidRPr="00FE2086">
        <w:rPr>
          <w:rFonts w:ascii="Arial Narrow" w:hAnsi="Arial Narrow" w:cs="Arial"/>
          <w:spacing w:val="-2"/>
          <w:sz w:val="24"/>
          <w:szCs w:val="24"/>
        </w:rPr>
        <w:tab/>
        <w:t>CABILDO DE G.C.: SUBVENCION SEIDI en el marco del Programa Experimental Integral de Actividades de Investigación y Economías ligadas a la explotación de Recursos Marinos Insulares, para financiar la realización del proyecto de inversión en infraestructura y equipamientos, así como en espacios tecnológicos que faciliten el desarrollo de actividades de investigación y económicas ligadas a la explotación de los recursos marinos insulares (SEIDI). Importe concedido 930.032,78 €, 697.400 euros para inversiones de capital y que mantiene un importe pendiente de ejecutar de 624.579,56 euros.</w:t>
      </w:r>
    </w:p>
    <w:p w14:paraId="6877090D" w14:textId="1579E817" w:rsidR="00AB738B" w:rsidRPr="003C426F" w:rsidRDefault="00FE2086" w:rsidP="009C5E01">
      <w:pPr>
        <w:pStyle w:val="Prrafodelista"/>
        <w:numPr>
          <w:ilvl w:val="0"/>
          <w:numId w:val="22"/>
        </w:numPr>
        <w:jc w:val="both"/>
        <w:rPr>
          <w:rFonts w:ascii="Arial Narrow" w:hAnsi="Arial Narrow" w:cs="Arial"/>
          <w:spacing w:val="-2"/>
          <w:sz w:val="24"/>
          <w:szCs w:val="24"/>
        </w:rPr>
      </w:pPr>
      <w:r w:rsidRPr="003C426F">
        <w:rPr>
          <w:rFonts w:ascii="Arial Narrow" w:hAnsi="Arial Narrow" w:cs="Arial"/>
          <w:spacing w:val="-2"/>
          <w:sz w:val="24"/>
          <w:szCs w:val="24"/>
        </w:rPr>
        <w:t>CABILDO G.C.: SUBV ECONOMIA AZUL, concesión de subvención nominativa al Instituto Tecnológico de Canarias S.A. (ITC), para el desarrollo de actuaciones en el marco de un programa experimental e integral de actividades de investigación y económicas ligadas a la explotación de recursos marinos. Importe concedido 845.770,94€, 384.376,93 euros para inversiones de las cuales no se ejecutó nada en 2019.</w:t>
      </w:r>
    </w:p>
    <w:p w14:paraId="42669625" w14:textId="77777777" w:rsidR="005F13DD" w:rsidRDefault="00AB738B" w:rsidP="00F97FE8">
      <w:pPr>
        <w:spacing w:before="120" w:after="120"/>
        <w:jc w:val="both"/>
        <w:rPr>
          <w:rFonts w:ascii="Arial Narrow" w:hAnsi="Arial Narrow" w:cs="Arial"/>
          <w:spacing w:val="-2"/>
          <w:sz w:val="24"/>
          <w:szCs w:val="24"/>
        </w:rPr>
      </w:pPr>
      <w:r>
        <w:rPr>
          <w:rFonts w:ascii="Arial Narrow" w:hAnsi="Arial Narrow" w:cs="Arial"/>
          <w:spacing w:val="-2"/>
          <w:sz w:val="24"/>
          <w:szCs w:val="24"/>
        </w:rPr>
        <w:t xml:space="preserve">Detalle de </w:t>
      </w:r>
      <w:r w:rsidR="00FE2086">
        <w:rPr>
          <w:rFonts w:ascii="Arial Narrow" w:hAnsi="Arial Narrow" w:cs="Arial"/>
          <w:spacing w:val="-2"/>
          <w:sz w:val="24"/>
          <w:szCs w:val="24"/>
        </w:rPr>
        <w:t>saldos a</w:t>
      </w:r>
      <w:r>
        <w:rPr>
          <w:rFonts w:ascii="Arial Narrow" w:hAnsi="Arial Narrow" w:cs="Arial"/>
          <w:spacing w:val="-2"/>
          <w:sz w:val="24"/>
          <w:szCs w:val="24"/>
        </w:rPr>
        <w:t xml:space="preserve"> 31/12/19 de las subvenciones reintegrables de capital</w:t>
      </w:r>
      <w:r w:rsidR="00FE2086">
        <w:rPr>
          <w:rFonts w:ascii="Arial Narrow" w:hAnsi="Arial Narrow" w:cs="Arial"/>
          <w:spacing w:val="-2"/>
          <w:sz w:val="24"/>
          <w:szCs w:val="24"/>
        </w:rPr>
        <w:t>:</w:t>
      </w:r>
    </w:p>
    <w:tbl>
      <w:tblPr>
        <w:tblW w:w="5432" w:type="dxa"/>
        <w:jc w:val="center"/>
        <w:tblCellMar>
          <w:left w:w="70" w:type="dxa"/>
          <w:right w:w="70" w:type="dxa"/>
        </w:tblCellMar>
        <w:tblLook w:val="04A0" w:firstRow="1" w:lastRow="0" w:firstColumn="1" w:lastColumn="0" w:noHBand="0" w:noVBand="1"/>
      </w:tblPr>
      <w:tblGrid>
        <w:gridCol w:w="4056"/>
        <w:gridCol w:w="1376"/>
      </w:tblGrid>
      <w:tr w:rsidR="000041EA" w:rsidRPr="000041EA" w14:paraId="0AA230A0"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49AE48D" w14:textId="77777777" w:rsidR="000041EA" w:rsidRPr="000041EA" w:rsidRDefault="000041EA" w:rsidP="000041EA">
            <w:pPr>
              <w:rPr>
                <w:rFonts w:ascii="Arial Narrow" w:hAnsi="Arial Narrow" w:cs="Calibri"/>
                <w:b/>
                <w:bCs/>
                <w:sz w:val="20"/>
                <w:lang w:val="es-ES" w:eastAsia="es-ES"/>
              </w:rPr>
            </w:pPr>
            <w:r w:rsidRPr="000041EA">
              <w:rPr>
                <w:rFonts w:ascii="Arial Narrow" w:hAnsi="Arial Narrow" w:cs="Calibri"/>
                <w:b/>
                <w:bCs/>
                <w:sz w:val="20"/>
                <w:lang w:val="es-ES" w:eastAsia="es-ES"/>
              </w:rPr>
              <w:t>DEUDAS C.P. TRANSF. SUBV, DON Y LEG</w:t>
            </w:r>
          </w:p>
        </w:tc>
        <w:tc>
          <w:tcPr>
            <w:tcW w:w="1376" w:type="dxa"/>
            <w:tcBorders>
              <w:top w:val="nil"/>
              <w:left w:val="nil"/>
              <w:bottom w:val="nil"/>
              <w:right w:val="nil"/>
            </w:tcBorders>
            <w:shd w:val="clear" w:color="auto" w:fill="auto"/>
            <w:noWrap/>
            <w:vAlign w:val="bottom"/>
            <w:hideMark/>
          </w:tcPr>
          <w:p w14:paraId="753EF0A0" w14:textId="77777777" w:rsidR="000041EA" w:rsidRPr="000041EA" w:rsidRDefault="000041EA" w:rsidP="000041EA">
            <w:pPr>
              <w:jc w:val="right"/>
              <w:rPr>
                <w:rFonts w:ascii="Arial Narrow" w:hAnsi="Arial Narrow" w:cs="Calibri"/>
                <w:b/>
                <w:bCs/>
                <w:sz w:val="20"/>
                <w:lang w:val="es-ES" w:eastAsia="es-ES"/>
              </w:rPr>
            </w:pPr>
            <w:r w:rsidRPr="000041EA">
              <w:rPr>
                <w:rFonts w:ascii="Arial Narrow" w:hAnsi="Arial Narrow" w:cs="Calibri"/>
                <w:b/>
                <w:bCs/>
                <w:sz w:val="20"/>
                <w:lang w:val="es-ES" w:eastAsia="es-ES"/>
              </w:rPr>
              <w:t>6.651.534,48</w:t>
            </w:r>
          </w:p>
        </w:tc>
      </w:tr>
      <w:tr w:rsidR="00C60DD6" w:rsidRPr="000041EA" w14:paraId="12F66A2B"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0B301F67" w14:textId="45D25042" w:rsidR="00C60DD6" w:rsidRPr="000041EA" w:rsidRDefault="00C60DD6" w:rsidP="00C60DD6">
            <w:pPr>
              <w:rPr>
                <w:rFonts w:ascii="Arial Narrow" w:hAnsi="Arial Narrow" w:cs="Calibri"/>
                <w:b/>
                <w:bCs/>
                <w:sz w:val="20"/>
                <w:lang w:val="es-ES" w:eastAsia="es-ES"/>
              </w:rPr>
            </w:pPr>
            <w:r w:rsidRPr="000041EA">
              <w:rPr>
                <w:rFonts w:ascii="Arial Narrow" w:hAnsi="Arial Narrow" w:cs="Calibri"/>
                <w:sz w:val="20"/>
                <w:lang w:val="es-ES" w:eastAsia="es-ES"/>
              </w:rPr>
              <w:t xml:space="preserve">APD-1907 LA GOMERA SOSTENIBLE      </w:t>
            </w:r>
          </w:p>
        </w:tc>
        <w:tc>
          <w:tcPr>
            <w:tcW w:w="1376" w:type="dxa"/>
            <w:tcBorders>
              <w:top w:val="nil"/>
              <w:left w:val="nil"/>
              <w:bottom w:val="nil"/>
              <w:right w:val="nil"/>
            </w:tcBorders>
            <w:shd w:val="clear" w:color="auto" w:fill="auto"/>
            <w:noWrap/>
            <w:vAlign w:val="bottom"/>
            <w:hideMark/>
          </w:tcPr>
          <w:p w14:paraId="50316B83" w14:textId="305DC6A0" w:rsidR="00C60DD6" w:rsidRPr="000041EA" w:rsidRDefault="00C60DD6" w:rsidP="00C60DD6">
            <w:pPr>
              <w:jc w:val="right"/>
              <w:rPr>
                <w:rFonts w:ascii="Times New Roman" w:hAnsi="Times New Roman"/>
                <w:sz w:val="20"/>
                <w:lang w:val="es-ES" w:eastAsia="es-ES"/>
              </w:rPr>
            </w:pPr>
            <w:r w:rsidRPr="000041EA">
              <w:rPr>
                <w:rFonts w:ascii="Arial Narrow" w:hAnsi="Arial Narrow" w:cs="Calibri"/>
                <w:sz w:val="20"/>
                <w:lang w:val="es-ES" w:eastAsia="es-ES"/>
              </w:rPr>
              <w:t>2.406.694,00</w:t>
            </w:r>
          </w:p>
        </w:tc>
      </w:tr>
      <w:tr w:rsidR="00C60DD6" w:rsidRPr="000041EA" w14:paraId="10E6BA55"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1253A47A" w14:textId="59F5BD77"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Subvención Inversión MICROREDES    </w:t>
            </w:r>
          </w:p>
        </w:tc>
        <w:tc>
          <w:tcPr>
            <w:tcW w:w="1376" w:type="dxa"/>
            <w:tcBorders>
              <w:top w:val="nil"/>
              <w:left w:val="nil"/>
              <w:bottom w:val="nil"/>
              <w:right w:val="nil"/>
            </w:tcBorders>
            <w:shd w:val="clear" w:color="auto" w:fill="auto"/>
            <w:noWrap/>
            <w:vAlign w:val="bottom"/>
            <w:hideMark/>
          </w:tcPr>
          <w:p w14:paraId="2DD9A048" w14:textId="1907A9E8"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113.000,00</w:t>
            </w:r>
          </w:p>
        </w:tc>
      </w:tr>
      <w:tr w:rsidR="00C60DD6" w:rsidRPr="000041EA" w14:paraId="4986DD6C"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E870FFD" w14:textId="6E02E2D3"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ACIISI: BIOSOST-EPI 2018-2019      </w:t>
            </w:r>
          </w:p>
        </w:tc>
        <w:tc>
          <w:tcPr>
            <w:tcW w:w="1376" w:type="dxa"/>
            <w:tcBorders>
              <w:top w:val="nil"/>
              <w:left w:val="nil"/>
              <w:bottom w:val="nil"/>
              <w:right w:val="nil"/>
            </w:tcBorders>
            <w:shd w:val="clear" w:color="auto" w:fill="auto"/>
            <w:noWrap/>
            <w:vAlign w:val="bottom"/>
            <w:hideMark/>
          </w:tcPr>
          <w:p w14:paraId="1E7D5732" w14:textId="38846046"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845.611,96</w:t>
            </w:r>
          </w:p>
        </w:tc>
      </w:tr>
      <w:tr w:rsidR="00C60DD6" w:rsidRPr="000041EA" w14:paraId="53A18839"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55E96448" w14:textId="255397D8" w:rsidR="00C60DD6" w:rsidRPr="000041EA" w:rsidRDefault="00C60DD6" w:rsidP="000041EA">
            <w:pPr>
              <w:rPr>
                <w:rFonts w:ascii="Arial Narrow" w:hAnsi="Arial Narrow" w:cs="Calibri"/>
                <w:sz w:val="20"/>
                <w:lang w:val="es-ES" w:eastAsia="es-ES"/>
              </w:rPr>
            </w:pPr>
            <w:proofErr w:type="spellStart"/>
            <w:r w:rsidRPr="000041EA">
              <w:rPr>
                <w:rFonts w:ascii="Arial Narrow" w:hAnsi="Arial Narrow" w:cs="Calibri"/>
                <w:sz w:val="20"/>
                <w:lang w:val="es-ES" w:eastAsia="es-ES"/>
              </w:rPr>
              <w:t>Subv</w:t>
            </w:r>
            <w:proofErr w:type="spellEnd"/>
            <w:r w:rsidRPr="000041EA">
              <w:rPr>
                <w:rFonts w:ascii="Arial Narrow" w:hAnsi="Arial Narrow" w:cs="Calibri"/>
                <w:sz w:val="20"/>
                <w:lang w:val="es-ES" w:eastAsia="es-ES"/>
              </w:rPr>
              <w:t xml:space="preserve">: Equipamiento SS Singulares   </w:t>
            </w:r>
          </w:p>
        </w:tc>
        <w:tc>
          <w:tcPr>
            <w:tcW w:w="1376" w:type="dxa"/>
            <w:tcBorders>
              <w:top w:val="nil"/>
              <w:left w:val="nil"/>
              <w:bottom w:val="nil"/>
              <w:right w:val="nil"/>
            </w:tcBorders>
            <w:shd w:val="clear" w:color="auto" w:fill="auto"/>
            <w:noWrap/>
            <w:vAlign w:val="bottom"/>
            <w:hideMark/>
          </w:tcPr>
          <w:p w14:paraId="75B8F525" w14:textId="59CE0A9A"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268.091,75</w:t>
            </w:r>
          </w:p>
        </w:tc>
      </w:tr>
      <w:tr w:rsidR="00C60DD6" w:rsidRPr="000041EA" w14:paraId="139E6703"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6F3CF3E" w14:textId="63A1D746"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SUBV FEDER-EOLCAN-2019-000082      </w:t>
            </w:r>
          </w:p>
        </w:tc>
        <w:tc>
          <w:tcPr>
            <w:tcW w:w="1376" w:type="dxa"/>
            <w:tcBorders>
              <w:top w:val="nil"/>
              <w:left w:val="nil"/>
              <w:bottom w:val="nil"/>
              <w:right w:val="nil"/>
            </w:tcBorders>
            <w:shd w:val="clear" w:color="auto" w:fill="auto"/>
            <w:noWrap/>
            <w:vAlign w:val="bottom"/>
            <w:hideMark/>
          </w:tcPr>
          <w:p w14:paraId="026263E1" w14:textId="0C2B25FF"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403.200,00</w:t>
            </w:r>
          </w:p>
        </w:tc>
      </w:tr>
      <w:tr w:rsidR="00C60DD6" w:rsidRPr="000041EA" w14:paraId="52DBA3F3"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3EE2A161" w14:textId="0D74C51C"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ADAPTaRES           </w:t>
            </w:r>
          </w:p>
        </w:tc>
        <w:tc>
          <w:tcPr>
            <w:tcW w:w="1376" w:type="dxa"/>
            <w:tcBorders>
              <w:top w:val="nil"/>
              <w:left w:val="nil"/>
              <w:bottom w:val="nil"/>
              <w:right w:val="nil"/>
            </w:tcBorders>
            <w:shd w:val="clear" w:color="auto" w:fill="auto"/>
            <w:noWrap/>
            <w:vAlign w:val="bottom"/>
            <w:hideMark/>
          </w:tcPr>
          <w:p w14:paraId="1755D511" w14:textId="32A8D883"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2.765,99</w:t>
            </w:r>
          </w:p>
        </w:tc>
      </w:tr>
      <w:tr w:rsidR="00C60DD6" w:rsidRPr="000041EA" w14:paraId="58BC9FC8"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4F2D72A6" w14:textId="5EA88F75"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DESAL+              </w:t>
            </w:r>
          </w:p>
        </w:tc>
        <w:tc>
          <w:tcPr>
            <w:tcW w:w="1376" w:type="dxa"/>
            <w:tcBorders>
              <w:top w:val="nil"/>
              <w:left w:val="nil"/>
              <w:bottom w:val="nil"/>
              <w:right w:val="nil"/>
            </w:tcBorders>
            <w:shd w:val="clear" w:color="auto" w:fill="auto"/>
            <w:noWrap/>
            <w:vAlign w:val="bottom"/>
            <w:hideMark/>
          </w:tcPr>
          <w:p w14:paraId="1D942E30" w14:textId="709474DB"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156.430,92</w:t>
            </w:r>
          </w:p>
        </w:tc>
      </w:tr>
      <w:tr w:rsidR="00C60DD6" w:rsidRPr="000041EA" w14:paraId="68216F59"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574AAC46" w14:textId="51CE8E2C"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PERVEMAC II         </w:t>
            </w:r>
          </w:p>
        </w:tc>
        <w:tc>
          <w:tcPr>
            <w:tcW w:w="1376" w:type="dxa"/>
            <w:tcBorders>
              <w:top w:val="nil"/>
              <w:left w:val="nil"/>
              <w:bottom w:val="nil"/>
              <w:right w:val="nil"/>
            </w:tcBorders>
            <w:shd w:val="clear" w:color="auto" w:fill="auto"/>
            <w:noWrap/>
            <w:vAlign w:val="bottom"/>
            <w:hideMark/>
          </w:tcPr>
          <w:p w14:paraId="66BFD37E" w14:textId="01DA8640"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624,69</w:t>
            </w:r>
          </w:p>
        </w:tc>
      </w:tr>
      <w:tr w:rsidR="00C60DD6" w:rsidRPr="000041EA" w14:paraId="47F31323"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65B99CB8" w14:textId="01C22BA6"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MACBIOBLUE          </w:t>
            </w:r>
          </w:p>
        </w:tc>
        <w:tc>
          <w:tcPr>
            <w:tcW w:w="1376" w:type="dxa"/>
            <w:tcBorders>
              <w:top w:val="nil"/>
              <w:left w:val="nil"/>
              <w:bottom w:val="nil"/>
              <w:right w:val="nil"/>
            </w:tcBorders>
            <w:shd w:val="clear" w:color="auto" w:fill="auto"/>
            <w:noWrap/>
            <w:vAlign w:val="bottom"/>
            <w:hideMark/>
          </w:tcPr>
          <w:p w14:paraId="1CBE348F" w14:textId="5CC48998"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9.996,00</w:t>
            </w:r>
          </w:p>
        </w:tc>
      </w:tr>
      <w:tr w:rsidR="00C60DD6" w:rsidRPr="000041EA" w14:paraId="0A8DD3D7"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5332009A" w14:textId="6B37F2A1"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REBECA              </w:t>
            </w:r>
          </w:p>
        </w:tc>
        <w:tc>
          <w:tcPr>
            <w:tcW w:w="1376" w:type="dxa"/>
            <w:tcBorders>
              <w:top w:val="nil"/>
              <w:left w:val="nil"/>
              <w:bottom w:val="nil"/>
              <w:right w:val="nil"/>
            </w:tcBorders>
            <w:shd w:val="clear" w:color="auto" w:fill="auto"/>
            <w:noWrap/>
            <w:vAlign w:val="bottom"/>
            <w:hideMark/>
          </w:tcPr>
          <w:p w14:paraId="404DFA73" w14:textId="052EB7B9"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81.462,93</w:t>
            </w:r>
          </w:p>
        </w:tc>
      </w:tr>
      <w:tr w:rsidR="00C60DD6" w:rsidRPr="000041EA" w14:paraId="506D7C3B"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E048C35" w14:textId="1202C69A"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ISLANDAP            </w:t>
            </w:r>
          </w:p>
        </w:tc>
        <w:tc>
          <w:tcPr>
            <w:tcW w:w="1376" w:type="dxa"/>
            <w:tcBorders>
              <w:top w:val="nil"/>
              <w:left w:val="nil"/>
              <w:bottom w:val="nil"/>
              <w:right w:val="nil"/>
            </w:tcBorders>
            <w:shd w:val="clear" w:color="auto" w:fill="auto"/>
            <w:noWrap/>
            <w:vAlign w:val="bottom"/>
            <w:hideMark/>
          </w:tcPr>
          <w:p w14:paraId="0F83DACC" w14:textId="30F6426D"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817,92</w:t>
            </w:r>
          </w:p>
        </w:tc>
      </w:tr>
      <w:tr w:rsidR="00C60DD6" w:rsidRPr="000041EA" w14:paraId="52DB2E1A"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1343BF26" w14:textId="446CE5E6"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ENERMAC             </w:t>
            </w:r>
          </w:p>
        </w:tc>
        <w:tc>
          <w:tcPr>
            <w:tcW w:w="1376" w:type="dxa"/>
            <w:tcBorders>
              <w:top w:val="nil"/>
              <w:left w:val="nil"/>
              <w:bottom w:val="nil"/>
              <w:right w:val="nil"/>
            </w:tcBorders>
            <w:shd w:val="clear" w:color="auto" w:fill="auto"/>
            <w:noWrap/>
            <w:vAlign w:val="bottom"/>
            <w:hideMark/>
          </w:tcPr>
          <w:p w14:paraId="2908D4DF" w14:textId="7AE32E5C"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195.374,10</w:t>
            </w:r>
          </w:p>
        </w:tc>
      </w:tr>
      <w:tr w:rsidR="00C60DD6" w:rsidRPr="000041EA" w14:paraId="6FA21F78"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3D847309" w14:textId="74F9AFA5"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2014-2020: CLIMA-RISK          </w:t>
            </w:r>
          </w:p>
        </w:tc>
        <w:tc>
          <w:tcPr>
            <w:tcW w:w="1376" w:type="dxa"/>
            <w:tcBorders>
              <w:top w:val="nil"/>
              <w:left w:val="nil"/>
              <w:bottom w:val="nil"/>
              <w:right w:val="nil"/>
            </w:tcBorders>
            <w:shd w:val="clear" w:color="auto" w:fill="auto"/>
            <w:noWrap/>
            <w:vAlign w:val="bottom"/>
            <w:hideMark/>
          </w:tcPr>
          <w:p w14:paraId="1D3E0713" w14:textId="4F922258"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93.023,10</w:t>
            </w:r>
          </w:p>
        </w:tc>
      </w:tr>
      <w:tr w:rsidR="00C60DD6" w:rsidRPr="000041EA" w14:paraId="5BC60E22"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399E27F2" w14:textId="0D579C28"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EERES4WATER                        </w:t>
            </w:r>
          </w:p>
        </w:tc>
        <w:tc>
          <w:tcPr>
            <w:tcW w:w="1376" w:type="dxa"/>
            <w:tcBorders>
              <w:top w:val="nil"/>
              <w:left w:val="nil"/>
              <w:bottom w:val="nil"/>
              <w:right w:val="nil"/>
            </w:tcBorders>
            <w:shd w:val="clear" w:color="auto" w:fill="auto"/>
            <w:noWrap/>
            <w:vAlign w:val="bottom"/>
            <w:hideMark/>
          </w:tcPr>
          <w:p w14:paraId="036F3161" w14:textId="44C8D26C"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71.250,00</w:t>
            </w:r>
          </w:p>
        </w:tc>
      </w:tr>
      <w:tr w:rsidR="00C60DD6" w:rsidRPr="000041EA" w14:paraId="310DE024"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58191B85" w14:textId="36FF0DB2"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2ª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E5DES                 </w:t>
            </w:r>
          </w:p>
        </w:tc>
        <w:tc>
          <w:tcPr>
            <w:tcW w:w="1376" w:type="dxa"/>
            <w:tcBorders>
              <w:top w:val="nil"/>
              <w:left w:val="nil"/>
              <w:bottom w:val="nil"/>
              <w:right w:val="nil"/>
            </w:tcBorders>
            <w:shd w:val="clear" w:color="auto" w:fill="auto"/>
            <w:noWrap/>
            <w:vAlign w:val="bottom"/>
            <w:hideMark/>
          </w:tcPr>
          <w:p w14:paraId="5641B01B" w14:textId="02E1190F"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213.350,00</w:t>
            </w:r>
          </w:p>
        </w:tc>
      </w:tr>
      <w:tr w:rsidR="00C60DD6" w:rsidRPr="000041EA" w14:paraId="47E9F44E"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C5C80DE" w14:textId="4009A8CA"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MAC2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RES-COAST               </w:t>
            </w:r>
          </w:p>
        </w:tc>
        <w:tc>
          <w:tcPr>
            <w:tcW w:w="1376" w:type="dxa"/>
            <w:tcBorders>
              <w:top w:val="nil"/>
              <w:left w:val="nil"/>
              <w:bottom w:val="nil"/>
              <w:right w:val="nil"/>
            </w:tcBorders>
            <w:shd w:val="clear" w:color="auto" w:fill="auto"/>
            <w:noWrap/>
            <w:vAlign w:val="bottom"/>
            <w:hideMark/>
          </w:tcPr>
          <w:p w14:paraId="03C8C2E8" w14:textId="226396F5"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153.850,00</w:t>
            </w:r>
          </w:p>
        </w:tc>
      </w:tr>
      <w:tr w:rsidR="00C60DD6" w:rsidRPr="000041EA" w14:paraId="4DA72B5C"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54E2CC0" w14:textId="43BA5177"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2ª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MICROGRID-BLUE        </w:t>
            </w:r>
          </w:p>
        </w:tc>
        <w:tc>
          <w:tcPr>
            <w:tcW w:w="1376" w:type="dxa"/>
            <w:tcBorders>
              <w:top w:val="nil"/>
              <w:left w:val="nil"/>
              <w:bottom w:val="nil"/>
              <w:right w:val="nil"/>
            </w:tcBorders>
            <w:shd w:val="clear" w:color="auto" w:fill="auto"/>
            <w:noWrap/>
            <w:vAlign w:val="bottom"/>
            <w:hideMark/>
          </w:tcPr>
          <w:p w14:paraId="5317A87A" w14:textId="2D2051E5"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312.714,00</w:t>
            </w:r>
          </w:p>
        </w:tc>
      </w:tr>
      <w:tr w:rsidR="00C60DD6" w:rsidRPr="000041EA" w14:paraId="53F119A5"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21373680" w14:textId="3135C551"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2ª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REBECA-CCT            </w:t>
            </w:r>
          </w:p>
        </w:tc>
        <w:tc>
          <w:tcPr>
            <w:tcW w:w="1376" w:type="dxa"/>
            <w:tcBorders>
              <w:top w:val="nil"/>
              <w:left w:val="nil"/>
              <w:bottom w:val="nil"/>
              <w:right w:val="nil"/>
            </w:tcBorders>
            <w:shd w:val="clear" w:color="auto" w:fill="auto"/>
            <w:noWrap/>
            <w:vAlign w:val="bottom"/>
            <w:hideMark/>
          </w:tcPr>
          <w:p w14:paraId="5E328A50" w14:textId="7861C3E2"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23.630,00</w:t>
            </w:r>
          </w:p>
        </w:tc>
      </w:tr>
      <w:tr w:rsidR="00C60DD6" w:rsidRPr="000041EA" w14:paraId="580078B8"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6371AF13" w14:textId="1C3720D5"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 2ª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VERCOCHAR             </w:t>
            </w:r>
          </w:p>
        </w:tc>
        <w:tc>
          <w:tcPr>
            <w:tcW w:w="1376" w:type="dxa"/>
            <w:tcBorders>
              <w:top w:val="nil"/>
              <w:left w:val="nil"/>
              <w:bottom w:val="nil"/>
              <w:right w:val="nil"/>
            </w:tcBorders>
            <w:shd w:val="clear" w:color="auto" w:fill="auto"/>
            <w:noWrap/>
            <w:vAlign w:val="bottom"/>
            <w:hideMark/>
          </w:tcPr>
          <w:p w14:paraId="1B564778" w14:textId="530A1161"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7.287,28</w:t>
            </w:r>
          </w:p>
        </w:tc>
      </w:tr>
      <w:tr w:rsidR="00C60DD6" w:rsidRPr="000041EA" w14:paraId="27060A4E"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2524188A" w14:textId="53C1D11A"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MAC2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ACLIEMAC                </w:t>
            </w:r>
          </w:p>
        </w:tc>
        <w:tc>
          <w:tcPr>
            <w:tcW w:w="1376" w:type="dxa"/>
            <w:tcBorders>
              <w:top w:val="nil"/>
              <w:left w:val="nil"/>
              <w:bottom w:val="nil"/>
              <w:right w:val="nil"/>
            </w:tcBorders>
            <w:shd w:val="clear" w:color="auto" w:fill="auto"/>
            <w:noWrap/>
            <w:vAlign w:val="bottom"/>
            <w:hideMark/>
          </w:tcPr>
          <w:p w14:paraId="74CE3CF9" w14:textId="386582A5"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215.475,00</w:t>
            </w:r>
          </w:p>
        </w:tc>
      </w:tr>
      <w:tr w:rsidR="00C60DD6" w:rsidRPr="000041EA" w14:paraId="1F7EE502"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2DC610E7" w14:textId="42EE5C37"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MAC2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ABACO                   </w:t>
            </w:r>
          </w:p>
        </w:tc>
        <w:tc>
          <w:tcPr>
            <w:tcW w:w="1376" w:type="dxa"/>
            <w:tcBorders>
              <w:top w:val="nil"/>
              <w:left w:val="nil"/>
              <w:bottom w:val="nil"/>
              <w:right w:val="nil"/>
            </w:tcBorders>
            <w:shd w:val="clear" w:color="auto" w:fill="auto"/>
            <w:noWrap/>
            <w:vAlign w:val="bottom"/>
            <w:hideMark/>
          </w:tcPr>
          <w:p w14:paraId="22833B19" w14:textId="3EC7BBA9"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48.123,35</w:t>
            </w:r>
          </w:p>
        </w:tc>
      </w:tr>
      <w:tr w:rsidR="00C60DD6" w:rsidRPr="000041EA" w14:paraId="4872C4B8"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622436AC" w14:textId="651EB703"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MAC2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NEXTGENDEM              </w:t>
            </w:r>
          </w:p>
        </w:tc>
        <w:tc>
          <w:tcPr>
            <w:tcW w:w="1376" w:type="dxa"/>
            <w:tcBorders>
              <w:top w:val="nil"/>
              <w:left w:val="nil"/>
              <w:bottom w:val="nil"/>
              <w:right w:val="nil"/>
            </w:tcBorders>
            <w:shd w:val="clear" w:color="auto" w:fill="auto"/>
            <w:noWrap/>
            <w:vAlign w:val="bottom"/>
            <w:hideMark/>
          </w:tcPr>
          <w:p w14:paraId="22524020" w14:textId="0884ED96"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14.280,00</w:t>
            </w:r>
          </w:p>
        </w:tc>
      </w:tr>
      <w:tr w:rsidR="00C60DD6" w:rsidRPr="000041EA" w14:paraId="1780C651"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75F1B06A" w14:textId="570F7D7B"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MAC2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DYNAMIC-EGOV            </w:t>
            </w:r>
          </w:p>
        </w:tc>
        <w:tc>
          <w:tcPr>
            <w:tcW w:w="1376" w:type="dxa"/>
            <w:tcBorders>
              <w:top w:val="nil"/>
              <w:left w:val="nil"/>
              <w:bottom w:val="nil"/>
              <w:right w:val="nil"/>
            </w:tcBorders>
            <w:shd w:val="clear" w:color="auto" w:fill="auto"/>
            <w:noWrap/>
            <w:vAlign w:val="bottom"/>
            <w:hideMark/>
          </w:tcPr>
          <w:p w14:paraId="5409D016" w14:textId="26640194"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3.825,00</w:t>
            </w:r>
          </w:p>
        </w:tc>
      </w:tr>
      <w:tr w:rsidR="00C60DD6" w:rsidRPr="000041EA" w14:paraId="09E31D5F"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4244E199" w14:textId="6109ECE9"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MAC2 </w:t>
            </w:r>
            <w:proofErr w:type="spellStart"/>
            <w:r w:rsidRPr="000041EA">
              <w:rPr>
                <w:rFonts w:ascii="Arial Narrow" w:hAnsi="Arial Narrow" w:cs="Calibri"/>
                <w:sz w:val="20"/>
                <w:lang w:val="es-ES" w:eastAsia="es-ES"/>
              </w:rPr>
              <w:t>Conv</w:t>
            </w:r>
            <w:proofErr w:type="spellEnd"/>
            <w:r w:rsidRPr="000041EA">
              <w:rPr>
                <w:rFonts w:ascii="Arial Narrow" w:hAnsi="Arial Narrow" w:cs="Calibri"/>
                <w:sz w:val="20"/>
                <w:lang w:val="es-ES" w:eastAsia="es-ES"/>
              </w:rPr>
              <w:t xml:space="preserve">: DATALAB                 </w:t>
            </w:r>
          </w:p>
        </w:tc>
        <w:tc>
          <w:tcPr>
            <w:tcW w:w="1376" w:type="dxa"/>
            <w:tcBorders>
              <w:top w:val="nil"/>
              <w:left w:val="nil"/>
              <w:bottom w:val="nil"/>
              <w:right w:val="nil"/>
            </w:tcBorders>
            <w:shd w:val="clear" w:color="auto" w:fill="auto"/>
            <w:noWrap/>
            <w:vAlign w:val="bottom"/>
            <w:hideMark/>
          </w:tcPr>
          <w:p w14:paraId="678F920E" w14:textId="2ECAF65A"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1.700,00</w:t>
            </w:r>
          </w:p>
        </w:tc>
      </w:tr>
      <w:tr w:rsidR="00C60DD6" w:rsidRPr="000041EA" w14:paraId="049FFC08"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68EA89C5" w14:textId="7A5BC9DA"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CABILDO DE G.C.: SUBVENCION SEIDI  </w:t>
            </w:r>
          </w:p>
        </w:tc>
        <w:tc>
          <w:tcPr>
            <w:tcW w:w="1376" w:type="dxa"/>
            <w:tcBorders>
              <w:top w:val="nil"/>
              <w:left w:val="nil"/>
              <w:bottom w:val="nil"/>
              <w:right w:val="nil"/>
            </w:tcBorders>
            <w:shd w:val="clear" w:color="auto" w:fill="auto"/>
            <w:noWrap/>
            <w:vAlign w:val="bottom"/>
            <w:hideMark/>
          </w:tcPr>
          <w:p w14:paraId="08B4369E" w14:textId="1045B6E3"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624.579,56</w:t>
            </w:r>
          </w:p>
        </w:tc>
      </w:tr>
      <w:tr w:rsidR="00C60DD6" w:rsidRPr="000041EA" w14:paraId="01B84E46" w14:textId="77777777" w:rsidTr="003C426F">
        <w:trPr>
          <w:trHeight w:val="330"/>
          <w:jc w:val="center"/>
        </w:trPr>
        <w:tc>
          <w:tcPr>
            <w:tcW w:w="4056" w:type="dxa"/>
            <w:tcBorders>
              <w:top w:val="nil"/>
              <w:left w:val="nil"/>
              <w:bottom w:val="nil"/>
              <w:right w:val="nil"/>
            </w:tcBorders>
            <w:shd w:val="clear" w:color="auto" w:fill="auto"/>
            <w:noWrap/>
            <w:vAlign w:val="bottom"/>
            <w:hideMark/>
          </w:tcPr>
          <w:p w14:paraId="08946DF7" w14:textId="760806B5" w:rsidR="00C60DD6" w:rsidRPr="000041EA" w:rsidRDefault="00C60DD6" w:rsidP="000041EA">
            <w:pPr>
              <w:rPr>
                <w:rFonts w:ascii="Arial Narrow" w:hAnsi="Arial Narrow" w:cs="Calibri"/>
                <w:sz w:val="20"/>
                <w:lang w:val="es-ES" w:eastAsia="es-ES"/>
              </w:rPr>
            </w:pPr>
            <w:r w:rsidRPr="000041EA">
              <w:rPr>
                <w:rFonts w:ascii="Arial Narrow" w:hAnsi="Arial Narrow" w:cs="Calibri"/>
                <w:sz w:val="20"/>
                <w:lang w:val="es-ES" w:eastAsia="es-ES"/>
              </w:rPr>
              <w:t xml:space="preserve">CABILDO G.C.: SUBV ECONOMIA AZUL   </w:t>
            </w:r>
          </w:p>
        </w:tc>
        <w:tc>
          <w:tcPr>
            <w:tcW w:w="1376" w:type="dxa"/>
            <w:tcBorders>
              <w:top w:val="nil"/>
              <w:left w:val="nil"/>
              <w:bottom w:val="nil"/>
              <w:right w:val="nil"/>
            </w:tcBorders>
            <w:shd w:val="clear" w:color="auto" w:fill="auto"/>
            <w:noWrap/>
            <w:vAlign w:val="bottom"/>
            <w:hideMark/>
          </w:tcPr>
          <w:p w14:paraId="414B52E7" w14:textId="7D424264" w:rsidR="00C60DD6" w:rsidRPr="000041EA" w:rsidRDefault="00C60DD6" w:rsidP="000041EA">
            <w:pPr>
              <w:jc w:val="right"/>
              <w:rPr>
                <w:rFonts w:ascii="Arial Narrow" w:hAnsi="Arial Narrow" w:cs="Calibri"/>
                <w:sz w:val="20"/>
                <w:lang w:val="es-ES" w:eastAsia="es-ES"/>
              </w:rPr>
            </w:pPr>
            <w:r w:rsidRPr="000041EA">
              <w:rPr>
                <w:rFonts w:ascii="Arial Narrow" w:hAnsi="Arial Narrow" w:cs="Calibri"/>
                <w:sz w:val="20"/>
                <w:lang w:val="es-ES" w:eastAsia="es-ES"/>
              </w:rPr>
              <w:t>384.376,93</w:t>
            </w:r>
          </w:p>
        </w:tc>
      </w:tr>
    </w:tbl>
    <w:p w14:paraId="323E066B" w14:textId="77777777" w:rsidR="005F13DD" w:rsidRPr="00FD2733" w:rsidRDefault="005F13DD" w:rsidP="005F13DD">
      <w:pPr>
        <w:keepNext/>
        <w:keepLines/>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120"/>
        <w:ind w:right="142"/>
        <w:jc w:val="both"/>
        <w:rPr>
          <w:rFonts w:ascii="Arial Narrow" w:hAnsi="Arial Narrow" w:cs="Arial"/>
          <w:snapToGrid w:val="0"/>
          <w:sz w:val="24"/>
          <w:szCs w:val="24"/>
          <w:lang w:eastAsia="es-ES"/>
        </w:rPr>
      </w:pPr>
      <w:r w:rsidRPr="00FD2733">
        <w:rPr>
          <w:rFonts w:ascii="Arial Narrow" w:hAnsi="Arial Narrow" w:cs="Arial"/>
          <w:snapToGrid w:val="0"/>
          <w:sz w:val="24"/>
          <w:szCs w:val="24"/>
          <w:lang w:eastAsia="es-ES"/>
        </w:rPr>
        <w:t xml:space="preserve">d) </w:t>
      </w:r>
      <w:r w:rsidRPr="00FD2733">
        <w:rPr>
          <w:rFonts w:ascii="Arial Narrow" w:hAnsi="Arial Narrow" w:cs="Arial"/>
          <w:snapToGrid w:val="0"/>
          <w:sz w:val="24"/>
          <w:szCs w:val="24"/>
          <w:lang w:eastAsia="es-ES"/>
        </w:rPr>
        <w:tab/>
      </w:r>
      <w:r w:rsidRPr="00FD2733">
        <w:rPr>
          <w:rFonts w:ascii="Arial Narrow" w:hAnsi="Arial Narrow" w:cs="Arial"/>
          <w:snapToGrid w:val="0"/>
          <w:sz w:val="24"/>
          <w:szCs w:val="24"/>
          <w:u w:val="single"/>
          <w:lang w:eastAsia="es-ES"/>
        </w:rPr>
        <w:t>Subvenciones reintegrables de explotación</w:t>
      </w:r>
    </w:p>
    <w:p w14:paraId="10891489" w14:textId="77777777" w:rsidR="008953F4" w:rsidRPr="00FD2733" w:rsidRDefault="005F13DD" w:rsidP="005F13DD">
      <w:pPr>
        <w:spacing w:before="120" w:after="120"/>
        <w:jc w:val="both"/>
        <w:rPr>
          <w:rFonts w:ascii="Arial Narrow" w:hAnsi="Arial Narrow" w:cs="Arial"/>
          <w:spacing w:val="-2"/>
          <w:sz w:val="24"/>
          <w:szCs w:val="24"/>
        </w:rPr>
      </w:pPr>
      <w:r w:rsidRPr="00FD2733">
        <w:rPr>
          <w:rFonts w:ascii="Arial Narrow" w:hAnsi="Arial Narrow" w:cs="Arial"/>
          <w:spacing w:val="-2"/>
          <w:sz w:val="24"/>
          <w:szCs w:val="24"/>
        </w:rPr>
        <w:t xml:space="preserve">Incluye, fundamentalmente, las ayudas obtenidas por la Sociedad para el desarrollo de diferentes proyectos </w:t>
      </w:r>
      <w:r w:rsidR="008953F4" w:rsidRPr="00FD2733">
        <w:rPr>
          <w:rFonts w:ascii="Arial Narrow" w:hAnsi="Arial Narrow" w:cs="Arial"/>
          <w:spacing w:val="-2"/>
          <w:sz w:val="24"/>
          <w:szCs w:val="24"/>
        </w:rPr>
        <w:t>de investigación pendie</w:t>
      </w:r>
      <w:r w:rsidR="00FD2733">
        <w:rPr>
          <w:rFonts w:ascii="Arial Narrow" w:hAnsi="Arial Narrow" w:cs="Arial"/>
          <w:spacing w:val="-2"/>
          <w:sz w:val="24"/>
          <w:szCs w:val="24"/>
        </w:rPr>
        <w:t xml:space="preserve">ntes de aplicar en el ejercicio y cuyo saldo </w:t>
      </w:r>
      <w:r w:rsidR="008953F4" w:rsidRPr="00FD2733">
        <w:rPr>
          <w:rFonts w:ascii="Arial Narrow" w:hAnsi="Arial Narrow" w:cs="Arial"/>
          <w:spacing w:val="-2"/>
          <w:sz w:val="24"/>
          <w:szCs w:val="24"/>
        </w:rPr>
        <w:t xml:space="preserve">asciende </w:t>
      </w:r>
      <w:r w:rsidR="004C43D5" w:rsidRPr="00FD2733">
        <w:rPr>
          <w:rFonts w:ascii="Arial Narrow" w:hAnsi="Arial Narrow" w:cs="Arial"/>
          <w:spacing w:val="-2"/>
          <w:sz w:val="24"/>
          <w:szCs w:val="24"/>
        </w:rPr>
        <w:t xml:space="preserve">a </w:t>
      </w:r>
      <w:r w:rsidR="000E3A24">
        <w:rPr>
          <w:rFonts w:ascii="Arial Narrow" w:hAnsi="Arial Narrow" w:cs="Arial"/>
          <w:spacing w:val="-2"/>
          <w:sz w:val="24"/>
          <w:szCs w:val="24"/>
        </w:rPr>
        <w:t>9.497.045,33 € (</w:t>
      </w:r>
      <w:r w:rsidR="004707C7">
        <w:rPr>
          <w:rFonts w:ascii="Arial Narrow" w:hAnsi="Arial Narrow" w:cs="Arial"/>
          <w:spacing w:val="-2"/>
          <w:sz w:val="24"/>
          <w:szCs w:val="24"/>
        </w:rPr>
        <w:t>3.</w:t>
      </w:r>
      <w:r w:rsidR="005B7E94">
        <w:rPr>
          <w:rFonts w:ascii="Arial Narrow" w:hAnsi="Arial Narrow" w:cs="Arial"/>
          <w:spacing w:val="-2"/>
          <w:sz w:val="24"/>
          <w:szCs w:val="24"/>
        </w:rPr>
        <w:t>935.281,53</w:t>
      </w:r>
      <w:r w:rsidR="004C43D5" w:rsidRPr="00FD2733">
        <w:rPr>
          <w:rFonts w:ascii="Arial Narrow" w:hAnsi="Arial Narrow" w:cs="Arial"/>
          <w:spacing w:val="-2"/>
          <w:sz w:val="24"/>
          <w:szCs w:val="24"/>
        </w:rPr>
        <w:t xml:space="preserve"> euros</w:t>
      </w:r>
      <w:r w:rsidR="000E3A24">
        <w:rPr>
          <w:rFonts w:ascii="Arial Narrow" w:hAnsi="Arial Narrow" w:cs="Arial"/>
          <w:spacing w:val="-2"/>
          <w:sz w:val="24"/>
          <w:szCs w:val="24"/>
        </w:rPr>
        <w:t xml:space="preserve"> en el ejercicio anterior)</w:t>
      </w:r>
    </w:p>
    <w:p w14:paraId="75E58131" w14:textId="77777777" w:rsidR="00975B0F" w:rsidRDefault="005F13DD" w:rsidP="00A76751">
      <w:pPr>
        <w:spacing w:before="120" w:after="120"/>
        <w:jc w:val="both"/>
        <w:rPr>
          <w:rFonts w:ascii="Arial Narrow" w:hAnsi="Arial Narrow" w:cs="Arial"/>
          <w:spacing w:val="-2"/>
          <w:sz w:val="24"/>
          <w:szCs w:val="24"/>
        </w:rPr>
      </w:pPr>
      <w:r w:rsidRPr="003D13E6">
        <w:rPr>
          <w:rFonts w:ascii="Arial Narrow" w:hAnsi="Arial Narrow" w:cs="Arial"/>
          <w:spacing w:val="-2"/>
          <w:sz w:val="24"/>
          <w:szCs w:val="24"/>
        </w:rPr>
        <w:t>Estas ayudas se imputan a resultados de forma proporcional a los gastos incurridos en el desarrollo de los proyectos. El importe imputado a resultados en el ejercicio 201</w:t>
      </w:r>
      <w:r w:rsidR="000E3A24">
        <w:rPr>
          <w:rFonts w:ascii="Arial Narrow" w:hAnsi="Arial Narrow" w:cs="Arial"/>
          <w:spacing w:val="-2"/>
          <w:sz w:val="24"/>
          <w:szCs w:val="24"/>
        </w:rPr>
        <w:t>9</w:t>
      </w:r>
      <w:r w:rsidRPr="003D13E6">
        <w:rPr>
          <w:rFonts w:ascii="Arial Narrow" w:hAnsi="Arial Narrow" w:cs="Arial"/>
          <w:spacing w:val="-2"/>
          <w:sz w:val="24"/>
          <w:szCs w:val="24"/>
        </w:rPr>
        <w:t xml:space="preserve"> asciende a </w:t>
      </w:r>
      <w:r w:rsidR="000E3A24">
        <w:rPr>
          <w:rFonts w:ascii="Arial Narrow" w:hAnsi="Arial Narrow" w:cs="Arial"/>
          <w:spacing w:val="-2"/>
          <w:sz w:val="24"/>
          <w:szCs w:val="24"/>
        </w:rPr>
        <w:t>4.389.636,46 €</w:t>
      </w:r>
      <w:r w:rsidR="001D6D27">
        <w:rPr>
          <w:rFonts w:ascii="Arial Narrow" w:hAnsi="Arial Narrow" w:cs="Arial"/>
          <w:spacing w:val="-2"/>
          <w:sz w:val="24"/>
          <w:szCs w:val="24"/>
        </w:rPr>
        <w:t xml:space="preserve"> (</w:t>
      </w:r>
      <w:r w:rsidR="000E3A24" w:rsidRPr="000E3A24">
        <w:rPr>
          <w:rFonts w:ascii="Arial Narrow" w:hAnsi="Arial Narrow" w:cs="Arial"/>
          <w:spacing w:val="-2"/>
          <w:sz w:val="24"/>
          <w:szCs w:val="24"/>
        </w:rPr>
        <w:t>3.723.883,72</w:t>
      </w:r>
      <w:r w:rsidRPr="003D13E6">
        <w:rPr>
          <w:rFonts w:ascii="Arial Narrow" w:hAnsi="Arial Narrow" w:cs="Arial"/>
          <w:spacing w:val="-2"/>
          <w:sz w:val="24"/>
          <w:szCs w:val="24"/>
        </w:rPr>
        <w:t xml:space="preserve"> euros en el ejercicio anterior).</w:t>
      </w:r>
    </w:p>
    <w:p w14:paraId="009A2233" w14:textId="77777777" w:rsidR="00FE2086" w:rsidRDefault="00FE2086" w:rsidP="00A76751">
      <w:pPr>
        <w:spacing w:before="120" w:after="120"/>
        <w:jc w:val="both"/>
        <w:rPr>
          <w:rFonts w:ascii="Arial Narrow" w:hAnsi="Arial Narrow" w:cs="Arial"/>
          <w:spacing w:val="-2"/>
          <w:sz w:val="24"/>
          <w:szCs w:val="24"/>
        </w:rPr>
      </w:pPr>
    </w:p>
    <w:p w14:paraId="341EB97F" w14:textId="77777777" w:rsidR="00BD112C" w:rsidRPr="00AF4E6A" w:rsidRDefault="00BD112C" w:rsidP="00A47157">
      <w:pPr>
        <w:keepNext/>
        <w:keepLines/>
        <w:widowControl w:val="0"/>
        <w:spacing w:before="120" w:after="120"/>
        <w:jc w:val="both"/>
        <w:rPr>
          <w:rFonts w:ascii="Arial Narrow" w:hAnsi="Arial Narrow" w:cs="Arial"/>
          <w:b/>
          <w:sz w:val="24"/>
          <w:szCs w:val="24"/>
          <w:u w:val="single"/>
        </w:rPr>
      </w:pPr>
      <w:r w:rsidRPr="00AF4E6A">
        <w:rPr>
          <w:rFonts w:ascii="Arial Narrow" w:hAnsi="Arial Narrow" w:cs="Arial"/>
          <w:b/>
          <w:sz w:val="24"/>
          <w:szCs w:val="24"/>
          <w:u w:val="single"/>
        </w:rPr>
        <w:t>9.3</w:t>
      </w:r>
      <w:r w:rsidR="00FE58D2" w:rsidRPr="00AF4E6A">
        <w:rPr>
          <w:rFonts w:ascii="Arial Narrow" w:hAnsi="Arial Narrow" w:cs="Arial"/>
          <w:b/>
          <w:sz w:val="24"/>
          <w:szCs w:val="24"/>
          <w:u w:val="single"/>
        </w:rPr>
        <w:t xml:space="preserve">.2. </w:t>
      </w:r>
      <w:r w:rsidRPr="00AF4E6A">
        <w:rPr>
          <w:rFonts w:ascii="Arial Narrow" w:hAnsi="Arial Narrow" w:cs="Arial"/>
          <w:b/>
          <w:sz w:val="24"/>
          <w:szCs w:val="24"/>
          <w:u w:val="single"/>
        </w:rPr>
        <w:t>Otra información</w:t>
      </w:r>
      <w:r w:rsidR="00FE58D2" w:rsidRPr="00AF4E6A">
        <w:rPr>
          <w:rFonts w:ascii="Arial Narrow" w:hAnsi="Arial Narrow" w:cs="Arial"/>
          <w:b/>
          <w:sz w:val="24"/>
          <w:szCs w:val="24"/>
          <w:u w:val="single"/>
        </w:rPr>
        <w:t xml:space="preserve"> relativa a pasivos financieros</w:t>
      </w:r>
    </w:p>
    <w:p w14:paraId="19BF151B" w14:textId="77777777" w:rsidR="001D6D27" w:rsidRDefault="001D6D27" w:rsidP="00A47157">
      <w:pPr>
        <w:keepNext/>
        <w:keepLines/>
        <w:spacing w:before="120" w:after="120"/>
        <w:jc w:val="both"/>
        <w:rPr>
          <w:rFonts w:ascii="Arial Narrow" w:hAnsi="Arial Narrow" w:cs="Arial"/>
          <w:spacing w:val="-2"/>
          <w:sz w:val="24"/>
          <w:szCs w:val="24"/>
        </w:rPr>
      </w:pPr>
      <w:r w:rsidRPr="00AF4E6A">
        <w:rPr>
          <w:rFonts w:ascii="Arial Narrow" w:hAnsi="Arial Narrow" w:cs="Arial"/>
          <w:spacing w:val="-2"/>
          <w:sz w:val="24"/>
          <w:szCs w:val="24"/>
        </w:rPr>
        <w:t xml:space="preserve">El detalle de los vencimientos de los instrumentos financieros de pasivo al </w:t>
      </w:r>
      <w:r w:rsidRPr="003E1140">
        <w:rPr>
          <w:rFonts w:ascii="Arial Narrow" w:hAnsi="Arial Narrow" w:cs="Arial"/>
          <w:spacing w:val="-2"/>
          <w:sz w:val="24"/>
          <w:szCs w:val="24"/>
        </w:rPr>
        <w:t>cierre del ejercicio 201</w:t>
      </w:r>
      <w:r w:rsidR="00F246FB">
        <w:rPr>
          <w:rFonts w:ascii="Arial Narrow" w:hAnsi="Arial Narrow" w:cs="Arial"/>
          <w:spacing w:val="-2"/>
          <w:sz w:val="24"/>
          <w:szCs w:val="24"/>
        </w:rPr>
        <w:t>9</w:t>
      </w:r>
      <w:r w:rsidRPr="003E1140">
        <w:rPr>
          <w:rFonts w:ascii="Arial Narrow" w:hAnsi="Arial Narrow" w:cs="Arial"/>
          <w:spacing w:val="-2"/>
          <w:sz w:val="24"/>
          <w:szCs w:val="24"/>
        </w:rPr>
        <w:t xml:space="preserve"> </w:t>
      </w:r>
      <w:r w:rsidRPr="00AF4E6A">
        <w:rPr>
          <w:rFonts w:ascii="Arial Narrow" w:hAnsi="Arial Narrow" w:cs="Arial"/>
          <w:spacing w:val="-2"/>
          <w:sz w:val="24"/>
          <w:szCs w:val="24"/>
        </w:rPr>
        <w:t>es el siguiente, en euros:</w:t>
      </w:r>
    </w:p>
    <w:tbl>
      <w:tblPr>
        <w:tblW w:w="8827" w:type="dxa"/>
        <w:tblInd w:w="55" w:type="dxa"/>
        <w:tblLayout w:type="fixed"/>
        <w:tblCellMar>
          <w:left w:w="70" w:type="dxa"/>
          <w:right w:w="70" w:type="dxa"/>
        </w:tblCellMar>
        <w:tblLook w:val="04A0" w:firstRow="1" w:lastRow="0" w:firstColumn="1" w:lastColumn="0" w:noHBand="0" w:noVBand="1"/>
      </w:tblPr>
      <w:tblGrid>
        <w:gridCol w:w="1798"/>
        <w:gridCol w:w="1124"/>
        <w:gridCol w:w="1134"/>
        <w:gridCol w:w="879"/>
        <w:gridCol w:w="879"/>
        <w:gridCol w:w="887"/>
        <w:gridCol w:w="992"/>
        <w:gridCol w:w="1134"/>
      </w:tblGrid>
      <w:tr w:rsidR="00F246FB" w:rsidRPr="00EC074B" w14:paraId="76016ED3" w14:textId="77777777" w:rsidTr="00BA6129">
        <w:trPr>
          <w:trHeight w:val="300"/>
        </w:trPr>
        <w:tc>
          <w:tcPr>
            <w:tcW w:w="1798" w:type="dxa"/>
            <w:tcBorders>
              <w:top w:val="nil"/>
              <w:left w:val="nil"/>
              <w:bottom w:val="nil"/>
              <w:right w:val="nil"/>
            </w:tcBorders>
            <w:shd w:val="clear" w:color="000000" w:fill="D9D9D9"/>
            <w:vAlign w:val="center"/>
            <w:hideMark/>
          </w:tcPr>
          <w:p w14:paraId="5299753A" w14:textId="77777777" w:rsidR="00F246FB" w:rsidRDefault="00F246FB" w:rsidP="00F246FB">
            <w:pPr>
              <w:rPr>
                <w:rFonts w:ascii="Times New Roman" w:hAnsi="Times New Roman"/>
                <w:color w:val="000000"/>
                <w:sz w:val="20"/>
                <w:lang w:val="es-ES" w:eastAsia="es-ES"/>
              </w:rPr>
            </w:pPr>
            <w:r>
              <w:rPr>
                <w:color w:val="000000"/>
                <w:sz w:val="20"/>
              </w:rPr>
              <w:t> </w:t>
            </w:r>
          </w:p>
        </w:tc>
        <w:tc>
          <w:tcPr>
            <w:tcW w:w="1124" w:type="dxa"/>
            <w:tcBorders>
              <w:top w:val="nil"/>
              <w:left w:val="nil"/>
              <w:bottom w:val="nil"/>
              <w:right w:val="nil"/>
            </w:tcBorders>
            <w:shd w:val="clear" w:color="000000" w:fill="D9D9D9"/>
            <w:noWrap/>
            <w:vAlign w:val="center"/>
            <w:hideMark/>
          </w:tcPr>
          <w:p w14:paraId="64330E0B"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2020</w:t>
            </w:r>
          </w:p>
        </w:tc>
        <w:tc>
          <w:tcPr>
            <w:tcW w:w="1134" w:type="dxa"/>
            <w:tcBorders>
              <w:top w:val="nil"/>
              <w:left w:val="nil"/>
              <w:bottom w:val="nil"/>
              <w:right w:val="nil"/>
            </w:tcBorders>
            <w:shd w:val="clear" w:color="000000" w:fill="D9D9D9"/>
            <w:noWrap/>
            <w:vAlign w:val="center"/>
            <w:hideMark/>
          </w:tcPr>
          <w:p w14:paraId="15AEA799"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2021</w:t>
            </w:r>
          </w:p>
        </w:tc>
        <w:tc>
          <w:tcPr>
            <w:tcW w:w="879" w:type="dxa"/>
            <w:tcBorders>
              <w:top w:val="nil"/>
              <w:left w:val="nil"/>
              <w:bottom w:val="nil"/>
              <w:right w:val="nil"/>
            </w:tcBorders>
            <w:shd w:val="clear" w:color="000000" w:fill="D9D9D9"/>
            <w:noWrap/>
            <w:vAlign w:val="center"/>
            <w:hideMark/>
          </w:tcPr>
          <w:p w14:paraId="686045C3"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2022</w:t>
            </w:r>
          </w:p>
        </w:tc>
        <w:tc>
          <w:tcPr>
            <w:tcW w:w="879" w:type="dxa"/>
            <w:tcBorders>
              <w:top w:val="nil"/>
              <w:left w:val="nil"/>
              <w:bottom w:val="nil"/>
              <w:right w:val="nil"/>
            </w:tcBorders>
            <w:shd w:val="clear" w:color="000000" w:fill="D9D9D9"/>
            <w:noWrap/>
            <w:vAlign w:val="center"/>
            <w:hideMark/>
          </w:tcPr>
          <w:p w14:paraId="506137FC"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2023</w:t>
            </w:r>
          </w:p>
        </w:tc>
        <w:tc>
          <w:tcPr>
            <w:tcW w:w="887" w:type="dxa"/>
            <w:tcBorders>
              <w:top w:val="nil"/>
              <w:left w:val="nil"/>
              <w:bottom w:val="nil"/>
              <w:right w:val="nil"/>
            </w:tcBorders>
            <w:shd w:val="clear" w:color="000000" w:fill="D9D9D9"/>
            <w:vAlign w:val="center"/>
          </w:tcPr>
          <w:p w14:paraId="3CAD98D6"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2024</w:t>
            </w:r>
          </w:p>
        </w:tc>
        <w:tc>
          <w:tcPr>
            <w:tcW w:w="992" w:type="dxa"/>
            <w:tcBorders>
              <w:top w:val="nil"/>
              <w:left w:val="nil"/>
              <w:bottom w:val="nil"/>
              <w:right w:val="nil"/>
            </w:tcBorders>
            <w:shd w:val="clear" w:color="000000" w:fill="D9D9D9"/>
            <w:noWrap/>
            <w:vAlign w:val="center"/>
            <w:hideMark/>
          </w:tcPr>
          <w:p w14:paraId="6ACD1EDC"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+ 5 años</w:t>
            </w:r>
          </w:p>
        </w:tc>
        <w:tc>
          <w:tcPr>
            <w:tcW w:w="1134" w:type="dxa"/>
            <w:tcBorders>
              <w:top w:val="nil"/>
              <w:left w:val="nil"/>
              <w:bottom w:val="nil"/>
              <w:right w:val="nil"/>
            </w:tcBorders>
            <w:shd w:val="clear" w:color="000000" w:fill="D9D9D9"/>
            <w:noWrap/>
            <w:vAlign w:val="center"/>
            <w:hideMark/>
          </w:tcPr>
          <w:p w14:paraId="5A25C4F2" w14:textId="77777777" w:rsidR="00F246FB" w:rsidRDefault="00F246FB" w:rsidP="00F246FB">
            <w:pPr>
              <w:jc w:val="center"/>
              <w:rPr>
                <w:rFonts w:ascii="Arial Narrow" w:hAnsi="Arial Narrow" w:cs="Calibri"/>
                <w:b/>
                <w:bCs/>
                <w:color w:val="000000"/>
                <w:sz w:val="18"/>
                <w:szCs w:val="18"/>
              </w:rPr>
            </w:pPr>
            <w:r>
              <w:rPr>
                <w:rFonts w:ascii="Arial Narrow" w:hAnsi="Arial Narrow" w:cs="Calibri"/>
                <w:b/>
                <w:bCs/>
                <w:color w:val="000000"/>
                <w:sz w:val="18"/>
                <w:szCs w:val="18"/>
              </w:rPr>
              <w:t>Total</w:t>
            </w:r>
          </w:p>
        </w:tc>
      </w:tr>
      <w:tr w:rsidR="00F246FB" w:rsidRPr="00EC074B" w14:paraId="519A1A38" w14:textId="77777777" w:rsidTr="00BA6129">
        <w:trPr>
          <w:trHeight w:val="300"/>
        </w:trPr>
        <w:tc>
          <w:tcPr>
            <w:tcW w:w="1798" w:type="dxa"/>
            <w:tcBorders>
              <w:top w:val="nil"/>
              <w:left w:val="nil"/>
              <w:bottom w:val="nil"/>
              <w:right w:val="nil"/>
            </w:tcBorders>
            <w:shd w:val="clear" w:color="000000" w:fill="FFFFFF"/>
            <w:vAlign w:val="center"/>
            <w:hideMark/>
          </w:tcPr>
          <w:p w14:paraId="3005789C" w14:textId="77777777" w:rsidR="00F246FB" w:rsidRDefault="00F246FB" w:rsidP="00F246FB">
            <w:pPr>
              <w:rPr>
                <w:rFonts w:ascii="Arial Narrow" w:hAnsi="Arial Narrow" w:cs="Calibri"/>
                <w:color w:val="000000"/>
                <w:sz w:val="18"/>
                <w:szCs w:val="18"/>
              </w:rPr>
            </w:pPr>
            <w:r>
              <w:rPr>
                <w:rFonts w:ascii="Arial Narrow" w:hAnsi="Arial Narrow" w:cs="Calibri"/>
                <w:color w:val="000000"/>
                <w:sz w:val="18"/>
                <w:szCs w:val="18"/>
              </w:rPr>
              <w:t>Otras deudas</w:t>
            </w:r>
          </w:p>
        </w:tc>
        <w:tc>
          <w:tcPr>
            <w:tcW w:w="1124" w:type="dxa"/>
            <w:tcBorders>
              <w:top w:val="nil"/>
              <w:left w:val="nil"/>
              <w:bottom w:val="nil"/>
              <w:right w:val="nil"/>
            </w:tcBorders>
            <w:shd w:val="clear" w:color="000000" w:fill="FFFFFF"/>
            <w:vAlign w:val="center"/>
            <w:hideMark/>
          </w:tcPr>
          <w:p w14:paraId="5CF0B822"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213.020,22</w:t>
            </w:r>
          </w:p>
        </w:tc>
        <w:tc>
          <w:tcPr>
            <w:tcW w:w="1134" w:type="dxa"/>
            <w:tcBorders>
              <w:top w:val="nil"/>
              <w:left w:val="nil"/>
              <w:bottom w:val="nil"/>
              <w:right w:val="nil"/>
            </w:tcBorders>
            <w:shd w:val="clear" w:color="000000" w:fill="FFFFFF"/>
            <w:vAlign w:val="center"/>
            <w:hideMark/>
          </w:tcPr>
          <w:p w14:paraId="19D4EAC9"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218.040,97</w:t>
            </w:r>
          </w:p>
        </w:tc>
        <w:tc>
          <w:tcPr>
            <w:tcW w:w="879" w:type="dxa"/>
            <w:tcBorders>
              <w:top w:val="nil"/>
              <w:left w:val="nil"/>
              <w:bottom w:val="nil"/>
              <w:right w:val="nil"/>
            </w:tcBorders>
            <w:shd w:val="clear" w:color="000000" w:fill="FFFFFF"/>
            <w:vAlign w:val="center"/>
            <w:hideMark/>
          </w:tcPr>
          <w:p w14:paraId="183FF338"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223.325,32</w:t>
            </w:r>
          </w:p>
        </w:tc>
        <w:tc>
          <w:tcPr>
            <w:tcW w:w="879" w:type="dxa"/>
            <w:tcBorders>
              <w:top w:val="nil"/>
              <w:left w:val="nil"/>
              <w:bottom w:val="nil"/>
              <w:right w:val="nil"/>
            </w:tcBorders>
            <w:shd w:val="clear" w:color="000000" w:fill="FFFFFF"/>
            <w:vAlign w:val="center"/>
            <w:hideMark/>
          </w:tcPr>
          <w:p w14:paraId="686268C8"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229.507,55</w:t>
            </w:r>
          </w:p>
        </w:tc>
        <w:tc>
          <w:tcPr>
            <w:tcW w:w="887" w:type="dxa"/>
            <w:tcBorders>
              <w:top w:val="nil"/>
              <w:left w:val="nil"/>
              <w:bottom w:val="nil"/>
              <w:right w:val="nil"/>
            </w:tcBorders>
            <w:shd w:val="clear" w:color="000000" w:fill="FFFFFF"/>
            <w:vAlign w:val="center"/>
          </w:tcPr>
          <w:p w14:paraId="225ABEC3"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992" w:type="dxa"/>
            <w:tcBorders>
              <w:top w:val="nil"/>
              <w:left w:val="nil"/>
              <w:bottom w:val="nil"/>
              <w:right w:val="nil"/>
            </w:tcBorders>
            <w:shd w:val="clear" w:color="000000" w:fill="FFFFFF"/>
            <w:vAlign w:val="center"/>
            <w:hideMark/>
          </w:tcPr>
          <w:p w14:paraId="0E550D38"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1134" w:type="dxa"/>
            <w:tcBorders>
              <w:top w:val="nil"/>
              <w:left w:val="nil"/>
              <w:bottom w:val="nil"/>
              <w:right w:val="nil"/>
            </w:tcBorders>
            <w:shd w:val="clear" w:color="000000" w:fill="FFFFFF"/>
            <w:vAlign w:val="center"/>
            <w:hideMark/>
          </w:tcPr>
          <w:p w14:paraId="6FE8D0AB"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883.894,06</w:t>
            </w:r>
          </w:p>
        </w:tc>
      </w:tr>
      <w:tr w:rsidR="00F246FB" w:rsidRPr="00EC074B" w14:paraId="0DA194F6" w14:textId="77777777" w:rsidTr="00BA6129">
        <w:trPr>
          <w:trHeight w:val="300"/>
        </w:trPr>
        <w:tc>
          <w:tcPr>
            <w:tcW w:w="1798" w:type="dxa"/>
            <w:tcBorders>
              <w:top w:val="nil"/>
              <w:left w:val="nil"/>
              <w:bottom w:val="nil"/>
              <w:right w:val="nil"/>
            </w:tcBorders>
            <w:shd w:val="clear" w:color="000000" w:fill="FFFFFF"/>
            <w:vAlign w:val="center"/>
            <w:hideMark/>
          </w:tcPr>
          <w:p w14:paraId="1FECB7FA" w14:textId="77777777" w:rsidR="00F246FB" w:rsidRDefault="00F246FB" w:rsidP="00F246FB">
            <w:pPr>
              <w:rPr>
                <w:rFonts w:ascii="Arial Narrow" w:hAnsi="Arial Narrow" w:cs="Calibri"/>
                <w:color w:val="000000"/>
                <w:sz w:val="18"/>
                <w:szCs w:val="18"/>
              </w:rPr>
            </w:pPr>
            <w:r>
              <w:rPr>
                <w:rFonts w:ascii="Arial Narrow" w:hAnsi="Arial Narrow" w:cs="Calibri"/>
                <w:color w:val="000000"/>
                <w:sz w:val="18"/>
                <w:szCs w:val="18"/>
              </w:rPr>
              <w:t>Otros pasivos financieros</w:t>
            </w:r>
          </w:p>
        </w:tc>
        <w:tc>
          <w:tcPr>
            <w:tcW w:w="1124" w:type="dxa"/>
            <w:tcBorders>
              <w:top w:val="nil"/>
              <w:left w:val="nil"/>
              <w:bottom w:val="nil"/>
              <w:right w:val="nil"/>
            </w:tcBorders>
            <w:shd w:val="clear" w:color="000000" w:fill="FFFFFF"/>
            <w:vAlign w:val="center"/>
            <w:hideMark/>
          </w:tcPr>
          <w:p w14:paraId="575ABF4C"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18.497.061,25</w:t>
            </w:r>
          </w:p>
        </w:tc>
        <w:tc>
          <w:tcPr>
            <w:tcW w:w="1134" w:type="dxa"/>
            <w:tcBorders>
              <w:top w:val="nil"/>
              <w:left w:val="nil"/>
              <w:bottom w:val="nil"/>
              <w:right w:val="nil"/>
            </w:tcBorders>
            <w:shd w:val="clear" w:color="000000" w:fill="FFFFFF"/>
            <w:vAlign w:val="center"/>
            <w:hideMark/>
          </w:tcPr>
          <w:p w14:paraId="4F699968"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879" w:type="dxa"/>
            <w:tcBorders>
              <w:top w:val="nil"/>
              <w:left w:val="nil"/>
              <w:bottom w:val="nil"/>
              <w:right w:val="nil"/>
            </w:tcBorders>
            <w:shd w:val="clear" w:color="000000" w:fill="FFFFFF"/>
            <w:vAlign w:val="center"/>
            <w:hideMark/>
          </w:tcPr>
          <w:p w14:paraId="212EF99C"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0,00</w:t>
            </w:r>
          </w:p>
        </w:tc>
        <w:tc>
          <w:tcPr>
            <w:tcW w:w="879" w:type="dxa"/>
            <w:tcBorders>
              <w:top w:val="nil"/>
              <w:left w:val="nil"/>
              <w:bottom w:val="nil"/>
              <w:right w:val="nil"/>
            </w:tcBorders>
            <w:shd w:val="clear" w:color="000000" w:fill="FFFFFF"/>
            <w:vAlign w:val="center"/>
            <w:hideMark/>
          </w:tcPr>
          <w:p w14:paraId="222A8C72"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4.467,00</w:t>
            </w:r>
          </w:p>
        </w:tc>
        <w:tc>
          <w:tcPr>
            <w:tcW w:w="887" w:type="dxa"/>
            <w:tcBorders>
              <w:top w:val="nil"/>
              <w:left w:val="nil"/>
              <w:bottom w:val="nil"/>
              <w:right w:val="nil"/>
            </w:tcBorders>
            <w:shd w:val="clear" w:color="000000" w:fill="FFFFFF"/>
            <w:vAlign w:val="center"/>
          </w:tcPr>
          <w:p w14:paraId="555AC2C9"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8.934,00</w:t>
            </w:r>
          </w:p>
        </w:tc>
        <w:tc>
          <w:tcPr>
            <w:tcW w:w="992" w:type="dxa"/>
            <w:tcBorders>
              <w:top w:val="nil"/>
              <w:left w:val="nil"/>
              <w:bottom w:val="nil"/>
              <w:right w:val="nil"/>
            </w:tcBorders>
            <w:shd w:val="clear" w:color="000000" w:fill="FFFFFF"/>
            <w:vAlign w:val="center"/>
            <w:hideMark/>
          </w:tcPr>
          <w:p w14:paraId="15EF7CE7"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35.744,90</w:t>
            </w:r>
          </w:p>
        </w:tc>
        <w:tc>
          <w:tcPr>
            <w:tcW w:w="1134" w:type="dxa"/>
            <w:tcBorders>
              <w:top w:val="nil"/>
              <w:left w:val="nil"/>
              <w:bottom w:val="nil"/>
              <w:right w:val="nil"/>
            </w:tcBorders>
            <w:shd w:val="clear" w:color="000000" w:fill="FFFFFF"/>
            <w:vAlign w:val="center"/>
            <w:hideMark/>
          </w:tcPr>
          <w:p w14:paraId="1F976244" w14:textId="77777777" w:rsidR="00F246FB" w:rsidRDefault="00F246FB" w:rsidP="00F246FB">
            <w:pPr>
              <w:jc w:val="right"/>
              <w:rPr>
                <w:rFonts w:ascii="Arial Narrow" w:hAnsi="Arial Narrow" w:cs="Calibri"/>
                <w:color w:val="000000"/>
                <w:sz w:val="18"/>
                <w:szCs w:val="18"/>
              </w:rPr>
            </w:pPr>
            <w:r>
              <w:rPr>
                <w:rFonts w:ascii="Arial Narrow" w:hAnsi="Arial Narrow" w:cs="Calibri"/>
                <w:color w:val="000000"/>
                <w:sz w:val="18"/>
                <w:szCs w:val="18"/>
              </w:rPr>
              <w:t>18.546.207,15</w:t>
            </w:r>
          </w:p>
        </w:tc>
      </w:tr>
      <w:tr w:rsidR="00F246FB" w:rsidRPr="008A33DC" w14:paraId="08A77B8E" w14:textId="77777777" w:rsidTr="00BA6129">
        <w:trPr>
          <w:trHeight w:val="300"/>
        </w:trPr>
        <w:tc>
          <w:tcPr>
            <w:tcW w:w="1798" w:type="dxa"/>
            <w:tcBorders>
              <w:top w:val="nil"/>
              <w:left w:val="nil"/>
              <w:bottom w:val="nil"/>
              <w:right w:val="nil"/>
            </w:tcBorders>
            <w:shd w:val="clear" w:color="000000" w:fill="F2F2F2"/>
            <w:noWrap/>
            <w:vAlign w:val="center"/>
            <w:hideMark/>
          </w:tcPr>
          <w:p w14:paraId="0ADC5512" w14:textId="77777777" w:rsidR="00F246FB" w:rsidRDefault="00F246FB" w:rsidP="00F246FB">
            <w:pPr>
              <w:rPr>
                <w:rFonts w:ascii="Arial Narrow" w:hAnsi="Arial Narrow" w:cs="Calibri"/>
                <w:b/>
                <w:bCs/>
                <w:color w:val="000000"/>
                <w:sz w:val="18"/>
                <w:szCs w:val="18"/>
              </w:rPr>
            </w:pPr>
            <w:r>
              <w:rPr>
                <w:rFonts w:ascii="Arial Narrow" w:hAnsi="Arial Narrow" w:cs="Calibri"/>
                <w:b/>
                <w:bCs/>
                <w:color w:val="000000"/>
                <w:sz w:val="18"/>
                <w:szCs w:val="18"/>
              </w:rPr>
              <w:t> </w:t>
            </w:r>
          </w:p>
        </w:tc>
        <w:tc>
          <w:tcPr>
            <w:tcW w:w="1124" w:type="dxa"/>
            <w:tcBorders>
              <w:top w:val="nil"/>
              <w:left w:val="nil"/>
              <w:bottom w:val="nil"/>
              <w:right w:val="nil"/>
            </w:tcBorders>
            <w:shd w:val="clear" w:color="000000" w:fill="F2F2F2"/>
            <w:noWrap/>
            <w:vAlign w:val="center"/>
            <w:hideMark/>
          </w:tcPr>
          <w:p w14:paraId="41B853C1"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18.710.081,47</w:t>
            </w:r>
          </w:p>
        </w:tc>
        <w:tc>
          <w:tcPr>
            <w:tcW w:w="1134" w:type="dxa"/>
            <w:tcBorders>
              <w:top w:val="nil"/>
              <w:left w:val="nil"/>
              <w:bottom w:val="nil"/>
              <w:right w:val="nil"/>
            </w:tcBorders>
            <w:shd w:val="clear" w:color="000000" w:fill="F2F2F2"/>
            <w:noWrap/>
            <w:vAlign w:val="center"/>
            <w:hideMark/>
          </w:tcPr>
          <w:p w14:paraId="5771E023"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218.040,97</w:t>
            </w:r>
          </w:p>
        </w:tc>
        <w:tc>
          <w:tcPr>
            <w:tcW w:w="879" w:type="dxa"/>
            <w:tcBorders>
              <w:top w:val="nil"/>
              <w:left w:val="nil"/>
              <w:bottom w:val="nil"/>
              <w:right w:val="nil"/>
            </w:tcBorders>
            <w:shd w:val="clear" w:color="000000" w:fill="F2F2F2"/>
            <w:noWrap/>
            <w:vAlign w:val="center"/>
            <w:hideMark/>
          </w:tcPr>
          <w:p w14:paraId="46B0946D"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223.325,32</w:t>
            </w:r>
          </w:p>
        </w:tc>
        <w:tc>
          <w:tcPr>
            <w:tcW w:w="879" w:type="dxa"/>
            <w:tcBorders>
              <w:top w:val="nil"/>
              <w:left w:val="nil"/>
              <w:bottom w:val="nil"/>
              <w:right w:val="nil"/>
            </w:tcBorders>
            <w:shd w:val="clear" w:color="000000" w:fill="F2F2F2"/>
            <w:noWrap/>
            <w:vAlign w:val="center"/>
            <w:hideMark/>
          </w:tcPr>
          <w:p w14:paraId="7F3B0125"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233.974,55</w:t>
            </w:r>
          </w:p>
        </w:tc>
        <w:tc>
          <w:tcPr>
            <w:tcW w:w="887" w:type="dxa"/>
            <w:tcBorders>
              <w:top w:val="nil"/>
              <w:left w:val="nil"/>
              <w:bottom w:val="nil"/>
              <w:right w:val="nil"/>
            </w:tcBorders>
            <w:shd w:val="clear" w:color="000000" w:fill="F2F2F2"/>
            <w:vAlign w:val="center"/>
          </w:tcPr>
          <w:p w14:paraId="15A7E9B2"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8.934,00</w:t>
            </w:r>
          </w:p>
        </w:tc>
        <w:tc>
          <w:tcPr>
            <w:tcW w:w="992" w:type="dxa"/>
            <w:tcBorders>
              <w:top w:val="nil"/>
              <w:left w:val="nil"/>
              <w:bottom w:val="nil"/>
              <w:right w:val="nil"/>
            </w:tcBorders>
            <w:shd w:val="clear" w:color="000000" w:fill="F2F2F2"/>
            <w:noWrap/>
            <w:vAlign w:val="center"/>
            <w:hideMark/>
          </w:tcPr>
          <w:p w14:paraId="65BD11E0"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35.744,90</w:t>
            </w:r>
          </w:p>
        </w:tc>
        <w:tc>
          <w:tcPr>
            <w:tcW w:w="1134" w:type="dxa"/>
            <w:tcBorders>
              <w:top w:val="nil"/>
              <w:left w:val="nil"/>
              <w:bottom w:val="nil"/>
              <w:right w:val="nil"/>
            </w:tcBorders>
            <w:shd w:val="clear" w:color="000000" w:fill="F2F2F2"/>
            <w:noWrap/>
            <w:vAlign w:val="center"/>
            <w:hideMark/>
          </w:tcPr>
          <w:p w14:paraId="2163B1C4" w14:textId="77777777" w:rsidR="00F246FB" w:rsidRDefault="00F246FB" w:rsidP="00F246FB">
            <w:pPr>
              <w:jc w:val="right"/>
              <w:rPr>
                <w:rFonts w:ascii="Arial Narrow" w:hAnsi="Arial Narrow" w:cs="Calibri"/>
                <w:b/>
                <w:bCs/>
                <w:color w:val="000000"/>
                <w:sz w:val="18"/>
                <w:szCs w:val="18"/>
              </w:rPr>
            </w:pPr>
            <w:r>
              <w:rPr>
                <w:rFonts w:ascii="Arial Narrow" w:hAnsi="Arial Narrow" w:cs="Calibri"/>
                <w:b/>
                <w:bCs/>
                <w:color w:val="000000"/>
                <w:sz w:val="18"/>
                <w:szCs w:val="18"/>
              </w:rPr>
              <w:t>19.430.101,21</w:t>
            </w:r>
          </w:p>
        </w:tc>
      </w:tr>
    </w:tbl>
    <w:p w14:paraId="1C3BB7C7" w14:textId="77777777" w:rsidR="00576496" w:rsidRDefault="00576496" w:rsidP="005F13DD">
      <w:pPr>
        <w:spacing w:before="120" w:after="120"/>
        <w:jc w:val="both"/>
        <w:rPr>
          <w:rFonts w:ascii="Arial Narrow" w:hAnsi="Arial Narrow" w:cs="Arial"/>
          <w:spacing w:val="-2"/>
          <w:sz w:val="24"/>
          <w:szCs w:val="24"/>
        </w:rPr>
      </w:pPr>
    </w:p>
    <w:p w14:paraId="3A0601D2" w14:textId="77777777" w:rsidR="005F13DD" w:rsidRPr="00AF4E6A" w:rsidRDefault="005F13DD" w:rsidP="005F13DD">
      <w:pPr>
        <w:spacing w:before="120" w:after="120"/>
        <w:jc w:val="both"/>
        <w:rPr>
          <w:rFonts w:ascii="Arial Narrow" w:hAnsi="Arial Narrow" w:cs="Arial"/>
          <w:spacing w:val="-2"/>
          <w:sz w:val="24"/>
          <w:szCs w:val="24"/>
        </w:rPr>
      </w:pPr>
      <w:r w:rsidRPr="00AF4E6A">
        <w:rPr>
          <w:rFonts w:ascii="Arial Narrow" w:hAnsi="Arial Narrow" w:cs="Arial"/>
          <w:spacing w:val="-2"/>
          <w:sz w:val="24"/>
          <w:szCs w:val="24"/>
        </w:rPr>
        <w:t xml:space="preserve">El detalle de los vencimientos de los instrumentos financieros de pasivo al </w:t>
      </w:r>
      <w:r w:rsidRPr="003E1140">
        <w:rPr>
          <w:rFonts w:ascii="Arial Narrow" w:hAnsi="Arial Narrow" w:cs="Arial"/>
          <w:spacing w:val="-2"/>
          <w:sz w:val="24"/>
          <w:szCs w:val="24"/>
        </w:rPr>
        <w:t>cierre del ejercicio 201</w:t>
      </w:r>
      <w:r w:rsidR="00F246FB">
        <w:rPr>
          <w:rFonts w:ascii="Arial Narrow" w:hAnsi="Arial Narrow" w:cs="Arial"/>
          <w:spacing w:val="-2"/>
          <w:sz w:val="24"/>
          <w:szCs w:val="24"/>
        </w:rPr>
        <w:t xml:space="preserve">8 </w:t>
      </w:r>
      <w:r w:rsidRPr="00AF4E6A">
        <w:rPr>
          <w:rFonts w:ascii="Arial Narrow" w:hAnsi="Arial Narrow" w:cs="Arial"/>
          <w:spacing w:val="-2"/>
          <w:sz w:val="24"/>
          <w:szCs w:val="24"/>
        </w:rPr>
        <w:t>es el siguiente, en euros:</w:t>
      </w:r>
    </w:p>
    <w:tbl>
      <w:tblPr>
        <w:tblW w:w="8827" w:type="dxa"/>
        <w:tblInd w:w="55" w:type="dxa"/>
        <w:tblLayout w:type="fixed"/>
        <w:tblCellMar>
          <w:left w:w="70" w:type="dxa"/>
          <w:right w:w="70" w:type="dxa"/>
        </w:tblCellMar>
        <w:tblLook w:val="04A0" w:firstRow="1" w:lastRow="0" w:firstColumn="1" w:lastColumn="0" w:noHBand="0" w:noVBand="1"/>
      </w:tblPr>
      <w:tblGrid>
        <w:gridCol w:w="1798"/>
        <w:gridCol w:w="1124"/>
        <w:gridCol w:w="1134"/>
        <w:gridCol w:w="879"/>
        <w:gridCol w:w="879"/>
        <w:gridCol w:w="887"/>
        <w:gridCol w:w="992"/>
        <w:gridCol w:w="1134"/>
      </w:tblGrid>
      <w:tr w:rsidR="00F246FB" w:rsidRPr="00EC074B" w14:paraId="7104456A" w14:textId="77777777" w:rsidTr="00831E90">
        <w:trPr>
          <w:trHeight w:val="300"/>
        </w:trPr>
        <w:tc>
          <w:tcPr>
            <w:tcW w:w="1798" w:type="dxa"/>
            <w:tcBorders>
              <w:top w:val="nil"/>
              <w:left w:val="nil"/>
              <w:bottom w:val="nil"/>
              <w:right w:val="nil"/>
            </w:tcBorders>
            <w:shd w:val="clear" w:color="000000" w:fill="D9D9D9"/>
            <w:vAlign w:val="center"/>
            <w:hideMark/>
          </w:tcPr>
          <w:p w14:paraId="1380956E" w14:textId="77777777" w:rsidR="00F246FB" w:rsidRPr="008A33DC" w:rsidRDefault="00F246FB" w:rsidP="00831E90">
            <w:pPr>
              <w:rPr>
                <w:rFonts w:ascii="Times New Roman" w:hAnsi="Times New Roman"/>
                <w:color w:val="000000"/>
                <w:sz w:val="20"/>
                <w:lang w:val="es-ES" w:eastAsia="es-ES"/>
              </w:rPr>
            </w:pPr>
          </w:p>
        </w:tc>
        <w:tc>
          <w:tcPr>
            <w:tcW w:w="1124" w:type="dxa"/>
            <w:tcBorders>
              <w:top w:val="nil"/>
              <w:left w:val="nil"/>
              <w:bottom w:val="nil"/>
              <w:right w:val="nil"/>
            </w:tcBorders>
            <w:shd w:val="clear" w:color="000000" w:fill="D9D9D9"/>
            <w:noWrap/>
            <w:vAlign w:val="center"/>
            <w:hideMark/>
          </w:tcPr>
          <w:p w14:paraId="46F16305" w14:textId="77777777" w:rsidR="00F246FB" w:rsidRPr="00EC074B" w:rsidRDefault="00F246FB" w:rsidP="00831E90">
            <w:pPr>
              <w:jc w:val="center"/>
              <w:rPr>
                <w:rFonts w:ascii="Arial Narrow" w:hAnsi="Arial Narrow"/>
                <w:b/>
                <w:bCs/>
                <w:color w:val="000000"/>
                <w:sz w:val="18"/>
                <w:szCs w:val="18"/>
                <w:lang w:val="es-ES" w:eastAsia="es-ES"/>
              </w:rPr>
            </w:pPr>
            <w:r>
              <w:rPr>
                <w:rFonts w:ascii="Arial Narrow" w:hAnsi="Arial Narrow" w:cs="Calibri"/>
                <w:b/>
                <w:bCs/>
                <w:color w:val="000000"/>
                <w:sz w:val="18"/>
                <w:szCs w:val="18"/>
              </w:rPr>
              <w:t>2019</w:t>
            </w:r>
          </w:p>
        </w:tc>
        <w:tc>
          <w:tcPr>
            <w:tcW w:w="1134" w:type="dxa"/>
            <w:tcBorders>
              <w:top w:val="nil"/>
              <w:left w:val="nil"/>
              <w:bottom w:val="nil"/>
              <w:right w:val="nil"/>
            </w:tcBorders>
            <w:shd w:val="clear" w:color="000000" w:fill="D9D9D9"/>
            <w:noWrap/>
            <w:vAlign w:val="center"/>
            <w:hideMark/>
          </w:tcPr>
          <w:p w14:paraId="35708A4A" w14:textId="77777777" w:rsidR="00F246FB" w:rsidRPr="00EC074B" w:rsidRDefault="00F246FB" w:rsidP="00831E90">
            <w:pPr>
              <w:jc w:val="center"/>
              <w:rPr>
                <w:rFonts w:ascii="Arial Narrow" w:hAnsi="Arial Narrow"/>
                <w:b/>
                <w:bCs/>
                <w:color w:val="000000"/>
                <w:sz w:val="18"/>
                <w:szCs w:val="18"/>
                <w:lang w:val="es-ES" w:eastAsia="es-ES"/>
              </w:rPr>
            </w:pPr>
            <w:r>
              <w:rPr>
                <w:rFonts w:ascii="Arial Narrow" w:hAnsi="Arial Narrow" w:cs="Calibri"/>
                <w:b/>
                <w:bCs/>
                <w:color w:val="000000"/>
                <w:sz w:val="18"/>
                <w:szCs w:val="18"/>
              </w:rPr>
              <w:t>2020</w:t>
            </w:r>
          </w:p>
        </w:tc>
        <w:tc>
          <w:tcPr>
            <w:tcW w:w="879" w:type="dxa"/>
            <w:tcBorders>
              <w:top w:val="nil"/>
              <w:left w:val="nil"/>
              <w:bottom w:val="nil"/>
              <w:right w:val="nil"/>
            </w:tcBorders>
            <w:shd w:val="clear" w:color="000000" w:fill="D9D9D9"/>
            <w:noWrap/>
            <w:vAlign w:val="center"/>
            <w:hideMark/>
          </w:tcPr>
          <w:p w14:paraId="3975F9B2" w14:textId="77777777" w:rsidR="00F246FB" w:rsidRPr="00EC074B" w:rsidRDefault="00F246FB" w:rsidP="00831E90">
            <w:pPr>
              <w:jc w:val="center"/>
              <w:rPr>
                <w:rFonts w:ascii="Arial Narrow" w:hAnsi="Arial Narrow"/>
                <w:b/>
                <w:bCs/>
                <w:color w:val="000000"/>
                <w:sz w:val="18"/>
                <w:szCs w:val="18"/>
                <w:lang w:val="es-ES" w:eastAsia="es-ES"/>
              </w:rPr>
            </w:pPr>
            <w:r>
              <w:rPr>
                <w:rFonts w:ascii="Arial Narrow" w:hAnsi="Arial Narrow" w:cs="Calibri"/>
                <w:b/>
                <w:bCs/>
                <w:color w:val="000000"/>
                <w:sz w:val="18"/>
                <w:szCs w:val="18"/>
              </w:rPr>
              <w:t>2021</w:t>
            </w:r>
          </w:p>
        </w:tc>
        <w:tc>
          <w:tcPr>
            <w:tcW w:w="879" w:type="dxa"/>
            <w:tcBorders>
              <w:top w:val="nil"/>
              <w:left w:val="nil"/>
              <w:bottom w:val="nil"/>
              <w:right w:val="nil"/>
            </w:tcBorders>
            <w:shd w:val="clear" w:color="000000" w:fill="D9D9D9"/>
            <w:noWrap/>
            <w:vAlign w:val="center"/>
            <w:hideMark/>
          </w:tcPr>
          <w:p w14:paraId="7DF90012" w14:textId="77777777" w:rsidR="00F246FB" w:rsidRPr="00E97689" w:rsidRDefault="00F246FB" w:rsidP="00831E90">
            <w:pPr>
              <w:jc w:val="center"/>
              <w:rPr>
                <w:rFonts w:ascii="Arial Narrow" w:hAnsi="Arial Narrow"/>
                <w:b/>
                <w:bCs/>
                <w:color w:val="000000"/>
                <w:sz w:val="18"/>
                <w:szCs w:val="18"/>
                <w:lang w:val="es-ES" w:eastAsia="es-ES"/>
              </w:rPr>
            </w:pPr>
            <w:r>
              <w:rPr>
                <w:rFonts w:ascii="Arial Narrow" w:hAnsi="Arial Narrow" w:cs="Calibri"/>
                <w:b/>
                <w:bCs/>
                <w:color w:val="000000"/>
                <w:sz w:val="18"/>
                <w:szCs w:val="18"/>
              </w:rPr>
              <w:t>2022</w:t>
            </w:r>
          </w:p>
        </w:tc>
        <w:tc>
          <w:tcPr>
            <w:tcW w:w="887" w:type="dxa"/>
            <w:tcBorders>
              <w:top w:val="nil"/>
              <w:left w:val="nil"/>
              <w:bottom w:val="nil"/>
              <w:right w:val="nil"/>
            </w:tcBorders>
            <w:shd w:val="clear" w:color="000000" w:fill="D9D9D9"/>
            <w:vAlign w:val="center"/>
          </w:tcPr>
          <w:p w14:paraId="5484ADA5" w14:textId="77777777" w:rsidR="00F246FB" w:rsidRPr="00EC074B" w:rsidRDefault="00F246FB" w:rsidP="00831E90">
            <w:pPr>
              <w:jc w:val="center"/>
              <w:rPr>
                <w:rFonts w:ascii="Arial Narrow" w:hAnsi="Arial Narrow"/>
                <w:b/>
                <w:bCs/>
                <w:color w:val="000000"/>
                <w:sz w:val="18"/>
                <w:szCs w:val="18"/>
                <w:lang w:eastAsia="es-ES"/>
              </w:rPr>
            </w:pPr>
            <w:r>
              <w:rPr>
                <w:rFonts w:ascii="Arial Narrow" w:hAnsi="Arial Narrow" w:cs="Calibri"/>
                <w:b/>
                <w:bCs/>
                <w:color w:val="000000"/>
                <w:sz w:val="18"/>
                <w:szCs w:val="18"/>
              </w:rPr>
              <w:t>2023</w:t>
            </w:r>
          </w:p>
        </w:tc>
        <w:tc>
          <w:tcPr>
            <w:tcW w:w="992" w:type="dxa"/>
            <w:tcBorders>
              <w:top w:val="nil"/>
              <w:left w:val="nil"/>
              <w:bottom w:val="nil"/>
              <w:right w:val="nil"/>
            </w:tcBorders>
            <w:shd w:val="clear" w:color="000000" w:fill="D9D9D9"/>
            <w:noWrap/>
            <w:vAlign w:val="center"/>
            <w:hideMark/>
          </w:tcPr>
          <w:p w14:paraId="01067D92" w14:textId="77777777" w:rsidR="00F246FB" w:rsidRPr="00EC074B" w:rsidRDefault="00F246FB" w:rsidP="00831E90">
            <w:pPr>
              <w:jc w:val="center"/>
              <w:rPr>
                <w:rFonts w:ascii="Arial Narrow" w:hAnsi="Arial Narrow"/>
                <w:b/>
                <w:bCs/>
                <w:color w:val="000000"/>
                <w:sz w:val="18"/>
                <w:szCs w:val="18"/>
                <w:lang w:val="es-ES" w:eastAsia="es-ES"/>
              </w:rPr>
            </w:pPr>
            <w:r w:rsidRPr="00EC074B">
              <w:rPr>
                <w:rFonts w:ascii="Arial Narrow" w:hAnsi="Arial Narrow"/>
                <w:b/>
                <w:bCs/>
                <w:color w:val="000000"/>
                <w:sz w:val="18"/>
                <w:szCs w:val="18"/>
                <w:lang w:eastAsia="es-ES"/>
              </w:rPr>
              <w:t>+ 5 años</w:t>
            </w:r>
          </w:p>
        </w:tc>
        <w:tc>
          <w:tcPr>
            <w:tcW w:w="1134" w:type="dxa"/>
            <w:tcBorders>
              <w:top w:val="nil"/>
              <w:left w:val="nil"/>
              <w:bottom w:val="nil"/>
              <w:right w:val="nil"/>
            </w:tcBorders>
            <w:shd w:val="clear" w:color="000000" w:fill="D9D9D9"/>
            <w:noWrap/>
            <w:vAlign w:val="center"/>
            <w:hideMark/>
          </w:tcPr>
          <w:p w14:paraId="710BE95B" w14:textId="77777777" w:rsidR="00F246FB" w:rsidRPr="00EC074B" w:rsidRDefault="00F246FB" w:rsidP="00831E90">
            <w:pPr>
              <w:jc w:val="center"/>
              <w:rPr>
                <w:rFonts w:ascii="Arial Narrow" w:hAnsi="Arial Narrow"/>
                <w:b/>
                <w:bCs/>
                <w:color w:val="000000"/>
                <w:sz w:val="18"/>
                <w:szCs w:val="18"/>
                <w:lang w:val="es-ES" w:eastAsia="es-ES"/>
              </w:rPr>
            </w:pPr>
            <w:r w:rsidRPr="00EC074B">
              <w:rPr>
                <w:rFonts w:ascii="Arial Narrow" w:hAnsi="Arial Narrow"/>
                <w:b/>
                <w:bCs/>
                <w:color w:val="000000"/>
                <w:sz w:val="18"/>
                <w:szCs w:val="18"/>
                <w:lang w:eastAsia="es-ES"/>
              </w:rPr>
              <w:t>Total</w:t>
            </w:r>
          </w:p>
        </w:tc>
      </w:tr>
      <w:tr w:rsidR="00F246FB" w:rsidRPr="00EC074B" w14:paraId="7823E931" w14:textId="77777777" w:rsidTr="00831E90">
        <w:trPr>
          <w:trHeight w:val="300"/>
        </w:trPr>
        <w:tc>
          <w:tcPr>
            <w:tcW w:w="1798" w:type="dxa"/>
            <w:tcBorders>
              <w:top w:val="nil"/>
              <w:left w:val="nil"/>
              <w:bottom w:val="nil"/>
              <w:right w:val="nil"/>
            </w:tcBorders>
            <w:shd w:val="clear" w:color="000000" w:fill="FFFFFF"/>
            <w:vAlign w:val="center"/>
            <w:hideMark/>
          </w:tcPr>
          <w:p w14:paraId="4BE7D48A" w14:textId="77777777" w:rsidR="00F246FB" w:rsidRPr="00EC074B" w:rsidRDefault="00F246FB" w:rsidP="00831E90">
            <w:pPr>
              <w:rPr>
                <w:rFonts w:ascii="Arial Narrow" w:hAnsi="Arial Narrow"/>
                <w:color w:val="000000"/>
                <w:sz w:val="18"/>
                <w:szCs w:val="18"/>
                <w:lang w:val="es-ES" w:eastAsia="es-ES"/>
              </w:rPr>
            </w:pPr>
            <w:r w:rsidRPr="00EC074B">
              <w:rPr>
                <w:rFonts w:ascii="Arial Narrow" w:hAnsi="Arial Narrow"/>
                <w:color w:val="000000"/>
                <w:sz w:val="18"/>
                <w:szCs w:val="18"/>
                <w:lang w:eastAsia="es-ES"/>
              </w:rPr>
              <w:t>Otras deudas</w:t>
            </w:r>
          </w:p>
        </w:tc>
        <w:tc>
          <w:tcPr>
            <w:tcW w:w="1124" w:type="dxa"/>
            <w:tcBorders>
              <w:top w:val="nil"/>
              <w:left w:val="nil"/>
              <w:bottom w:val="nil"/>
              <w:right w:val="nil"/>
            </w:tcBorders>
            <w:shd w:val="clear" w:color="000000" w:fill="FFFFFF"/>
            <w:vAlign w:val="center"/>
            <w:hideMark/>
          </w:tcPr>
          <w:p w14:paraId="17D194AB"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208.249,90</w:t>
            </w:r>
          </w:p>
        </w:tc>
        <w:tc>
          <w:tcPr>
            <w:tcW w:w="1134" w:type="dxa"/>
            <w:tcBorders>
              <w:top w:val="nil"/>
              <w:left w:val="nil"/>
              <w:bottom w:val="nil"/>
              <w:right w:val="nil"/>
            </w:tcBorders>
            <w:shd w:val="clear" w:color="000000" w:fill="FFFFFF"/>
            <w:vAlign w:val="center"/>
            <w:hideMark/>
          </w:tcPr>
          <w:p w14:paraId="5E411220"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213.020,23</w:t>
            </w:r>
          </w:p>
        </w:tc>
        <w:tc>
          <w:tcPr>
            <w:tcW w:w="879" w:type="dxa"/>
            <w:tcBorders>
              <w:top w:val="nil"/>
              <w:left w:val="nil"/>
              <w:bottom w:val="nil"/>
              <w:right w:val="nil"/>
            </w:tcBorders>
            <w:shd w:val="clear" w:color="000000" w:fill="FFFFFF"/>
            <w:vAlign w:val="center"/>
            <w:hideMark/>
          </w:tcPr>
          <w:p w14:paraId="016143B3"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218.040,97</w:t>
            </w:r>
          </w:p>
        </w:tc>
        <w:tc>
          <w:tcPr>
            <w:tcW w:w="879" w:type="dxa"/>
            <w:tcBorders>
              <w:top w:val="nil"/>
              <w:left w:val="nil"/>
              <w:bottom w:val="nil"/>
              <w:right w:val="nil"/>
            </w:tcBorders>
            <w:shd w:val="clear" w:color="000000" w:fill="FFFFFF"/>
            <w:vAlign w:val="center"/>
            <w:hideMark/>
          </w:tcPr>
          <w:p w14:paraId="0B6ED6FD"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223.325,32</w:t>
            </w:r>
          </w:p>
        </w:tc>
        <w:tc>
          <w:tcPr>
            <w:tcW w:w="887" w:type="dxa"/>
            <w:tcBorders>
              <w:top w:val="nil"/>
              <w:left w:val="nil"/>
              <w:bottom w:val="nil"/>
              <w:right w:val="nil"/>
            </w:tcBorders>
            <w:shd w:val="clear" w:color="000000" w:fill="FFFFFF"/>
            <w:vAlign w:val="center"/>
          </w:tcPr>
          <w:p w14:paraId="363A5ACA"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229.507,55</w:t>
            </w:r>
          </w:p>
        </w:tc>
        <w:tc>
          <w:tcPr>
            <w:tcW w:w="992" w:type="dxa"/>
            <w:tcBorders>
              <w:top w:val="nil"/>
              <w:left w:val="nil"/>
              <w:bottom w:val="nil"/>
              <w:right w:val="nil"/>
            </w:tcBorders>
            <w:shd w:val="clear" w:color="000000" w:fill="FFFFFF"/>
            <w:vAlign w:val="center"/>
            <w:hideMark/>
          </w:tcPr>
          <w:p w14:paraId="77B9C32B"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0,00</w:t>
            </w:r>
          </w:p>
        </w:tc>
        <w:tc>
          <w:tcPr>
            <w:tcW w:w="1134" w:type="dxa"/>
            <w:tcBorders>
              <w:top w:val="nil"/>
              <w:left w:val="nil"/>
              <w:bottom w:val="nil"/>
              <w:right w:val="nil"/>
            </w:tcBorders>
            <w:shd w:val="clear" w:color="000000" w:fill="FFFFFF"/>
            <w:vAlign w:val="center"/>
            <w:hideMark/>
          </w:tcPr>
          <w:p w14:paraId="2C815197"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1.092.143,97</w:t>
            </w:r>
          </w:p>
        </w:tc>
      </w:tr>
      <w:tr w:rsidR="00F246FB" w:rsidRPr="00EC074B" w14:paraId="68AF39AF" w14:textId="77777777" w:rsidTr="00831E90">
        <w:trPr>
          <w:trHeight w:val="300"/>
        </w:trPr>
        <w:tc>
          <w:tcPr>
            <w:tcW w:w="1798" w:type="dxa"/>
            <w:tcBorders>
              <w:top w:val="nil"/>
              <w:left w:val="nil"/>
              <w:bottom w:val="nil"/>
              <w:right w:val="nil"/>
            </w:tcBorders>
            <w:shd w:val="clear" w:color="000000" w:fill="FFFFFF"/>
            <w:vAlign w:val="center"/>
            <w:hideMark/>
          </w:tcPr>
          <w:p w14:paraId="14B5E6C1" w14:textId="77777777" w:rsidR="00F246FB" w:rsidRPr="00EC074B" w:rsidRDefault="00F246FB" w:rsidP="00831E90">
            <w:pPr>
              <w:rPr>
                <w:rFonts w:ascii="Arial Narrow" w:hAnsi="Arial Narrow"/>
                <w:color w:val="000000"/>
                <w:sz w:val="18"/>
                <w:szCs w:val="18"/>
                <w:lang w:val="es-ES" w:eastAsia="es-ES"/>
              </w:rPr>
            </w:pPr>
            <w:r w:rsidRPr="00EC074B">
              <w:rPr>
                <w:rFonts w:ascii="Arial Narrow" w:hAnsi="Arial Narrow"/>
                <w:color w:val="000000"/>
                <w:sz w:val="18"/>
                <w:szCs w:val="18"/>
                <w:lang w:eastAsia="es-ES"/>
              </w:rPr>
              <w:t>Otros pasivos financieros</w:t>
            </w:r>
          </w:p>
        </w:tc>
        <w:tc>
          <w:tcPr>
            <w:tcW w:w="1124" w:type="dxa"/>
            <w:tcBorders>
              <w:top w:val="nil"/>
              <w:left w:val="nil"/>
              <w:bottom w:val="nil"/>
              <w:right w:val="nil"/>
            </w:tcBorders>
            <w:shd w:val="clear" w:color="000000" w:fill="FFFFFF"/>
            <w:vAlign w:val="center"/>
            <w:hideMark/>
          </w:tcPr>
          <w:p w14:paraId="21622799"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12.894.546,36</w:t>
            </w:r>
          </w:p>
        </w:tc>
        <w:tc>
          <w:tcPr>
            <w:tcW w:w="1134" w:type="dxa"/>
            <w:tcBorders>
              <w:top w:val="nil"/>
              <w:left w:val="nil"/>
              <w:bottom w:val="nil"/>
              <w:right w:val="nil"/>
            </w:tcBorders>
            <w:shd w:val="clear" w:color="000000" w:fill="FFFFFF"/>
            <w:vAlign w:val="center"/>
            <w:hideMark/>
          </w:tcPr>
          <w:p w14:paraId="4D95D5DF"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357.003,89</w:t>
            </w:r>
          </w:p>
        </w:tc>
        <w:tc>
          <w:tcPr>
            <w:tcW w:w="879" w:type="dxa"/>
            <w:tcBorders>
              <w:top w:val="nil"/>
              <w:left w:val="nil"/>
              <w:bottom w:val="nil"/>
              <w:right w:val="nil"/>
            </w:tcBorders>
            <w:shd w:val="clear" w:color="000000" w:fill="FFFFFF"/>
            <w:vAlign w:val="center"/>
            <w:hideMark/>
          </w:tcPr>
          <w:p w14:paraId="083ABC2F"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0,00</w:t>
            </w:r>
          </w:p>
        </w:tc>
        <w:tc>
          <w:tcPr>
            <w:tcW w:w="879" w:type="dxa"/>
            <w:tcBorders>
              <w:top w:val="nil"/>
              <w:left w:val="nil"/>
              <w:bottom w:val="nil"/>
              <w:right w:val="nil"/>
            </w:tcBorders>
            <w:shd w:val="clear" w:color="000000" w:fill="FFFFFF"/>
            <w:vAlign w:val="center"/>
            <w:hideMark/>
          </w:tcPr>
          <w:p w14:paraId="50520754"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0,00</w:t>
            </w:r>
          </w:p>
        </w:tc>
        <w:tc>
          <w:tcPr>
            <w:tcW w:w="887" w:type="dxa"/>
            <w:tcBorders>
              <w:top w:val="nil"/>
              <w:left w:val="nil"/>
              <w:bottom w:val="nil"/>
              <w:right w:val="nil"/>
            </w:tcBorders>
            <w:shd w:val="clear" w:color="000000" w:fill="FFFFFF"/>
            <w:vAlign w:val="center"/>
          </w:tcPr>
          <w:p w14:paraId="75EFFA74" w14:textId="77777777" w:rsidR="00F246FB" w:rsidRPr="00EC074B" w:rsidRDefault="00F246FB" w:rsidP="00831E90">
            <w:pPr>
              <w:jc w:val="right"/>
              <w:rPr>
                <w:rFonts w:ascii="Arial Narrow" w:hAnsi="Arial Narrow"/>
                <w:color w:val="000000"/>
                <w:sz w:val="18"/>
                <w:szCs w:val="18"/>
                <w:lang w:eastAsia="es-ES"/>
              </w:rPr>
            </w:pPr>
            <w:r>
              <w:rPr>
                <w:rFonts w:ascii="Arial Narrow" w:hAnsi="Arial Narrow" w:cs="Calibri"/>
                <w:color w:val="000000"/>
                <w:sz w:val="18"/>
                <w:szCs w:val="18"/>
              </w:rPr>
              <w:t>0,00</w:t>
            </w:r>
          </w:p>
        </w:tc>
        <w:tc>
          <w:tcPr>
            <w:tcW w:w="992" w:type="dxa"/>
            <w:tcBorders>
              <w:top w:val="nil"/>
              <w:left w:val="nil"/>
              <w:bottom w:val="nil"/>
              <w:right w:val="nil"/>
            </w:tcBorders>
            <w:shd w:val="clear" w:color="000000" w:fill="FFFFFF"/>
            <w:vAlign w:val="center"/>
            <w:hideMark/>
          </w:tcPr>
          <w:p w14:paraId="12682549"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0,00</w:t>
            </w:r>
          </w:p>
        </w:tc>
        <w:tc>
          <w:tcPr>
            <w:tcW w:w="1134" w:type="dxa"/>
            <w:tcBorders>
              <w:top w:val="nil"/>
              <w:left w:val="nil"/>
              <w:bottom w:val="nil"/>
              <w:right w:val="nil"/>
            </w:tcBorders>
            <w:shd w:val="clear" w:color="000000" w:fill="FFFFFF"/>
            <w:vAlign w:val="center"/>
            <w:hideMark/>
          </w:tcPr>
          <w:p w14:paraId="406B1FC9" w14:textId="77777777" w:rsidR="00F246FB" w:rsidRPr="00EC074B" w:rsidRDefault="00F246FB" w:rsidP="00831E90">
            <w:pPr>
              <w:jc w:val="right"/>
              <w:rPr>
                <w:rFonts w:ascii="Arial Narrow" w:hAnsi="Arial Narrow"/>
                <w:color w:val="000000"/>
                <w:sz w:val="18"/>
                <w:szCs w:val="18"/>
                <w:lang w:val="es-ES" w:eastAsia="es-ES"/>
              </w:rPr>
            </w:pPr>
            <w:r>
              <w:rPr>
                <w:rFonts w:ascii="Arial Narrow" w:hAnsi="Arial Narrow" w:cs="Calibri"/>
                <w:color w:val="000000"/>
                <w:sz w:val="18"/>
                <w:szCs w:val="18"/>
              </w:rPr>
              <w:t>13.251.550,25</w:t>
            </w:r>
          </w:p>
        </w:tc>
      </w:tr>
      <w:tr w:rsidR="00F246FB" w:rsidRPr="008A33DC" w14:paraId="3AC70550" w14:textId="77777777" w:rsidTr="00831E90">
        <w:trPr>
          <w:trHeight w:val="300"/>
        </w:trPr>
        <w:tc>
          <w:tcPr>
            <w:tcW w:w="1798" w:type="dxa"/>
            <w:tcBorders>
              <w:top w:val="nil"/>
              <w:left w:val="nil"/>
              <w:bottom w:val="nil"/>
              <w:right w:val="nil"/>
            </w:tcBorders>
            <w:shd w:val="clear" w:color="000000" w:fill="F2F2F2"/>
            <w:noWrap/>
            <w:vAlign w:val="center"/>
            <w:hideMark/>
          </w:tcPr>
          <w:p w14:paraId="2544DC59" w14:textId="77777777" w:rsidR="00F246FB" w:rsidRPr="00EC074B" w:rsidRDefault="00F246FB" w:rsidP="00831E90">
            <w:pPr>
              <w:rPr>
                <w:rFonts w:ascii="Arial Narrow" w:hAnsi="Arial Narrow"/>
                <w:b/>
                <w:bCs/>
                <w:color w:val="000000"/>
                <w:sz w:val="18"/>
                <w:szCs w:val="18"/>
                <w:lang w:val="es-ES" w:eastAsia="es-ES"/>
              </w:rPr>
            </w:pPr>
          </w:p>
        </w:tc>
        <w:tc>
          <w:tcPr>
            <w:tcW w:w="1124" w:type="dxa"/>
            <w:tcBorders>
              <w:top w:val="nil"/>
              <w:left w:val="nil"/>
              <w:bottom w:val="nil"/>
              <w:right w:val="nil"/>
            </w:tcBorders>
            <w:shd w:val="clear" w:color="000000" w:fill="F2F2F2"/>
            <w:noWrap/>
            <w:vAlign w:val="center"/>
            <w:hideMark/>
          </w:tcPr>
          <w:p w14:paraId="5DC5F9C7" w14:textId="77777777" w:rsidR="00F246FB" w:rsidRPr="00EC074B" w:rsidRDefault="00F246FB" w:rsidP="00831E90">
            <w:pPr>
              <w:jc w:val="right"/>
              <w:rPr>
                <w:rFonts w:ascii="Arial Narrow" w:hAnsi="Arial Narrow"/>
                <w:b/>
                <w:bCs/>
                <w:color w:val="000000"/>
                <w:sz w:val="18"/>
                <w:szCs w:val="18"/>
                <w:lang w:val="es-ES" w:eastAsia="es-ES"/>
              </w:rPr>
            </w:pPr>
            <w:r>
              <w:rPr>
                <w:rFonts w:ascii="Arial Narrow" w:hAnsi="Arial Narrow" w:cs="Calibri"/>
                <w:b/>
                <w:bCs/>
                <w:color w:val="000000"/>
                <w:sz w:val="18"/>
                <w:szCs w:val="18"/>
              </w:rPr>
              <w:t>13.102.796,26</w:t>
            </w:r>
          </w:p>
        </w:tc>
        <w:tc>
          <w:tcPr>
            <w:tcW w:w="1134" w:type="dxa"/>
            <w:tcBorders>
              <w:top w:val="nil"/>
              <w:left w:val="nil"/>
              <w:bottom w:val="nil"/>
              <w:right w:val="nil"/>
            </w:tcBorders>
            <w:shd w:val="clear" w:color="000000" w:fill="F2F2F2"/>
            <w:noWrap/>
            <w:vAlign w:val="center"/>
            <w:hideMark/>
          </w:tcPr>
          <w:p w14:paraId="0F0C3105" w14:textId="77777777" w:rsidR="00F246FB" w:rsidRPr="00EC074B" w:rsidRDefault="00F246FB" w:rsidP="00831E90">
            <w:pPr>
              <w:jc w:val="right"/>
              <w:rPr>
                <w:rFonts w:ascii="Arial Narrow" w:hAnsi="Arial Narrow"/>
                <w:b/>
                <w:bCs/>
                <w:color w:val="000000"/>
                <w:sz w:val="18"/>
                <w:szCs w:val="18"/>
                <w:lang w:val="es-ES" w:eastAsia="es-ES"/>
              </w:rPr>
            </w:pPr>
            <w:r>
              <w:rPr>
                <w:rFonts w:ascii="Arial Narrow" w:hAnsi="Arial Narrow" w:cs="Calibri"/>
                <w:b/>
                <w:bCs/>
                <w:color w:val="000000"/>
                <w:sz w:val="18"/>
                <w:szCs w:val="18"/>
              </w:rPr>
              <w:t>570.024,12</w:t>
            </w:r>
          </w:p>
        </w:tc>
        <w:tc>
          <w:tcPr>
            <w:tcW w:w="879" w:type="dxa"/>
            <w:tcBorders>
              <w:top w:val="nil"/>
              <w:left w:val="nil"/>
              <w:bottom w:val="nil"/>
              <w:right w:val="nil"/>
            </w:tcBorders>
            <w:shd w:val="clear" w:color="000000" w:fill="F2F2F2"/>
            <w:noWrap/>
            <w:vAlign w:val="center"/>
            <w:hideMark/>
          </w:tcPr>
          <w:p w14:paraId="61C14B9B" w14:textId="77777777" w:rsidR="00F246FB" w:rsidRPr="00EC074B" w:rsidRDefault="00F246FB" w:rsidP="00831E90">
            <w:pPr>
              <w:jc w:val="right"/>
              <w:rPr>
                <w:rFonts w:ascii="Arial Narrow" w:hAnsi="Arial Narrow"/>
                <w:b/>
                <w:bCs/>
                <w:color w:val="000000"/>
                <w:sz w:val="18"/>
                <w:szCs w:val="18"/>
                <w:lang w:val="es-ES" w:eastAsia="es-ES"/>
              </w:rPr>
            </w:pPr>
            <w:r>
              <w:rPr>
                <w:rFonts w:ascii="Arial Narrow" w:hAnsi="Arial Narrow" w:cs="Calibri"/>
                <w:b/>
                <w:bCs/>
                <w:color w:val="000000"/>
                <w:sz w:val="18"/>
                <w:szCs w:val="18"/>
              </w:rPr>
              <w:t>218.040,97</w:t>
            </w:r>
          </w:p>
        </w:tc>
        <w:tc>
          <w:tcPr>
            <w:tcW w:w="879" w:type="dxa"/>
            <w:tcBorders>
              <w:top w:val="nil"/>
              <w:left w:val="nil"/>
              <w:bottom w:val="nil"/>
              <w:right w:val="nil"/>
            </w:tcBorders>
            <w:shd w:val="clear" w:color="000000" w:fill="F2F2F2"/>
            <w:noWrap/>
            <w:vAlign w:val="center"/>
            <w:hideMark/>
          </w:tcPr>
          <w:p w14:paraId="4F7E5B64" w14:textId="77777777" w:rsidR="00F246FB" w:rsidRPr="00EC074B" w:rsidRDefault="00F246FB" w:rsidP="00831E90">
            <w:pPr>
              <w:jc w:val="right"/>
              <w:rPr>
                <w:rFonts w:ascii="Arial Narrow" w:hAnsi="Arial Narrow"/>
                <w:b/>
                <w:bCs/>
                <w:color w:val="000000"/>
                <w:sz w:val="18"/>
                <w:szCs w:val="18"/>
                <w:lang w:val="es-ES" w:eastAsia="es-ES"/>
              </w:rPr>
            </w:pPr>
            <w:r>
              <w:rPr>
                <w:rFonts w:ascii="Arial Narrow" w:hAnsi="Arial Narrow" w:cs="Calibri"/>
                <w:b/>
                <w:bCs/>
                <w:color w:val="000000"/>
                <w:sz w:val="18"/>
                <w:szCs w:val="18"/>
              </w:rPr>
              <w:t>223.325,32</w:t>
            </w:r>
          </w:p>
        </w:tc>
        <w:tc>
          <w:tcPr>
            <w:tcW w:w="887" w:type="dxa"/>
            <w:tcBorders>
              <w:top w:val="nil"/>
              <w:left w:val="nil"/>
              <w:bottom w:val="nil"/>
              <w:right w:val="nil"/>
            </w:tcBorders>
            <w:shd w:val="clear" w:color="000000" w:fill="F2F2F2"/>
            <w:vAlign w:val="center"/>
          </w:tcPr>
          <w:p w14:paraId="3D84DC40" w14:textId="77777777" w:rsidR="00F246FB" w:rsidRPr="00EC074B" w:rsidRDefault="00F246FB" w:rsidP="00831E90">
            <w:pPr>
              <w:jc w:val="right"/>
              <w:rPr>
                <w:rFonts w:ascii="Arial Narrow" w:hAnsi="Arial Narrow"/>
                <w:b/>
                <w:bCs/>
                <w:color w:val="000000"/>
                <w:sz w:val="18"/>
                <w:szCs w:val="18"/>
                <w:lang w:eastAsia="es-ES"/>
              </w:rPr>
            </w:pPr>
            <w:r>
              <w:rPr>
                <w:rFonts w:ascii="Arial Narrow" w:hAnsi="Arial Narrow" w:cs="Calibri"/>
                <w:b/>
                <w:bCs/>
                <w:color w:val="000000"/>
                <w:sz w:val="18"/>
                <w:szCs w:val="18"/>
              </w:rPr>
              <w:t>229.507,55</w:t>
            </w:r>
          </w:p>
        </w:tc>
        <w:tc>
          <w:tcPr>
            <w:tcW w:w="992" w:type="dxa"/>
            <w:tcBorders>
              <w:top w:val="nil"/>
              <w:left w:val="nil"/>
              <w:bottom w:val="nil"/>
              <w:right w:val="nil"/>
            </w:tcBorders>
            <w:shd w:val="clear" w:color="000000" w:fill="F2F2F2"/>
            <w:noWrap/>
            <w:vAlign w:val="center"/>
            <w:hideMark/>
          </w:tcPr>
          <w:p w14:paraId="2D0263AF" w14:textId="77777777" w:rsidR="00F246FB" w:rsidRPr="00EC074B" w:rsidRDefault="00F246FB" w:rsidP="00831E90">
            <w:pPr>
              <w:jc w:val="right"/>
              <w:rPr>
                <w:rFonts w:ascii="Arial Narrow" w:hAnsi="Arial Narrow"/>
                <w:b/>
                <w:bCs/>
                <w:color w:val="000000"/>
                <w:sz w:val="18"/>
                <w:szCs w:val="18"/>
                <w:lang w:val="es-ES" w:eastAsia="es-ES"/>
              </w:rPr>
            </w:pPr>
            <w:r>
              <w:rPr>
                <w:rFonts w:ascii="Arial Narrow" w:hAnsi="Arial Narrow" w:cs="Calibri"/>
                <w:b/>
                <w:bCs/>
                <w:color w:val="000000"/>
                <w:sz w:val="18"/>
                <w:szCs w:val="18"/>
              </w:rPr>
              <w:t>0,00</w:t>
            </w:r>
          </w:p>
        </w:tc>
        <w:tc>
          <w:tcPr>
            <w:tcW w:w="1134" w:type="dxa"/>
            <w:tcBorders>
              <w:top w:val="nil"/>
              <w:left w:val="nil"/>
              <w:bottom w:val="nil"/>
              <w:right w:val="nil"/>
            </w:tcBorders>
            <w:shd w:val="clear" w:color="000000" w:fill="F2F2F2"/>
            <w:noWrap/>
            <w:vAlign w:val="center"/>
            <w:hideMark/>
          </w:tcPr>
          <w:p w14:paraId="4FB701A5" w14:textId="77777777" w:rsidR="00F246FB" w:rsidRPr="008A33DC" w:rsidRDefault="00F246FB" w:rsidP="00831E90">
            <w:pPr>
              <w:jc w:val="right"/>
              <w:rPr>
                <w:rFonts w:ascii="Arial Narrow" w:hAnsi="Arial Narrow"/>
                <w:b/>
                <w:bCs/>
                <w:color w:val="000000"/>
                <w:sz w:val="18"/>
                <w:szCs w:val="18"/>
                <w:lang w:val="es-ES" w:eastAsia="es-ES"/>
              </w:rPr>
            </w:pPr>
            <w:r>
              <w:rPr>
                <w:rFonts w:ascii="Arial Narrow" w:hAnsi="Arial Narrow"/>
                <w:b/>
                <w:bCs/>
                <w:color w:val="000000"/>
                <w:sz w:val="18"/>
                <w:szCs w:val="18"/>
                <w:lang w:eastAsia="es-ES"/>
              </w:rPr>
              <w:t>14.343.694,21</w:t>
            </w:r>
          </w:p>
        </w:tc>
      </w:tr>
    </w:tbl>
    <w:p w14:paraId="002396E6" w14:textId="77777777" w:rsidR="00F246FB" w:rsidRDefault="00F246FB" w:rsidP="00784A6A">
      <w:pPr>
        <w:widowControl w:val="0"/>
        <w:spacing w:before="120" w:after="120"/>
        <w:jc w:val="both"/>
        <w:rPr>
          <w:rFonts w:ascii="Arial Narrow" w:hAnsi="Arial Narrow" w:cs="Arial"/>
          <w:b/>
          <w:sz w:val="24"/>
          <w:szCs w:val="24"/>
          <w:u w:val="single"/>
        </w:rPr>
      </w:pPr>
    </w:p>
    <w:p w14:paraId="706097F2" w14:textId="77777777" w:rsidR="00784A6A" w:rsidRPr="00AF4E6A" w:rsidRDefault="00784A6A" w:rsidP="00784A6A">
      <w:pPr>
        <w:widowControl w:val="0"/>
        <w:spacing w:before="120" w:after="120"/>
        <w:jc w:val="both"/>
        <w:rPr>
          <w:rFonts w:ascii="Arial Narrow" w:hAnsi="Arial Narrow" w:cs="Arial"/>
          <w:b/>
          <w:sz w:val="24"/>
          <w:szCs w:val="24"/>
          <w:u w:val="single"/>
        </w:rPr>
      </w:pPr>
      <w:r w:rsidRPr="00AF4E6A">
        <w:rPr>
          <w:rFonts w:ascii="Arial Narrow" w:hAnsi="Arial Narrow" w:cs="Arial"/>
          <w:b/>
          <w:sz w:val="24"/>
          <w:szCs w:val="24"/>
          <w:u w:val="single"/>
        </w:rPr>
        <w:t>9.4 Información sobre la naturaleza y el nivel de riesgo procedente de instrumentos financieros</w:t>
      </w:r>
    </w:p>
    <w:p w14:paraId="44B20711" w14:textId="77777777" w:rsidR="005F13DD" w:rsidRPr="00AF4E6A" w:rsidRDefault="005F13DD" w:rsidP="005F13DD">
      <w:pPr>
        <w:tabs>
          <w:tab w:val="left" w:pos="567"/>
        </w:tabs>
        <w:jc w:val="both"/>
        <w:rPr>
          <w:rFonts w:ascii="Arial Narrow" w:hAnsi="Arial Narrow" w:cs="Arial"/>
          <w:b/>
          <w:sz w:val="24"/>
          <w:szCs w:val="24"/>
        </w:rPr>
      </w:pPr>
      <w:r w:rsidRPr="00AF4E6A">
        <w:rPr>
          <w:rFonts w:ascii="Arial Narrow" w:hAnsi="Arial Narrow" w:cs="Arial"/>
          <w:b/>
          <w:sz w:val="24"/>
          <w:szCs w:val="24"/>
          <w:u w:val="single"/>
        </w:rPr>
        <w:t>Factores de riesgo financiero</w:t>
      </w:r>
    </w:p>
    <w:p w14:paraId="7CC5EB77" w14:textId="77777777" w:rsidR="005F13DD" w:rsidRPr="00AF4E6A" w:rsidRDefault="005F13DD" w:rsidP="005F13DD">
      <w:pPr>
        <w:spacing w:before="240"/>
        <w:jc w:val="both"/>
        <w:rPr>
          <w:rFonts w:ascii="Arial Narrow" w:hAnsi="Arial Narrow" w:cs="Arial"/>
          <w:spacing w:val="-2"/>
          <w:sz w:val="24"/>
          <w:szCs w:val="24"/>
        </w:rPr>
      </w:pPr>
      <w:r w:rsidRPr="00AF4E6A">
        <w:rPr>
          <w:rFonts w:ascii="Arial Narrow" w:hAnsi="Arial Narrow" w:cs="Arial"/>
          <w:spacing w:val="-2"/>
          <w:sz w:val="24"/>
          <w:szCs w:val="24"/>
        </w:rPr>
        <w:t>Las políticas de gestión de riesgos de la Sociedad son establecidas por la Alta Dirección del Instituto Tecnológico de Canarias, S.A., habiendo sido aprobadas por el Consejo de Administración. En base a estas políticas, el Departamento Económico-Administrativo de la Sociedad ha establecido una serie de procedimientos y controles que permiten identificar, medir y gestionar los riesgos derivados de la actividad con instrumentos financieros. Estas políticas establecen que la Sociedad no puede realizar operaciones especulativas con derivados.</w:t>
      </w:r>
    </w:p>
    <w:p w14:paraId="4FE741B2" w14:textId="77777777" w:rsidR="00AE4272" w:rsidRDefault="005F13DD" w:rsidP="00AE4272">
      <w:pPr>
        <w:spacing w:before="240"/>
        <w:jc w:val="both"/>
        <w:rPr>
          <w:rFonts w:ascii="Arial Narrow" w:hAnsi="Arial Narrow" w:cs="Arial"/>
          <w:spacing w:val="-2"/>
          <w:sz w:val="24"/>
          <w:szCs w:val="24"/>
        </w:rPr>
      </w:pPr>
      <w:r w:rsidRPr="00AF4E6A">
        <w:rPr>
          <w:rFonts w:ascii="Arial Narrow" w:hAnsi="Arial Narrow" w:cs="Arial"/>
          <w:spacing w:val="-2"/>
          <w:sz w:val="24"/>
          <w:szCs w:val="24"/>
        </w:rPr>
        <w:t>La actividad con instrumentos financieros expone a la Sociedad al riesgo de crédito, de mercado y de liquidez.</w:t>
      </w:r>
    </w:p>
    <w:p w14:paraId="75D0211A" w14:textId="77777777" w:rsidR="00AE4272" w:rsidRPr="00AE4272" w:rsidRDefault="005F13DD" w:rsidP="009C5E01">
      <w:pPr>
        <w:pStyle w:val="TextePrinc"/>
        <w:numPr>
          <w:ilvl w:val="0"/>
          <w:numId w:val="10"/>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ind w:left="714" w:hanging="357"/>
        <w:jc w:val="both"/>
        <w:rPr>
          <w:rFonts w:ascii="Arial Narrow" w:hAnsi="Arial Narrow" w:cs="Arial"/>
          <w:b/>
          <w:noProof w:val="0"/>
          <w:color w:val="auto"/>
          <w:sz w:val="24"/>
          <w:szCs w:val="24"/>
          <w:u w:val="single"/>
        </w:rPr>
      </w:pPr>
      <w:r w:rsidRPr="00AE4272">
        <w:rPr>
          <w:rFonts w:ascii="Arial Narrow" w:hAnsi="Arial Narrow" w:cs="Arial"/>
          <w:b/>
          <w:noProof w:val="0"/>
          <w:color w:val="auto"/>
          <w:sz w:val="24"/>
          <w:szCs w:val="24"/>
          <w:u w:val="single"/>
        </w:rPr>
        <w:t>Riesgo de crédito</w:t>
      </w:r>
    </w:p>
    <w:p w14:paraId="4C92E1AC" w14:textId="77777777" w:rsidR="005F13DD" w:rsidRDefault="005F13DD" w:rsidP="00AE4272">
      <w:pPr>
        <w:spacing w:before="240"/>
        <w:jc w:val="both"/>
        <w:rPr>
          <w:rFonts w:ascii="Arial Narrow" w:hAnsi="Arial Narrow" w:cs="Arial"/>
          <w:spacing w:val="-2"/>
          <w:sz w:val="24"/>
          <w:szCs w:val="24"/>
        </w:rPr>
      </w:pPr>
      <w:r w:rsidRPr="00AE4272">
        <w:rPr>
          <w:rFonts w:ascii="Arial Narrow" w:hAnsi="Arial Narrow" w:cs="Arial"/>
          <w:spacing w:val="-2"/>
          <w:sz w:val="24"/>
          <w:szCs w:val="24"/>
        </w:rPr>
        <w:t>El riesgo de crédito se produce por la posible pérdida causada por el incumplimiento de las obligaciones contractuales de las contrapartes de la Sociedad, es decir, por la posibilidad de no recuperar los activos financieros por el importe contabilizado y en el plazo establecido.</w:t>
      </w:r>
    </w:p>
    <w:p w14:paraId="24C96E60" w14:textId="77777777" w:rsidR="005F13DD" w:rsidRDefault="005F13DD" w:rsidP="005F13DD">
      <w:pPr>
        <w:keepNext/>
        <w:keepLines/>
        <w:spacing w:before="120" w:after="120"/>
        <w:jc w:val="both"/>
        <w:rPr>
          <w:rFonts w:ascii="Arial Narrow" w:hAnsi="Arial Narrow" w:cs="Arial"/>
          <w:spacing w:val="-2"/>
          <w:sz w:val="24"/>
          <w:szCs w:val="24"/>
        </w:rPr>
      </w:pPr>
      <w:r w:rsidRPr="00AF4E6A">
        <w:rPr>
          <w:rFonts w:ascii="Arial Narrow" w:hAnsi="Arial Narrow" w:cs="Arial"/>
          <w:spacing w:val="-2"/>
          <w:sz w:val="24"/>
          <w:szCs w:val="24"/>
        </w:rPr>
        <w:t xml:space="preserve">La exposición máxima al riesgo de crédito a 31 de </w:t>
      </w:r>
      <w:r w:rsidRPr="006D5CDA">
        <w:rPr>
          <w:rFonts w:ascii="Arial Narrow" w:hAnsi="Arial Narrow" w:cs="Arial"/>
          <w:spacing w:val="-2"/>
          <w:sz w:val="24"/>
          <w:szCs w:val="24"/>
        </w:rPr>
        <w:t>diciembre de 20</w:t>
      </w:r>
      <w:r w:rsidR="00F246FB">
        <w:rPr>
          <w:rFonts w:ascii="Arial Narrow" w:hAnsi="Arial Narrow" w:cs="Arial"/>
          <w:spacing w:val="-2"/>
          <w:sz w:val="24"/>
          <w:szCs w:val="24"/>
        </w:rPr>
        <w:t>19</w:t>
      </w:r>
      <w:r w:rsidRPr="006D5CDA">
        <w:rPr>
          <w:rFonts w:ascii="Arial Narrow" w:hAnsi="Arial Narrow" w:cs="Arial"/>
          <w:spacing w:val="-2"/>
          <w:sz w:val="24"/>
          <w:szCs w:val="24"/>
        </w:rPr>
        <w:t xml:space="preserve"> y 20</w:t>
      </w:r>
      <w:r w:rsidR="00F246FB">
        <w:rPr>
          <w:rFonts w:ascii="Arial Narrow" w:hAnsi="Arial Narrow" w:cs="Arial"/>
          <w:spacing w:val="-2"/>
          <w:sz w:val="24"/>
          <w:szCs w:val="24"/>
        </w:rPr>
        <w:t>18</w:t>
      </w:r>
      <w:r w:rsidRPr="006D5CDA">
        <w:rPr>
          <w:rFonts w:ascii="Arial Narrow" w:hAnsi="Arial Narrow" w:cs="Arial"/>
          <w:spacing w:val="-2"/>
          <w:sz w:val="24"/>
          <w:szCs w:val="24"/>
        </w:rPr>
        <w:t xml:space="preserve"> es </w:t>
      </w:r>
      <w:r w:rsidRPr="00AF4E6A">
        <w:rPr>
          <w:rFonts w:ascii="Arial Narrow" w:hAnsi="Arial Narrow" w:cs="Arial"/>
          <w:spacing w:val="-2"/>
          <w:sz w:val="24"/>
          <w:szCs w:val="24"/>
        </w:rPr>
        <w:t>la siguiente:</w:t>
      </w:r>
    </w:p>
    <w:p w14:paraId="5E9C19FC" w14:textId="77777777" w:rsidR="00553F0B" w:rsidRPr="00AF4E6A" w:rsidRDefault="00F246FB" w:rsidP="00553F0B">
      <w:pPr>
        <w:keepNext/>
        <w:keepLines/>
        <w:spacing w:before="120" w:after="120"/>
        <w:jc w:val="center"/>
        <w:rPr>
          <w:rFonts w:ascii="Arial Narrow" w:hAnsi="Arial Narrow" w:cs="Arial"/>
          <w:spacing w:val="-2"/>
          <w:sz w:val="24"/>
          <w:szCs w:val="24"/>
        </w:rPr>
      </w:pPr>
      <w:r w:rsidRPr="00F246FB">
        <w:rPr>
          <w:noProof/>
          <w:lang w:val="es-ES" w:eastAsia="es-ES"/>
        </w:rPr>
        <w:drawing>
          <wp:inline distT="0" distB="0" distL="0" distR="0" wp14:anchorId="7A62AD7D" wp14:editId="36A6888D">
            <wp:extent cx="4201160" cy="1155700"/>
            <wp:effectExtent l="0" t="0" r="889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01160" cy="1155700"/>
                    </a:xfrm>
                    <a:prstGeom prst="rect">
                      <a:avLst/>
                    </a:prstGeom>
                    <a:noFill/>
                    <a:ln>
                      <a:noFill/>
                    </a:ln>
                  </pic:spPr>
                </pic:pic>
              </a:graphicData>
            </a:graphic>
          </wp:inline>
        </w:drawing>
      </w:r>
    </w:p>
    <w:p w14:paraId="259DD2D5" w14:textId="77777777" w:rsidR="00881B28" w:rsidRPr="002651F0" w:rsidRDefault="005F13DD" w:rsidP="00881B28">
      <w:pPr>
        <w:spacing w:before="240"/>
        <w:jc w:val="both"/>
        <w:rPr>
          <w:rFonts w:ascii="Arial Narrow" w:hAnsi="Arial Narrow" w:cs="Arial"/>
          <w:spacing w:val="-2"/>
          <w:sz w:val="24"/>
          <w:szCs w:val="24"/>
        </w:rPr>
      </w:pPr>
      <w:r w:rsidRPr="002651F0">
        <w:rPr>
          <w:rFonts w:ascii="Arial Narrow" w:hAnsi="Arial Narrow" w:cs="Arial"/>
          <w:spacing w:val="-2"/>
          <w:sz w:val="24"/>
          <w:szCs w:val="24"/>
        </w:rPr>
        <w:t>Para gestionar el riesgo de crédito la Sociedad distingue entre los activos financieros originados por las actividades operativas y por las actividades de inversión.</w:t>
      </w:r>
    </w:p>
    <w:p w14:paraId="32ADF9A4" w14:textId="77777777" w:rsidR="00881B28" w:rsidRPr="00993B29" w:rsidRDefault="005F13DD" w:rsidP="00881B28">
      <w:pPr>
        <w:spacing w:before="240"/>
        <w:jc w:val="both"/>
        <w:rPr>
          <w:rFonts w:ascii="Arial Narrow" w:hAnsi="Arial Narrow" w:cs="Arial"/>
          <w:sz w:val="24"/>
          <w:szCs w:val="24"/>
          <w:u w:val="single"/>
        </w:rPr>
      </w:pPr>
      <w:r w:rsidRPr="00993B29">
        <w:rPr>
          <w:rFonts w:ascii="Arial Narrow" w:hAnsi="Arial Narrow" w:cs="Arial"/>
          <w:sz w:val="24"/>
          <w:szCs w:val="24"/>
          <w:u w:val="single"/>
        </w:rPr>
        <w:t>Actividades operativas</w:t>
      </w:r>
    </w:p>
    <w:p w14:paraId="574ECE43" w14:textId="77777777" w:rsidR="005F13DD" w:rsidRPr="00993B29" w:rsidRDefault="005F13DD" w:rsidP="00881B28">
      <w:pPr>
        <w:spacing w:before="240"/>
        <w:jc w:val="both"/>
        <w:rPr>
          <w:rFonts w:ascii="Arial Narrow" w:hAnsi="Arial Narrow" w:cs="Arial"/>
          <w:spacing w:val="-2"/>
          <w:sz w:val="24"/>
          <w:szCs w:val="24"/>
        </w:rPr>
      </w:pPr>
      <w:r w:rsidRPr="00993B29">
        <w:rPr>
          <w:rFonts w:ascii="Arial Narrow" w:hAnsi="Arial Narrow" w:cs="Arial"/>
          <w:spacing w:val="-2"/>
          <w:sz w:val="24"/>
          <w:szCs w:val="24"/>
        </w:rPr>
        <w:t>El Departamento Económico-Administrativo factura los servicios en base a la información recibida de los distintos departamentos de la Sociedad. Esta información debe estar soportada mediante un contrato, en el caso de los alquileres, o mediante un convenio en el caso de algunas prestaciones de servicio o mediante un presupuesto firmado, como compromiso del importe a devengar por la entidad destinataria del mismo.</w:t>
      </w:r>
    </w:p>
    <w:p w14:paraId="054BB756" w14:textId="77777777" w:rsidR="005F13DD" w:rsidRPr="00993B29" w:rsidRDefault="005F13DD" w:rsidP="005F13DD">
      <w:pPr>
        <w:spacing w:before="120" w:after="120"/>
        <w:jc w:val="both"/>
        <w:rPr>
          <w:rFonts w:ascii="Arial Narrow" w:hAnsi="Arial Narrow" w:cs="Arial"/>
          <w:spacing w:val="-2"/>
          <w:sz w:val="24"/>
          <w:szCs w:val="24"/>
        </w:rPr>
      </w:pPr>
      <w:r w:rsidRPr="00993B29">
        <w:rPr>
          <w:rFonts w:ascii="Arial Narrow" w:hAnsi="Arial Narrow" w:cs="Arial"/>
          <w:spacing w:val="-2"/>
          <w:sz w:val="24"/>
          <w:szCs w:val="24"/>
        </w:rPr>
        <w:t xml:space="preserve">Cuando se realiza el servicio, se admite una orden de facturación, que debe venir aprobada por el </w:t>
      </w:r>
      <w:r w:rsidR="00993B29">
        <w:rPr>
          <w:rFonts w:ascii="Arial Narrow" w:hAnsi="Arial Narrow" w:cs="Arial"/>
          <w:spacing w:val="-2"/>
          <w:sz w:val="24"/>
          <w:szCs w:val="24"/>
        </w:rPr>
        <w:t xml:space="preserve">Jefe de </w:t>
      </w:r>
      <w:r w:rsidR="00993B29" w:rsidRPr="001F39CF">
        <w:rPr>
          <w:rFonts w:ascii="Arial Narrow" w:hAnsi="Arial Narrow" w:cs="Arial"/>
          <w:spacing w:val="-2"/>
          <w:sz w:val="24"/>
          <w:szCs w:val="24"/>
        </w:rPr>
        <w:t>Departamento</w:t>
      </w:r>
      <w:r w:rsidRPr="000B688E">
        <w:rPr>
          <w:rFonts w:ascii="Arial Narrow" w:hAnsi="Arial Narrow" w:cs="Arial"/>
          <w:spacing w:val="-2"/>
          <w:sz w:val="24"/>
          <w:szCs w:val="24"/>
        </w:rPr>
        <w:t xml:space="preserve"> </w:t>
      </w:r>
    </w:p>
    <w:p w14:paraId="44C50D4C" w14:textId="77777777" w:rsidR="005F13DD" w:rsidRPr="00993B29" w:rsidRDefault="005F13DD" w:rsidP="005F13DD">
      <w:pPr>
        <w:spacing w:before="120" w:after="120"/>
        <w:jc w:val="both"/>
        <w:rPr>
          <w:rFonts w:ascii="Arial Narrow" w:hAnsi="Arial Narrow" w:cs="Arial"/>
          <w:spacing w:val="-2"/>
          <w:sz w:val="24"/>
          <w:szCs w:val="24"/>
        </w:rPr>
      </w:pPr>
      <w:r w:rsidRPr="00993B29">
        <w:rPr>
          <w:rFonts w:ascii="Arial Narrow" w:hAnsi="Arial Narrow" w:cs="Arial"/>
          <w:spacing w:val="-2"/>
          <w:sz w:val="24"/>
          <w:szCs w:val="24"/>
        </w:rPr>
        <w:t>Debido a que la mayoría de los importes son pequeños, siempre se presupone la solvencia del cliente o deudor con el presupuesto firmado, a la hora de contratar el servicio. El Departamento Económico-Administrativo es el encargado de la gestión de cobros posterior. Pasado el vencimiento a los 30 días, pone en marcha el proceso de reclamación recogido en el procedimiento de facturación y cobros</w:t>
      </w:r>
      <w:r w:rsidR="000705AC">
        <w:rPr>
          <w:rFonts w:ascii="Arial Narrow" w:hAnsi="Arial Narrow" w:cs="Arial"/>
          <w:spacing w:val="-2"/>
          <w:sz w:val="24"/>
          <w:szCs w:val="24"/>
        </w:rPr>
        <w:t>.</w:t>
      </w:r>
      <w:r w:rsidR="000705AC" w:rsidRPr="00993B29">
        <w:rPr>
          <w:rFonts w:ascii="Arial Narrow" w:hAnsi="Arial Narrow" w:cs="Arial"/>
          <w:spacing w:val="-2"/>
          <w:sz w:val="24"/>
          <w:szCs w:val="24"/>
        </w:rPr>
        <w:t xml:space="preserve"> </w:t>
      </w:r>
    </w:p>
    <w:p w14:paraId="569BF925" w14:textId="77777777" w:rsidR="005F13DD" w:rsidRPr="006D5CDA" w:rsidRDefault="005F13DD" w:rsidP="005F13DD">
      <w:pPr>
        <w:spacing w:before="120" w:after="120"/>
        <w:jc w:val="both"/>
        <w:rPr>
          <w:rFonts w:ascii="Arial Narrow" w:hAnsi="Arial Narrow" w:cs="Arial"/>
          <w:spacing w:val="-2"/>
          <w:sz w:val="24"/>
          <w:szCs w:val="24"/>
        </w:rPr>
      </w:pPr>
      <w:r w:rsidRPr="006D5CDA">
        <w:rPr>
          <w:rFonts w:ascii="Arial Narrow" w:hAnsi="Arial Narrow" w:cs="Arial"/>
          <w:spacing w:val="-2"/>
          <w:sz w:val="24"/>
          <w:szCs w:val="24"/>
        </w:rPr>
        <w:t>El detalle por fecha de antigüedad de los “Clientes por ventas y prestaciones de servicios” y “Deudores varios” al 31 de diciembre de 201</w:t>
      </w:r>
      <w:r w:rsidR="009A287A">
        <w:rPr>
          <w:rFonts w:ascii="Arial Narrow" w:hAnsi="Arial Narrow" w:cs="Arial"/>
          <w:spacing w:val="-2"/>
          <w:sz w:val="24"/>
          <w:szCs w:val="24"/>
        </w:rPr>
        <w:t>9</w:t>
      </w:r>
      <w:r w:rsidR="004F668E" w:rsidRPr="006D5CDA">
        <w:rPr>
          <w:rFonts w:ascii="Arial Narrow" w:hAnsi="Arial Narrow" w:cs="Arial"/>
          <w:spacing w:val="-2"/>
          <w:sz w:val="24"/>
          <w:szCs w:val="24"/>
        </w:rPr>
        <w:t xml:space="preserve"> y 20</w:t>
      </w:r>
      <w:r w:rsidR="009A287A">
        <w:rPr>
          <w:rFonts w:ascii="Arial Narrow" w:hAnsi="Arial Narrow" w:cs="Arial"/>
          <w:spacing w:val="-2"/>
          <w:sz w:val="24"/>
          <w:szCs w:val="24"/>
        </w:rPr>
        <w:t>18</w:t>
      </w:r>
      <w:r w:rsidRPr="006D5CDA">
        <w:rPr>
          <w:rFonts w:ascii="Arial Narrow" w:hAnsi="Arial Narrow" w:cs="Arial"/>
          <w:spacing w:val="-2"/>
          <w:sz w:val="24"/>
          <w:szCs w:val="24"/>
        </w:rPr>
        <w:t xml:space="preserve"> es el siguiente:</w:t>
      </w:r>
    </w:p>
    <w:p w14:paraId="38B1E6CB" w14:textId="77777777" w:rsidR="000705AC" w:rsidRDefault="009A287A" w:rsidP="00032181">
      <w:pPr>
        <w:spacing w:before="120" w:after="120"/>
        <w:jc w:val="center"/>
        <w:rPr>
          <w:rFonts w:ascii="Arial Narrow" w:hAnsi="Arial Narrow" w:cs="Arial"/>
          <w:spacing w:val="-2"/>
          <w:sz w:val="24"/>
          <w:szCs w:val="24"/>
        </w:rPr>
      </w:pPr>
      <w:r w:rsidRPr="009A287A">
        <w:rPr>
          <w:noProof/>
          <w:lang w:val="es-ES" w:eastAsia="es-ES"/>
        </w:rPr>
        <w:drawing>
          <wp:inline distT="0" distB="0" distL="0" distR="0" wp14:anchorId="2DD151AE" wp14:editId="52374C7D">
            <wp:extent cx="4201160" cy="1345565"/>
            <wp:effectExtent l="0" t="0" r="8890" b="698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01160" cy="1345565"/>
                    </a:xfrm>
                    <a:prstGeom prst="rect">
                      <a:avLst/>
                    </a:prstGeom>
                    <a:noFill/>
                    <a:ln>
                      <a:noFill/>
                    </a:ln>
                  </pic:spPr>
                </pic:pic>
              </a:graphicData>
            </a:graphic>
          </wp:inline>
        </w:drawing>
      </w:r>
    </w:p>
    <w:p w14:paraId="1BEFD83C" w14:textId="77777777" w:rsidR="005F13DD" w:rsidRPr="000705AC" w:rsidRDefault="005F13DD" w:rsidP="005F13DD">
      <w:pPr>
        <w:keepNext/>
        <w:keepLines/>
        <w:spacing w:before="240"/>
        <w:jc w:val="both"/>
        <w:rPr>
          <w:rFonts w:ascii="Arial Narrow" w:hAnsi="Arial Narrow" w:cs="Arial"/>
          <w:spacing w:val="-2"/>
          <w:sz w:val="24"/>
          <w:szCs w:val="24"/>
        </w:rPr>
      </w:pPr>
      <w:r w:rsidRPr="000705AC">
        <w:rPr>
          <w:rFonts w:ascii="Arial Narrow" w:hAnsi="Arial Narrow" w:cs="Arial"/>
          <w:spacing w:val="-2"/>
          <w:sz w:val="24"/>
          <w:szCs w:val="24"/>
        </w:rPr>
        <w:t xml:space="preserve">Las cuentas vencidas son reclamadas mensualmente por el Departamento Económico-Administrativo mediante </w:t>
      </w:r>
      <w:r w:rsidR="000705AC">
        <w:rPr>
          <w:rFonts w:ascii="Arial Narrow" w:hAnsi="Arial Narrow" w:cs="Arial"/>
          <w:spacing w:val="-2"/>
          <w:sz w:val="24"/>
          <w:szCs w:val="24"/>
        </w:rPr>
        <w:t>correo electrónico</w:t>
      </w:r>
      <w:r w:rsidRPr="000705AC">
        <w:rPr>
          <w:rFonts w:ascii="Arial Narrow" w:hAnsi="Arial Narrow" w:cs="Arial"/>
          <w:spacing w:val="-2"/>
          <w:sz w:val="24"/>
          <w:szCs w:val="24"/>
        </w:rPr>
        <w:t>. Transcurridos 15 días sin respuesta favorable al mismo, se envía una segunda carta de reclamación</w:t>
      </w:r>
      <w:r w:rsidR="000705AC">
        <w:rPr>
          <w:rFonts w:ascii="Arial Narrow" w:hAnsi="Arial Narrow" w:cs="Arial"/>
          <w:spacing w:val="-2"/>
          <w:sz w:val="24"/>
          <w:szCs w:val="24"/>
        </w:rPr>
        <w:t xml:space="preserve"> mediante correo certificado</w:t>
      </w:r>
      <w:r w:rsidRPr="000705AC">
        <w:rPr>
          <w:rFonts w:ascii="Arial Narrow" w:hAnsi="Arial Narrow" w:cs="Arial"/>
          <w:spacing w:val="-2"/>
          <w:sz w:val="24"/>
          <w:szCs w:val="24"/>
        </w:rPr>
        <w:t>. Si no se satisface la deuda se envía el expediente al Departamento Jurídico para su seguimiento y, en su caso, posterior reclamación por vía judicial. Cuando la antigüedad es superior a 6 meses, se hace la correspondiente dotación a dudoso cobro, independientemente del momento de la gestión del cobro, en el que esté incursa la deuda.</w:t>
      </w:r>
    </w:p>
    <w:p w14:paraId="5B472B25" w14:textId="77777777" w:rsidR="005F13DD" w:rsidRDefault="005F13DD" w:rsidP="005F13DD">
      <w:pPr>
        <w:spacing w:before="240"/>
        <w:jc w:val="both"/>
        <w:rPr>
          <w:rFonts w:ascii="Arial Narrow" w:hAnsi="Arial Narrow" w:cs="Arial"/>
          <w:spacing w:val="-2"/>
          <w:sz w:val="24"/>
          <w:szCs w:val="24"/>
        </w:rPr>
      </w:pPr>
      <w:r w:rsidRPr="000705AC">
        <w:rPr>
          <w:rFonts w:ascii="Arial Narrow" w:hAnsi="Arial Narrow" w:cs="Arial"/>
          <w:spacing w:val="-2"/>
          <w:sz w:val="24"/>
          <w:szCs w:val="24"/>
        </w:rPr>
        <w:t>Todas las deudas con vencimiento inferior a 30 días, figuran como no vencidas.</w:t>
      </w:r>
    </w:p>
    <w:p w14:paraId="544F10DE" w14:textId="77777777" w:rsidR="005F13DD" w:rsidRPr="000705AC" w:rsidRDefault="005F13DD" w:rsidP="005F13DD">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240" w:after="120"/>
        <w:ind w:right="-6"/>
        <w:jc w:val="both"/>
        <w:textAlignment w:val="auto"/>
        <w:rPr>
          <w:rFonts w:ascii="Arial Narrow" w:hAnsi="Arial Narrow"/>
          <w:noProof w:val="0"/>
          <w:color w:val="auto"/>
          <w:sz w:val="24"/>
          <w:szCs w:val="24"/>
        </w:rPr>
      </w:pPr>
      <w:r w:rsidRPr="000705AC">
        <w:rPr>
          <w:rFonts w:ascii="Arial Narrow" w:hAnsi="Arial Narrow"/>
          <w:noProof w:val="0"/>
          <w:color w:val="auto"/>
          <w:sz w:val="24"/>
          <w:szCs w:val="24"/>
          <w:u w:val="single"/>
        </w:rPr>
        <w:t>Actividades de inversión</w:t>
      </w:r>
    </w:p>
    <w:p w14:paraId="7846FA19" w14:textId="77777777" w:rsidR="005F13DD" w:rsidRPr="000705AC" w:rsidRDefault="005F13DD" w:rsidP="005F13DD">
      <w:pPr>
        <w:spacing w:before="200"/>
        <w:jc w:val="both"/>
        <w:rPr>
          <w:rFonts w:ascii="Arial Narrow" w:hAnsi="Arial Narrow" w:cs="Arial"/>
          <w:spacing w:val="-2"/>
          <w:sz w:val="24"/>
          <w:szCs w:val="24"/>
        </w:rPr>
      </w:pPr>
      <w:r w:rsidRPr="000705AC">
        <w:rPr>
          <w:rFonts w:ascii="Arial Narrow" w:hAnsi="Arial Narrow" w:cs="Arial"/>
          <w:spacing w:val="-2"/>
          <w:sz w:val="24"/>
          <w:szCs w:val="24"/>
        </w:rPr>
        <w:t>La política de inversión se aprobó en Consejo de Administración de fecha 30 de septiembre de 2008 y permite la constitución de inversiones financieras temporales que se realicen únicamente en activos financieros garantizados.</w:t>
      </w:r>
    </w:p>
    <w:p w14:paraId="55F58F09" w14:textId="77777777" w:rsidR="005F13DD" w:rsidRPr="000705AC" w:rsidRDefault="005F13DD" w:rsidP="005F13DD">
      <w:pPr>
        <w:spacing w:before="200"/>
        <w:jc w:val="both"/>
        <w:rPr>
          <w:rFonts w:ascii="Arial Narrow" w:hAnsi="Arial Narrow" w:cs="Arial"/>
          <w:spacing w:val="-2"/>
          <w:sz w:val="24"/>
          <w:szCs w:val="24"/>
        </w:rPr>
      </w:pPr>
      <w:r w:rsidRPr="000705AC">
        <w:rPr>
          <w:rFonts w:ascii="Arial Narrow" w:hAnsi="Arial Narrow" w:cs="Arial"/>
          <w:spacing w:val="-2"/>
          <w:sz w:val="24"/>
          <w:szCs w:val="24"/>
        </w:rPr>
        <w:t>La unidad organizativa encargada de su gestión es el Departamento Económico-Administrativo, que puede promover la realización de las siguientes inversiones:</w:t>
      </w:r>
    </w:p>
    <w:p w14:paraId="487D3325" w14:textId="77777777" w:rsidR="005F13DD" w:rsidRPr="000705AC" w:rsidRDefault="005F13DD" w:rsidP="005F13DD">
      <w:pPr>
        <w:spacing w:before="200"/>
        <w:jc w:val="both"/>
        <w:rPr>
          <w:rFonts w:ascii="Arial Narrow" w:hAnsi="Arial Narrow" w:cs="Arial"/>
          <w:spacing w:val="-2"/>
          <w:sz w:val="24"/>
          <w:szCs w:val="24"/>
        </w:rPr>
      </w:pPr>
      <w:r w:rsidRPr="000705AC">
        <w:rPr>
          <w:rFonts w:ascii="Arial Narrow" w:hAnsi="Arial Narrow" w:cs="Arial"/>
          <w:spacing w:val="-2"/>
          <w:sz w:val="24"/>
          <w:szCs w:val="24"/>
        </w:rPr>
        <w:t>- Invertir los excedentes de tesorería libres, no necesarios para pagos inferiores a un mes en imposiciones a plazo fijo que garanticen el capital colocado y permitan rentabilizar los fondos al tipo de interés del mercado que ofrecen las entidades.</w:t>
      </w:r>
    </w:p>
    <w:p w14:paraId="061FFB58" w14:textId="77777777" w:rsidR="005F13DD" w:rsidRPr="000705AC" w:rsidRDefault="005F13DD" w:rsidP="005F13DD">
      <w:pPr>
        <w:spacing w:before="200"/>
        <w:jc w:val="both"/>
        <w:rPr>
          <w:rFonts w:ascii="Arial Narrow" w:hAnsi="Arial Narrow" w:cs="Arial"/>
          <w:spacing w:val="-2"/>
          <w:sz w:val="24"/>
          <w:szCs w:val="24"/>
        </w:rPr>
      </w:pPr>
      <w:r w:rsidRPr="000705AC">
        <w:rPr>
          <w:rFonts w:ascii="Arial Narrow" w:hAnsi="Arial Narrow" w:cs="Arial"/>
          <w:spacing w:val="-2"/>
          <w:sz w:val="24"/>
          <w:szCs w:val="24"/>
        </w:rPr>
        <w:t xml:space="preserve">Cuando hay excedentes de tesorería y previa evaluación del presupuesto anual de tesorería, se solicita oferta a todas las entidades financieras con las que trabaja la Sociedad, y se colocan utilizando criterios de máxima rentabilidad y diversificación del riesgo. La aprobación final de la colocación corresponde a la </w:t>
      </w:r>
      <w:r w:rsidR="004D1804">
        <w:rPr>
          <w:rFonts w:ascii="Arial Narrow" w:hAnsi="Arial Narrow" w:cs="Arial"/>
          <w:spacing w:val="-2"/>
          <w:sz w:val="24"/>
          <w:szCs w:val="24"/>
        </w:rPr>
        <w:t>Gerencia</w:t>
      </w:r>
      <w:r w:rsidRPr="000705AC">
        <w:rPr>
          <w:rFonts w:ascii="Arial Narrow" w:hAnsi="Arial Narrow" w:cs="Arial"/>
          <w:spacing w:val="-2"/>
          <w:sz w:val="24"/>
          <w:szCs w:val="24"/>
        </w:rPr>
        <w:t>.</w:t>
      </w:r>
    </w:p>
    <w:p w14:paraId="13FA1DD6" w14:textId="77777777" w:rsidR="005F13DD" w:rsidRPr="000705AC" w:rsidRDefault="008C2ED5" w:rsidP="005F13DD">
      <w:pPr>
        <w:spacing w:before="200"/>
        <w:jc w:val="both"/>
        <w:rPr>
          <w:rFonts w:ascii="Arial Narrow" w:hAnsi="Arial Narrow" w:cs="Arial"/>
          <w:spacing w:val="-2"/>
          <w:sz w:val="24"/>
          <w:szCs w:val="24"/>
        </w:rPr>
      </w:pPr>
      <w:r w:rsidRPr="006D5CDA">
        <w:rPr>
          <w:rFonts w:ascii="Arial Narrow" w:hAnsi="Arial Narrow" w:cs="Arial"/>
          <w:spacing w:val="-2"/>
          <w:sz w:val="24"/>
          <w:szCs w:val="24"/>
        </w:rPr>
        <w:t>En el ejercicio 201</w:t>
      </w:r>
      <w:r w:rsidR="009A287A">
        <w:rPr>
          <w:rFonts w:ascii="Arial Narrow" w:hAnsi="Arial Narrow" w:cs="Arial"/>
          <w:spacing w:val="-2"/>
          <w:sz w:val="24"/>
          <w:szCs w:val="24"/>
        </w:rPr>
        <w:t>9</w:t>
      </w:r>
      <w:r w:rsidR="005F13DD" w:rsidRPr="006D5CDA">
        <w:rPr>
          <w:rFonts w:ascii="Arial Narrow" w:hAnsi="Arial Narrow" w:cs="Arial"/>
          <w:spacing w:val="-2"/>
          <w:sz w:val="24"/>
          <w:szCs w:val="24"/>
        </w:rPr>
        <w:t xml:space="preserve"> no habido excedentes de tesorería libres debido a que la financiación </w:t>
      </w:r>
      <w:r w:rsidR="00E06B3F" w:rsidRPr="006D5CDA">
        <w:rPr>
          <w:rFonts w:ascii="Arial Narrow" w:hAnsi="Arial Narrow" w:cs="Arial"/>
          <w:spacing w:val="-2"/>
          <w:sz w:val="24"/>
          <w:szCs w:val="24"/>
        </w:rPr>
        <w:t xml:space="preserve">proveniente de la CAC, que es la principal, </w:t>
      </w:r>
      <w:r w:rsidR="000705AC" w:rsidRPr="006D5CDA">
        <w:rPr>
          <w:rFonts w:ascii="Arial Narrow" w:hAnsi="Arial Narrow" w:cs="Arial"/>
          <w:spacing w:val="-2"/>
          <w:sz w:val="24"/>
          <w:szCs w:val="24"/>
        </w:rPr>
        <w:t xml:space="preserve">se </w:t>
      </w:r>
      <w:r w:rsidR="000705AC">
        <w:rPr>
          <w:rFonts w:ascii="Arial Narrow" w:hAnsi="Arial Narrow" w:cs="Arial"/>
          <w:spacing w:val="-2"/>
          <w:sz w:val="24"/>
          <w:szCs w:val="24"/>
        </w:rPr>
        <w:t>va librando a medida que se requieren los fondos al Tesoro</w:t>
      </w:r>
      <w:r w:rsidR="00E06B3F">
        <w:rPr>
          <w:rFonts w:ascii="Arial Narrow" w:hAnsi="Arial Narrow" w:cs="Arial"/>
          <w:spacing w:val="-2"/>
          <w:sz w:val="24"/>
          <w:szCs w:val="24"/>
        </w:rPr>
        <w:t xml:space="preserve"> Público de la CAC</w:t>
      </w:r>
      <w:r w:rsidR="000705AC">
        <w:rPr>
          <w:rFonts w:ascii="Arial Narrow" w:hAnsi="Arial Narrow" w:cs="Arial"/>
          <w:spacing w:val="-2"/>
          <w:sz w:val="24"/>
          <w:szCs w:val="24"/>
        </w:rPr>
        <w:t>, de forma que mensualmente se solicita al Tesoro única y exclusivamente la necesidad de tesorería para llevar a cabo los pagos del siguiente mes</w:t>
      </w:r>
      <w:r w:rsidR="005F13DD" w:rsidRPr="000705AC">
        <w:rPr>
          <w:rFonts w:ascii="Arial Narrow" w:hAnsi="Arial Narrow" w:cs="Arial"/>
          <w:spacing w:val="-2"/>
          <w:sz w:val="24"/>
          <w:szCs w:val="24"/>
        </w:rPr>
        <w:t xml:space="preserve">. </w:t>
      </w:r>
    </w:p>
    <w:p w14:paraId="7D575D6D" w14:textId="77777777" w:rsidR="005F13DD" w:rsidRDefault="005F13DD" w:rsidP="005F13DD">
      <w:pPr>
        <w:spacing w:before="200"/>
        <w:jc w:val="both"/>
        <w:rPr>
          <w:rFonts w:ascii="Arial Narrow" w:hAnsi="Arial Narrow" w:cs="Arial"/>
          <w:spacing w:val="-2"/>
          <w:sz w:val="24"/>
          <w:szCs w:val="24"/>
        </w:rPr>
      </w:pPr>
      <w:r w:rsidRPr="000705AC">
        <w:rPr>
          <w:rFonts w:ascii="Arial Narrow" w:hAnsi="Arial Narrow" w:cs="Arial"/>
          <w:spacing w:val="-2"/>
          <w:sz w:val="24"/>
          <w:szCs w:val="24"/>
        </w:rPr>
        <w:t>Los préstamos y créditos a empresas del grupo y a terceros deben ser aprobados por el Consejo de Administración.</w:t>
      </w:r>
    </w:p>
    <w:p w14:paraId="33ABFBBA" w14:textId="77777777" w:rsidR="005F13DD" w:rsidRPr="008C2ED5" w:rsidRDefault="005F13DD" w:rsidP="009C5E01">
      <w:pPr>
        <w:pStyle w:val="TextePrinc"/>
        <w:numPr>
          <w:ilvl w:val="0"/>
          <w:numId w:val="10"/>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40" w:after="120" w:line="280" w:lineRule="atLeast"/>
        <w:ind w:left="714" w:hanging="357"/>
        <w:jc w:val="both"/>
        <w:rPr>
          <w:rFonts w:ascii="Arial Narrow" w:hAnsi="Arial Narrow" w:cs="Arial"/>
          <w:b/>
          <w:noProof w:val="0"/>
          <w:color w:val="auto"/>
          <w:sz w:val="24"/>
          <w:szCs w:val="24"/>
          <w:u w:val="single"/>
        </w:rPr>
      </w:pPr>
      <w:r w:rsidRPr="008C2ED5">
        <w:rPr>
          <w:rFonts w:ascii="Arial Narrow" w:hAnsi="Arial Narrow" w:cs="Arial"/>
          <w:b/>
          <w:noProof w:val="0"/>
          <w:color w:val="auto"/>
          <w:sz w:val="24"/>
          <w:szCs w:val="24"/>
          <w:u w:val="single"/>
        </w:rPr>
        <w:t>Riesgo de mercado</w:t>
      </w:r>
    </w:p>
    <w:p w14:paraId="67E4E436" w14:textId="77777777" w:rsidR="005F13DD" w:rsidRPr="008C2ED5" w:rsidRDefault="005F13DD" w:rsidP="005F13DD">
      <w:pPr>
        <w:spacing w:before="200"/>
        <w:jc w:val="both"/>
        <w:rPr>
          <w:rFonts w:ascii="Arial Narrow" w:hAnsi="Arial Narrow" w:cs="Arial"/>
          <w:spacing w:val="-2"/>
          <w:sz w:val="24"/>
          <w:szCs w:val="24"/>
        </w:rPr>
      </w:pPr>
      <w:r w:rsidRPr="008C2ED5">
        <w:rPr>
          <w:rFonts w:ascii="Arial Narrow" w:hAnsi="Arial Narrow" w:cs="Arial"/>
          <w:spacing w:val="-2"/>
          <w:sz w:val="24"/>
          <w:szCs w:val="24"/>
        </w:rPr>
        <w:t>El riesgo de mercado se produce por la posible pérdida causada por variaciones en el valor razonable o en los futuros flujos de efectivo de un instrumento financiero debidos a cambios en los precios de mercado. El riesgo de mercado incluye un riesgo de tipo de interés, de tipo de cambio y otros riesgos de precio. La constitución de inversiones financieras temporales que se realicen únicamente en activos financieros garantizados, es la política de inversión aprobada por el Consejo de Administración.</w:t>
      </w:r>
    </w:p>
    <w:p w14:paraId="5313DD0F" w14:textId="77777777" w:rsidR="005F13DD" w:rsidRPr="006D5CDA" w:rsidRDefault="005F13DD" w:rsidP="005F13DD">
      <w:pPr>
        <w:spacing w:before="200"/>
        <w:jc w:val="both"/>
        <w:rPr>
          <w:rFonts w:ascii="Arial Narrow" w:hAnsi="Arial Narrow" w:cs="Arial"/>
          <w:spacing w:val="-2"/>
          <w:sz w:val="24"/>
          <w:szCs w:val="24"/>
        </w:rPr>
      </w:pPr>
      <w:r w:rsidRPr="006D5CDA">
        <w:rPr>
          <w:rFonts w:ascii="Arial Narrow" w:hAnsi="Arial Narrow" w:cs="Arial"/>
          <w:spacing w:val="-2"/>
          <w:sz w:val="24"/>
          <w:szCs w:val="24"/>
        </w:rPr>
        <w:t>La Sociedad a 31 de diciembr</w:t>
      </w:r>
      <w:r w:rsidR="00DF4AD2" w:rsidRPr="006D5CDA">
        <w:rPr>
          <w:rFonts w:ascii="Arial Narrow" w:hAnsi="Arial Narrow" w:cs="Arial"/>
          <w:spacing w:val="-2"/>
          <w:sz w:val="24"/>
          <w:szCs w:val="24"/>
        </w:rPr>
        <w:t>e de 201</w:t>
      </w:r>
      <w:r w:rsidR="009A287A">
        <w:rPr>
          <w:rFonts w:ascii="Arial Narrow" w:hAnsi="Arial Narrow" w:cs="Arial"/>
          <w:spacing w:val="-2"/>
          <w:sz w:val="24"/>
          <w:szCs w:val="24"/>
        </w:rPr>
        <w:t>9</w:t>
      </w:r>
      <w:r w:rsidRPr="006D5CDA">
        <w:rPr>
          <w:rFonts w:ascii="Arial Narrow" w:hAnsi="Arial Narrow" w:cs="Arial"/>
          <w:spacing w:val="-2"/>
          <w:sz w:val="24"/>
          <w:szCs w:val="24"/>
        </w:rPr>
        <w:t xml:space="preserve"> no tiene exposición a riesgo de tipo de interés y riesgo de tipo de cambio.</w:t>
      </w:r>
    </w:p>
    <w:p w14:paraId="3C146270" w14:textId="77777777" w:rsidR="005F13DD" w:rsidRPr="00703FAF" w:rsidRDefault="005F13DD" w:rsidP="005F13DD">
      <w:pPr>
        <w:spacing w:before="200"/>
        <w:jc w:val="both"/>
        <w:rPr>
          <w:rFonts w:ascii="Arial Narrow" w:hAnsi="Arial Narrow" w:cs="Arial"/>
          <w:spacing w:val="-2"/>
          <w:sz w:val="24"/>
          <w:szCs w:val="24"/>
        </w:rPr>
      </w:pPr>
      <w:r w:rsidRPr="00703FAF">
        <w:rPr>
          <w:rFonts w:ascii="Arial Narrow" w:hAnsi="Arial Narrow" w:cs="Arial"/>
          <w:spacing w:val="-2"/>
          <w:sz w:val="24"/>
          <w:szCs w:val="24"/>
        </w:rPr>
        <w:t>La adquisición de acciones de empresas no cotizadas está fuera de la política de inversión marcada por el Consejo de Administración.</w:t>
      </w:r>
    </w:p>
    <w:p w14:paraId="7511424B" w14:textId="77777777" w:rsidR="005F13DD" w:rsidRPr="008C2ED5" w:rsidRDefault="005F13DD" w:rsidP="00576496">
      <w:pPr>
        <w:keepNext/>
        <w:keepLines/>
        <w:spacing w:before="200" w:after="120"/>
        <w:jc w:val="both"/>
        <w:rPr>
          <w:rFonts w:ascii="Arial Narrow" w:hAnsi="Arial Narrow" w:cs="Arial"/>
          <w:spacing w:val="-2"/>
          <w:sz w:val="24"/>
          <w:szCs w:val="24"/>
        </w:rPr>
      </w:pPr>
      <w:r w:rsidRPr="008C2ED5">
        <w:rPr>
          <w:rFonts w:ascii="Arial Narrow" w:hAnsi="Arial Narrow" w:cs="Arial"/>
          <w:spacing w:val="-2"/>
          <w:sz w:val="24"/>
          <w:szCs w:val="24"/>
        </w:rPr>
        <w:t xml:space="preserve">La exposición máxima al riesgo de precio de los instrumentos de patrimonio al </w:t>
      </w:r>
      <w:r w:rsidR="008C2ED5" w:rsidRPr="008C2ED5">
        <w:rPr>
          <w:rFonts w:ascii="Arial Narrow" w:hAnsi="Arial Narrow" w:cs="Arial"/>
          <w:spacing w:val="-2"/>
          <w:sz w:val="24"/>
          <w:szCs w:val="24"/>
        </w:rPr>
        <w:t xml:space="preserve">cierre de los ejercicios </w:t>
      </w:r>
      <w:r w:rsidR="008C2ED5" w:rsidRPr="006D5CDA">
        <w:rPr>
          <w:rFonts w:ascii="Arial Narrow" w:hAnsi="Arial Narrow" w:cs="Arial"/>
          <w:spacing w:val="-2"/>
          <w:sz w:val="24"/>
          <w:szCs w:val="24"/>
        </w:rPr>
        <w:t>201</w:t>
      </w:r>
      <w:r w:rsidR="009A287A">
        <w:rPr>
          <w:rFonts w:ascii="Arial Narrow" w:hAnsi="Arial Narrow" w:cs="Arial"/>
          <w:spacing w:val="-2"/>
          <w:sz w:val="24"/>
          <w:szCs w:val="24"/>
        </w:rPr>
        <w:t>9</w:t>
      </w:r>
      <w:r w:rsidRPr="006D5CDA">
        <w:rPr>
          <w:rFonts w:ascii="Arial Narrow" w:hAnsi="Arial Narrow" w:cs="Arial"/>
          <w:spacing w:val="-2"/>
          <w:sz w:val="24"/>
          <w:szCs w:val="24"/>
        </w:rPr>
        <w:t xml:space="preserve"> y 201</w:t>
      </w:r>
      <w:r w:rsidR="009A287A">
        <w:rPr>
          <w:rFonts w:ascii="Arial Narrow" w:hAnsi="Arial Narrow" w:cs="Arial"/>
          <w:spacing w:val="-2"/>
          <w:sz w:val="24"/>
          <w:szCs w:val="24"/>
        </w:rPr>
        <w:t>8</w:t>
      </w:r>
      <w:r w:rsidR="008C2ED5" w:rsidRPr="006D5CDA">
        <w:rPr>
          <w:rFonts w:ascii="Arial Narrow" w:hAnsi="Arial Narrow" w:cs="Arial"/>
          <w:spacing w:val="-2"/>
          <w:sz w:val="24"/>
          <w:szCs w:val="24"/>
        </w:rPr>
        <w:t xml:space="preserve"> </w:t>
      </w:r>
      <w:r w:rsidRPr="006D5CDA">
        <w:rPr>
          <w:rFonts w:ascii="Arial Narrow" w:hAnsi="Arial Narrow" w:cs="Arial"/>
          <w:spacing w:val="-2"/>
          <w:sz w:val="24"/>
          <w:szCs w:val="24"/>
        </w:rPr>
        <w:t>es la siguiente, en eu</w:t>
      </w:r>
      <w:r w:rsidRPr="008C2ED5">
        <w:rPr>
          <w:rFonts w:ascii="Arial Narrow" w:hAnsi="Arial Narrow" w:cs="Arial"/>
          <w:spacing w:val="-2"/>
          <w:sz w:val="24"/>
          <w:szCs w:val="24"/>
        </w:rPr>
        <w:t>ros:</w:t>
      </w:r>
    </w:p>
    <w:tbl>
      <w:tblPr>
        <w:tblW w:w="6804" w:type="dxa"/>
        <w:jc w:val="center"/>
        <w:tblLayout w:type="fixed"/>
        <w:tblCellMar>
          <w:left w:w="70" w:type="dxa"/>
          <w:right w:w="70" w:type="dxa"/>
        </w:tblCellMar>
        <w:tblLook w:val="04A0" w:firstRow="1" w:lastRow="0" w:firstColumn="1" w:lastColumn="0" w:noHBand="0" w:noVBand="1"/>
      </w:tblPr>
      <w:tblGrid>
        <w:gridCol w:w="3968"/>
        <w:gridCol w:w="1135"/>
        <w:gridCol w:w="1701"/>
      </w:tblGrid>
      <w:tr w:rsidR="009A287A" w:rsidRPr="008C2ED5" w14:paraId="0BC83B5F" w14:textId="77777777" w:rsidTr="009A287A">
        <w:trPr>
          <w:trHeight w:val="340"/>
          <w:jc w:val="center"/>
        </w:trPr>
        <w:tc>
          <w:tcPr>
            <w:tcW w:w="2916" w:type="pct"/>
            <w:tcBorders>
              <w:top w:val="nil"/>
              <w:left w:val="nil"/>
              <w:bottom w:val="nil"/>
              <w:right w:val="nil"/>
            </w:tcBorders>
            <w:shd w:val="clear" w:color="000000" w:fill="D8D8D8"/>
            <w:vAlign w:val="center"/>
            <w:hideMark/>
          </w:tcPr>
          <w:p w14:paraId="32292EC2" w14:textId="77777777" w:rsidR="009A287A" w:rsidRPr="008C2ED5" w:rsidRDefault="009A287A" w:rsidP="009A287A">
            <w:pPr>
              <w:keepNext/>
              <w:keepLines/>
              <w:jc w:val="center"/>
              <w:rPr>
                <w:rFonts w:ascii="Arial Narrow" w:hAnsi="Arial Narrow"/>
                <w:b/>
                <w:bCs/>
                <w:sz w:val="20"/>
                <w:lang w:eastAsia="es-ES"/>
              </w:rPr>
            </w:pPr>
          </w:p>
        </w:tc>
        <w:tc>
          <w:tcPr>
            <w:tcW w:w="834" w:type="pct"/>
            <w:tcBorders>
              <w:top w:val="nil"/>
              <w:left w:val="nil"/>
              <w:bottom w:val="nil"/>
              <w:right w:val="nil"/>
            </w:tcBorders>
            <w:shd w:val="clear" w:color="000000" w:fill="D8D8D8"/>
            <w:vAlign w:val="center"/>
            <w:hideMark/>
          </w:tcPr>
          <w:p w14:paraId="70F39786" w14:textId="77777777" w:rsidR="009A287A" w:rsidRPr="008C2ED5" w:rsidRDefault="009A287A" w:rsidP="009A287A">
            <w:pPr>
              <w:keepNext/>
              <w:keepLines/>
              <w:jc w:val="center"/>
              <w:rPr>
                <w:rFonts w:ascii="Arial Narrow" w:hAnsi="Arial Narrow"/>
                <w:b/>
                <w:bCs/>
                <w:sz w:val="20"/>
                <w:lang w:eastAsia="es-ES"/>
              </w:rPr>
            </w:pPr>
            <w:r w:rsidRPr="008C2ED5">
              <w:rPr>
                <w:rFonts w:ascii="Arial Narrow" w:hAnsi="Arial Narrow"/>
                <w:b/>
                <w:bCs/>
                <w:sz w:val="20"/>
                <w:lang w:eastAsia="es-ES"/>
              </w:rPr>
              <w:t>31/12/201</w:t>
            </w:r>
            <w:r>
              <w:rPr>
                <w:rFonts w:ascii="Arial Narrow" w:hAnsi="Arial Narrow"/>
                <w:b/>
                <w:bCs/>
                <w:sz w:val="20"/>
                <w:lang w:eastAsia="es-ES"/>
              </w:rPr>
              <w:t>9</w:t>
            </w:r>
          </w:p>
        </w:tc>
        <w:tc>
          <w:tcPr>
            <w:tcW w:w="1250" w:type="pct"/>
            <w:tcBorders>
              <w:top w:val="nil"/>
              <w:left w:val="nil"/>
              <w:bottom w:val="nil"/>
              <w:right w:val="nil"/>
            </w:tcBorders>
            <w:shd w:val="clear" w:color="000000" w:fill="D8D8D8"/>
            <w:vAlign w:val="center"/>
          </w:tcPr>
          <w:p w14:paraId="4C08E1B8" w14:textId="77777777" w:rsidR="009A287A" w:rsidRPr="008C2ED5" w:rsidRDefault="009A287A" w:rsidP="009A287A">
            <w:pPr>
              <w:keepNext/>
              <w:keepLines/>
              <w:jc w:val="center"/>
              <w:rPr>
                <w:rFonts w:ascii="Arial Narrow" w:hAnsi="Arial Narrow"/>
                <w:b/>
                <w:bCs/>
                <w:sz w:val="20"/>
                <w:lang w:eastAsia="es-ES"/>
              </w:rPr>
            </w:pPr>
            <w:r w:rsidRPr="008C2ED5">
              <w:rPr>
                <w:rFonts w:ascii="Arial Narrow" w:hAnsi="Arial Narrow"/>
                <w:b/>
                <w:bCs/>
                <w:sz w:val="20"/>
                <w:lang w:eastAsia="es-ES"/>
              </w:rPr>
              <w:t>31/12/201</w:t>
            </w:r>
            <w:r>
              <w:rPr>
                <w:rFonts w:ascii="Arial Narrow" w:hAnsi="Arial Narrow"/>
                <w:b/>
                <w:bCs/>
                <w:sz w:val="20"/>
                <w:lang w:eastAsia="es-ES"/>
              </w:rPr>
              <w:t>8</w:t>
            </w:r>
          </w:p>
        </w:tc>
      </w:tr>
      <w:tr w:rsidR="009A287A" w:rsidRPr="00F56ADE" w14:paraId="592A4AA7" w14:textId="77777777" w:rsidTr="009A287A">
        <w:trPr>
          <w:trHeight w:val="272"/>
          <w:jc w:val="center"/>
        </w:trPr>
        <w:tc>
          <w:tcPr>
            <w:tcW w:w="2916" w:type="pct"/>
            <w:tcBorders>
              <w:top w:val="nil"/>
              <w:left w:val="nil"/>
              <w:bottom w:val="nil"/>
              <w:right w:val="nil"/>
            </w:tcBorders>
            <w:shd w:val="clear" w:color="000000" w:fill="FFFFFF"/>
            <w:noWrap/>
            <w:vAlign w:val="center"/>
            <w:hideMark/>
          </w:tcPr>
          <w:p w14:paraId="1B9A51BA" w14:textId="77777777" w:rsidR="009A287A" w:rsidRPr="008C2ED5" w:rsidRDefault="009A287A" w:rsidP="009A287A">
            <w:pPr>
              <w:keepNext/>
              <w:keepLines/>
              <w:rPr>
                <w:rFonts w:ascii="Arial Narrow" w:hAnsi="Arial Narrow"/>
                <w:b/>
                <w:bCs/>
                <w:sz w:val="20"/>
                <w:lang w:eastAsia="es-ES"/>
              </w:rPr>
            </w:pPr>
            <w:r w:rsidRPr="008C2ED5">
              <w:rPr>
                <w:rFonts w:ascii="Arial Narrow" w:hAnsi="Arial Narrow"/>
                <w:b/>
                <w:bCs/>
                <w:sz w:val="20"/>
                <w:lang w:eastAsia="es-ES"/>
              </w:rPr>
              <w:t>Acciones no cotizadas</w:t>
            </w:r>
          </w:p>
        </w:tc>
        <w:tc>
          <w:tcPr>
            <w:tcW w:w="834" w:type="pct"/>
            <w:tcBorders>
              <w:top w:val="nil"/>
              <w:left w:val="nil"/>
              <w:bottom w:val="nil"/>
              <w:right w:val="nil"/>
            </w:tcBorders>
            <w:shd w:val="clear" w:color="000000" w:fill="FFFFFF"/>
            <w:noWrap/>
            <w:vAlign w:val="center"/>
          </w:tcPr>
          <w:p w14:paraId="0A3E187A" w14:textId="77777777" w:rsidR="009A287A" w:rsidRPr="008C2ED5" w:rsidRDefault="009A287A" w:rsidP="009A287A">
            <w:pPr>
              <w:keepNext/>
              <w:keepLines/>
              <w:jc w:val="right"/>
              <w:rPr>
                <w:rFonts w:ascii="Arial Narrow" w:hAnsi="Arial Narrow"/>
                <w:sz w:val="20"/>
                <w:lang w:eastAsia="es-ES"/>
              </w:rPr>
            </w:pPr>
          </w:p>
        </w:tc>
        <w:tc>
          <w:tcPr>
            <w:tcW w:w="1250" w:type="pct"/>
            <w:tcBorders>
              <w:top w:val="nil"/>
              <w:left w:val="nil"/>
              <w:bottom w:val="nil"/>
              <w:right w:val="nil"/>
            </w:tcBorders>
            <w:shd w:val="clear" w:color="000000" w:fill="FFFFFF"/>
            <w:vAlign w:val="center"/>
          </w:tcPr>
          <w:p w14:paraId="0B3DB3E0" w14:textId="77777777" w:rsidR="009A287A" w:rsidRPr="008C2ED5" w:rsidRDefault="009A287A" w:rsidP="009A287A">
            <w:pPr>
              <w:keepNext/>
              <w:keepLines/>
              <w:jc w:val="right"/>
              <w:rPr>
                <w:rFonts w:ascii="Arial Narrow" w:hAnsi="Arial Narrow"/>
                <w:sz w:val="20"/>
                <w:lang w:eastAsia="es-ES"/>
              </w:rPr>
            </w:pPr>
          </w:p>
        </w:tc>
      </w:tr>
      <w:tr w:rsidR="009A287A" w:rsidRPr="00F56ADE" w14:paraId="5E937BC5" w14:textId="77777777" w:rsidTr="009A287A">
        <w:trPr>
          <w:trHeight w:val="272"/>
          <w:jc w:val="center"/>
        </w:trPr>
        <w:tc>
          <w:tcPr>
            <w:tcW w:w="2916" w:type="pct"/>
            <w:tcBorders>
              <w:top w:val="nil"/>
              <w:left w:val="nil"/>
              <w:bottom w:val="nil"/>
              <w:right w:val="nil"/>
            </w:tcBorders>
            <w:shd w:val="clear" w:color="000000" w:fill="FFFFFF"/>
            <w:noWrap/>
            <w:vAlign w:val="center"/>
            <w:hideMark/>
          </w:tcPr>
          <w:p w14:paraId="467EBDF0" w14:textId="77777777" w:rsidR="009A287A" w:rsidRPr="008C2ED5" w:rsidRDefault="009A287A" w:rsidP="009A287A">
            <w:pPr>
              <w:keepNext/>
              <w:keepLines/>
              <w:rPr>
                <w:rFonts w:ascii="Arial Narrow" w:hAnsi="Arial Narrow"/>
                <w:b/>
                <w:bCs/>
                <w:sz w:val="20"/>
                <w:lang w:eastAsia="es-ES"/>
              </w:rPr>
            </w:pPr>
            <w:r w:rsidRPr="008C2ED5">
              <w:rPr>
                <w:rFonts w:ascii="Arial Narrow" w:hAnsi="Arial Narrow"/>
                <w:b/>
                <w:bCs/>
                <w:sz w:val="20"/>
                <w:lang w:eastAsia="es-ES"/>
              </w:rPr>
              <w:t>Inv. en empresas del grupo y asociadas a l/p</w:t>
            </w:r>
          </w:p>
        </w:tc>
        <w:tc>
          <w:tcPr>
            <w:tcW w:w="834" w:type="pct"/>
            <w:tcBorders>
              <w:top w:val="nil"/>
              <w:left w:val="nil"/>
              <w:bottom w:val="nil"/>
              <w:right w:val="nil"/>
            </w:tcBorders>
            <w:shd w:val="clear" w:color="000000" w:fill="FFFFFF"/>
            <w:vAlign w:val="center"/>
          </w:tcPr>
          <w:p w14:paraId="07496ECB" w14:textId="77777777" w:rsidR="009A287A" w:rsidRPr="009A287A" w:rsidRDefault="009A287A" w:rsidP="009A287A">
            <w:pPr>
              <w:keepNext/>
              <w:keepLines/>
              <w:jc w:val="right"/>
              <w:rPr>
                <w:rFonts w:ascii="Arial Narrow" w:hAnsi="Arial Narrow"/>
                <w:b/>
                <w:bCs/>
                <w:sz w:val="20"/>
                <w:lang w:eastAsia="es-ES"/>
              </w:rPr>
            </w:pPr>
            <w:r w:rsidRPr="009A287A">
              <w:rPr>
                <w:rFonts w:ascii="Arial Narrow" w:hAnsi="Arial Narrow"/>
                <w:b/>
                <w:bCs/>
                <w:sz w:val="20"/>
                <w:lang w:eastAsia="es-ES"/>
              </w:rPr>
              <w:t>298.270,00</w:t>
            </w:r>
          </w:p>
        </w:tc>
        <w:tc>
          <w:tcPr>
            <w:tcW w:w="1250" w:type="pct"/>
            <w:tcBorders>
              <w:top w:val="nil"/>
              <w:left w:val="nil"/>
              <w:bottom w:val="nil"/>
              <w:right w:val="nil"/>
            </w:tcBorders>
            <w:shd w:val="clear" w:color="000000" w:fill="FFFFFF"/>
            <w:vAlign w:val="center"/>
          </w:tcPr>
          <w:p w14:paraId="272C039E" w14:textId="77777777" w:rsidR="009A287A" w:rsidRPr="008C2ED5" w:rsidRDefault="009A287A" w:rsidP="009A287A">
            <w:pPr>
              <w:keepNext/>
              <w:keepLines/>
              <w:jc w:val="right"/>
              <w:rPr>
                <w:rFonts w:ascii="Arial Narrow" w:hAnsi="Arial Narrow"/>
                <w:b/>
                <w:bCs/>
                <w:sz w:val="20"/>
                <w:lang w:eastAsia="es-ES"/>
              </w:rPr>
            </w:pPr>
            <w:r>
              <w:rPr>
                <w:rFonts w:ascii="Arial Narrow" w:hAnsi="Arial Narrow"/>
                <w:b/>
                <w:bCs/>
                <w:sz w:val="20"/>
                <w:lang w:eastAsia="es-ES"/>
              </w:rPr>
              <w:t>297.070,00</w:t>
            </w:r>
          </w:p>
        </w:tc>
      </w:tr>
      <w:tr w:rsidR="009A287A" w:rsidRPr="00F56ADE" w14:paraId="70A00BC2" w14:textId="77777777" w:rsidTr="009A287A">
        <w:trPr>
          <w:trHeight w:val="272"/>
          <w:jc w:val="center"/>
        </w:trPr>
        <w:tc>
          <w:tcPr>
            <w:tcW w:w="2916" w:type="pct"/>
            <w:tcBorders>
              <w:top w:val="nil"/>
              <w:left w:val="nil"/>
              <w:bottom w:val="nil"/>
              <w:right w:val="nil"/>
            </w:tcBorders>
            <w:shd w:val="clear" w:color="000000" w:fill="FFFFFF"/>
            <w:noWrap/>
            <w:vAlign w:val="center"/>
            <w:hideMark/>
          </w:tcPr>
          <w:p w14:paraId="5B001752" w14:textId="77777777" w:rsidR="009A287A" w:rsidRPr="008C2ED5" w:rsidRDefault="009A287A" w:rsidP="009A287A">
            <w:pPr>
              <w:keepNext/>
              <w:keepLines/>
              <w:rPr>
                <w:rFonts w:ascii="Arial Narrow" w:hAnsi="Arial Narrow"/>
                <w:sz w:val="20"/>
                <w:lang w:eastAsia="es-ES"/>
              </w:rPr>
            </w:pPr>
            <w:r w:rsidRPr="008C2ED5">
              <w:rPr>
                <w:rFonts w:ascii="Arial Narrow" w:hAnsi="Arial Narrow"/>
                <w:sz w:val="20"/>
                <w:lang w:eastAsia="es-ES"/>
              </w:rPr>
              <w:t>Instrumentos de patrimonio</w:t>
            </w:r>
          </w:p>
        </w:tc>
        <w:tc>
          <w:tcPr>
            <w:tcW w:w="834" w:type="pct"/>
            <w:tcBorders>
              <w:top w:val="nil"/>
              <w:left w:val="nil"/>
              <w:bottom w:val="nil"/>
              <w:right w:val="nil"/>
            </w:tcBorders>
            <w:shd w:val="clear" w:color="000000" w:fill="FFFFFF"/>
            <w:vAlign w:val="center"/>
          </w:tcPr>
          <w:p w14:paraId="2D8B8E11" w14:textId="77777777" w:rsidR="009A287A" w:rsidRPr="009A287A" w:rsidRDefault="009A287A" w:rsidP="009A287A">
            <w:pPr>
              <w:keepNext/>
              <w:keepLines/>
              <w:jc w:val="right"/>
              <w:rPr>
                <w:rFonts w:ascii="Arial Narrow" w:hAnsi="Arial Narrow"/>
                <w:sz w:val="20"/>
                <w:lang w:eastAsia="es-ES"/>
              </w:rPr>
            </w:pPr>
            <w:r w:rsidRPr="009A287A">
              <w:rPr>
                <w:rFonts w:ascii="Arial Narrow" w:hAnsi="Arial Narrow"/>
                <w:sz w:val="20"/>
                <w:lang w:eastAsia="es-ES"/>
              </w:rPr>
              <w:t>298.270,00</w:t>
            </w:r>
          </w:p>
        </w:tc>
        <w:tc>
          <w:tcPr>
            <w:tcW w:w="1250" w:type="pct"/>
            <w:tcBorders>
              <w:top w:val="nil"/>
              <w:left w:val="nil"/>
              <w:bottom w:val="nil"/>
              <w:right w:val="nil"/>
            </w:tcBorders>
            <w:shd w:val="clear" w:color="000000" w:fill="FFFFFF"/>
            <w:vAlign w:val="center"/>
          </w:tcPr>
          <w:p w14:paraId="5DD5DD84" w14:textId="77777777" w:rsidR="009A287A" w:rsidRPr="008C2ED5" w:rsidRDefault="009A287A" w:rsidP="009A287A">
            <w:pPr>
              <w:keepNext/>
              <w:keepLines/>
              <w:jc w:val="right"/>
              <w:rPr>
                <w:rFonts w:ascii="Arial Narrow" w:hAnsi="Arial Narrow"/>
                <w:sz w:val="20"/>
                <w:lang w:eastAsia="es-ES"/>
              </w:rPr>
            </w:pPr>
            <w:r>
              <w:rPr>
                <w:rFonts w:ascii="Arial Narrow" w:hAnsi="Arial Narrow"/>
                <w:sz w:val="20"/>
                <w:lang w:eastAsia="es-ES"/>
              </w:rPr>
              <w:t>297.070,00</w:t>
            </w:r>
          </w:p>
        </w:tc>
      </w:tr>
      <w:tr w:rsidR="009A287A" w:rsidRPr="00F56ADE" w14:paraId="7239A991" w14:textId="77777777" w:rsidTr="009A287A">
        <w:trPr>
          <w:trHeight w:val="272"/>
          <w:jc w:val="center"/>
        </w:trPr>
        <w:tc>
          <w:tcPr>
            <w:tcW w:w="2916" w:type="pct"/>
            <w:tcBorders>
              <w:top w:val="nil"/>
              <w:left w:val="nil"/>
              <w:bottom w:val="nil"/>
              <w:right w:val="nil"/>
            </w:tcBorders>
            <w:shd w:val="clear" w:color="000000" w:fill="FFFFFF"/>
            <w:noWrap/>
            <w:vAlign w:val="center"/>
            <w:hideMark/>
          </w:tcPr>
          <w:p w14:paraId="46F00684" w14:textId="77777777" w:rsidR="009A287A" w:rsidRPr="008C2ED5" w:rsidRDefault="009A287A" w:rsidP="009A287A">
            <w:pPr>
              <w:keepNext/>
              <w:keepLines/>
              <w:rPr>
                <w:rFonts w:ascii="Arial Narrow" w:hAnsi="Arial Narrow"/>
                <w:b/>
                <w:bCs/>
                <w:sz w:val="20"/>
                <w:lang w:eastAsia="es-ES"/>
              </w:rPr>
            </w:pPr>
            <w:r w:rsidRPr="008C2ED5">
              <w:rPr>
                <w:rFonts w:ascii="Arial Narrow" w:hAnsi="Arial Narrow"/>
                <w:b/>
                <w:bCs/>
                <w:sz w:val="20"/>
                <w:lang w:eastAsia="es-ES"/>
              </w:rPr>
              <w:t>Inversiones financieras a l/p</w:t>
            </w:r>
          </w:p>
        </w:tc>
        <w:tc>
          <w:tcPr>
            <w:tcW w:w="834" w:type="pct"/>
            <w:tcBorders>
              <w:top w:val="nil"/>
              <w:left w:val="nil"/>
              <w:bottom w:val="nil"/>
              <w:right w:val="nil"/>
            </w:tcBorders>
            <w:shd w:val="clear" w:color="000000" w:fill="FFFFFF"/>
            <w:vAlign w:val="center"/>
          </w:tcPr>
          <w:p w14:paraId="0136C54E" w14:textId="77777777" w:rsidR="009A287A" w:rsidRPr="008C2ED5" w:rsidRDefault="009A287A" w:rsidP="009A287A">
            <w:pPr>
              <w:keepNext/>
              <w:keepLines/>
              <w:jc w:val="right"/>
              <w:rPr>
                <w:rFonts w:ascii="Arial Narrow" w:hAnsi="Arial Narrow"/>
                <w:b/>
                <w:bCs/>
                <w:sz w:val="20"/>
                <w:lang w:eastAsia="es-ES"/>
              </w:rPr>
            </w:pPr>
            <w:r>
              <w:rPr>
                <w:rFonts w:ascii="Arial Narrow" w:hAnsi="Arial Narrow"/>
                <w:b/>
                <w:bCs/>
                <w:sz w:val="20"/>
                <w:lang w:eastAsia="es-ES"/>
              </w:rPr>
              <w:t>3.882.998,49</w:t>
            </w:r>
          </w:p>
        </w:tc>
        <w:tc>
          <w:tcPr>
            <w:tcW w:w="1250" w:type="pct"/>
            <w:tcBorders>
              <w:top w:val="nil"/>
              <w:left w:val="nil"/>
              <w:bottom w:val="nil"/>
              <w:right w:val="nil"/>
            </w:tcBorders>
            <w:shd w:val="clear" w:color="000000" w:fill="FFFFFF"/>
            <w:vAlign w:val="center"/>
          </w:tcPr>
          <w:p w14:paraId="2D3C0286" w14:textId="77777777" w:rsidR="009A287A" w:rsidRPr="008C2ED5" w:rsidRDefault="009A287A" w:rsidP="009A287A">
            <w:pPr>
              <w:keepNext/>
              <w:keepLines/>
              <w:jc w:val="right"/>
              <w:rPr>
                <w:rFonts w:ascii="Arial Narrow" w:hAnsi="Arial Narrow"/>
                <w:b/>
                <w:bCs/>
                <w:sz w:val="20"/>
                <w:lang w:eastAsia="es-ES"/>
              </w:rPr>
            </w:pPr>
            <w:r>
              <w:rPr>
                <w:rFonts w:ascii="Arial Narrow" w:hAnsi="Arial Narrow"/>
                <w:b/>
                <w:bCs/>
                <w:sz w:val="20"/>
                <w:lang w:eastAsia="es-ES"/>
              </w:rPr>
              <w:t>3.882.998,49</w:t>
            </w:r>
          </w:p>
        </w:tc>
      </w:tr>
      <w:tr w:rsidR="009A287A" w:rsidRPr="00F56ADE" w14:paraId="2D8579AB" w14:textId="77777777" w:rsidTr="009A287A">
        <w:trPr>
          <w:trHeight w:val="272"/>
          <w:jc w:val="center"/>
        </w:trPr>
        <w:tc>
          <w:tcPr>
            <w:tcW w:w="2916" w:type="pct"/>
            <w:tcBorders>
              <w:top w:val="nil"/>
              <w:left w:val="nil"/>
              <w:bottom w:val="nil"/>
              <w:right w:val="nil"/>
            </w:tcBorders>
            <w:shd w:val="clear" w:color="000000" w:fill="FFFFFF"/>
            <w:noWrap/>
            <w:vAlign w:val="center"/>
            <w:hideMark/>
          </w:tcPr>
          <w:p w14:paraId="292B11AE" w14:textId="77777777" w:rsidR="009A287A" w:rsidRPr="006D5CDA" w:rsidRDefault="009A287A" w:rsidP="009A287A">
            <w:pPr>
              <w:rPr>
                <w:rFonts w:ascii="Arial Narrow" w:hAnsi="Arial Narrow"/>
                <w:sz w:val="20"/>
                <w:lang w:eastAsia="es-ES"/>
              </w:rPr>
            </w:pPr>
            <w:r w:rsidRPr="006D5CDA">
              <w:rPr>
                <w:rFonts w:ascii="Arial Narrow" w:hAnsi="Arial Narrow"/>
                <w:sz w:val="20"/>
                <w:lang w:eastAsia="es-ES"/>
              </w:rPr>
              <w:t>Instrumentos de patrimonio</w:t>
            </w:r>
          </w:p>
        </w:tc>
        <w:tc>
          <w:tcPr>
            <w:tcW w:w="834" w:type="pct"/>
            <w:tcBorders>
              <w:top w:val="nil"/>
              <w:left w:val="nil"/>
              <w:bottom w:val="nil"/>
              <w:right w:val="nil"/>
            </w:tcBorders>
            <w:shd w:val="clear" w:color="000000" w:fill="FFFFFF"/>
            <w:vAlign w:val="center"/>
          </w:tcPr>
          <w:p w14:paraId="745214F4" w14:textId="77777777" w:rsidR="009A287A" w:rsidRPr="006D5CDA" w:rsidRDefault="009A287A" w:rsidP="009A287A">
            <w:pPr>
              <w:jc w:val="right"/>
              <w:rPr>
                <w:rFonts w:ascii="Arial Narrow" w:hAnsi="Arial Narrow"/>
                <w:bCs/>
                <w:sz w:val="20"/>
                <w:lang w:eastAsia="es-ES"/>
              </w:rPr>
            </w:pPr>
            <w:r w:rsidRPr="00850B72">
              <w:rPr>
                <w:rFonts w:ascii="Arial Narrow" w:hAnsi="Arial Narrow"/>
                <w:bCs/>
                <w:sz w:val="20"/>
                <w:lang w:eastAsia="es-ES"/>
              </w:rPr>
              <w:t>3.882.998,</w:t>
            </w:r>
            <w:r>
              <w:rPr>
                <w:rFonts w:ascii="Arial Narrow" w:hAnsi="Arial Narrow"/>
                <w:bCs/>
                <w:sz w:val="20"/>
                <w:lang w:eastAsia="es-ES"/>
              </w:rPr>
              <w:t>4</w:t>
            </w:r>
            <w:r w:rsidRPr="00850B72">
              <w:rPr>
                <w:rFonts w:ascii="Arial Narrow" w:hAnsi="Arial Narrow"/>
                <w:bCs/>
                <w:sz w:val="20"/>
                <w:lang w:eastAsia="es-ES"/>
              </w:rPr>
              <w:t>9</w:t>
            </w:r>
          </w:p>
        </w:tc>
        <w:tc>
          <w:tcPr>
            <w:tcW w:w="1250" w:type="pct"/>
            <w:tcBorders>
              <w:top w:val="nil"/>
              <w:left w:val="nil"/>
              <w:bottom w:val="nil"/>
              <w:right w:val="nil"/>
            </w:tcBorders>
            <w:shd w:val="clear" w:color="000000" w:fill="FFFFFF"/>
            <w:vAlign w:val="center"/>
          </w:tcPr>
          <w:p w14:paraId="0BFABF31" w14:textId="77777777" w:rsidR="009A287A" w:rsidRPr="006D5CDA" w:rsidRDefault="009A287A" w:rsidP="009A287A">
            <w:pPr>
              <w:jc w:val="right"/>
              <w:rPr>
                <w:rFonts w:ascii="Arial Narrow" w:hAnsi="Arial Narrow"/>
                <w:bCs/>
                <w:sz w:val="20"/>
                <w:lang w:eastAsia="es-ES"/>
              </w:rPr>
            </w:pPr>
            <w:r w:rsidRPr="00850B72">
              <w:rPr>
                <w:rFonts w:ascii="Arial Narrow" w:hAnsi="Arial Narrow"/>
                <w:bCs/>
                <w:sz w:val="20"/>
                <w:lang w:eastAsia="es-ES"/>
              </w:rPr>
              <w:t>3.882.998,</w:t>
            </w:r>
            <w:r>
              <w:rPr>
                <w:rFonts w:ascii="Arial Narrow" w:hAnsi="Arial Narrow"/>
                <w:bCs/>
                <w:sz w:val="20"/>
                <w:lang w:eastAsia="es-ES"/>
              </w:rPr>
              <w:t>4</w:t>
            </w:r>
            <w:r w:rsidRPr="00850B72">
              <w:rPr>
                <w:rFonts w:ascii="Arial Narrow" w:hAnsi="Arial Narrow"/>
                <w:bCs/>
                <w:sz w:val="20"/>
                <w:lang w:eastAsia="es-ES"/>
              </w:rPr>
              <w:t>9</w:t>
            </w:r>
          </w:p>
        </w:tc>
      </w:tr>
      <w:tr w:rsidR="009A287A" w:rsidRPr="00F56ADE" w14:paraId="7D84A79E" w14:textId="77777777" w:rsidTr="009A287A">
        <w:trPr>
          <w:trHeight w:val="272"/>
          <w:jc w:val="center"/>
        </w:trPr>
        <w:tc>
          <w:tcPr>
            <w:tcW w:w="2916" w:type="pct"/>
            <w:tcBorders>
              <w:top w:val="nil"/>
              <w:left w:val="nil"/>
              <w:bottom w:val="nil"/>
              <w:right w:val="nil"/>
            </w:tcBorders>
            <w:shd w:val="clear" w:color="000000" w:fill="F2F2F2"/>
            <w:noWrap/>
            <w:vAlign w:val="center"/>
            <w:hideMark/>
          </w:tcPr>
          <w:p w14:paraId="749957CE" w14:textId="77777777" w:rsidR="009A287A" w:rsidRPr="008C2ED5" w:rsidRDefault="009A287A" w:rsidP="009A287A">
            <w:pPr>
              <w:rPr>
                <w:rFonts w:ascii="Arial Narrow" w:hAnsi="Arial Narrow"/>
                <w:b/>
                <w:bCs/>
                <w:sz w:val="20"/>
                <w:lang w:eastAsia="es-ES"/>
              </w:rPr>
            </w:pPr>
          </w:p>
        </w:tc>
        <w:tc>
          <w:tcPr>
            <w:tcW w:w="834" w:type="pct"/>
            <w:tcBorders>
              <w:top w:val="nil"/>
              <w:left w:val="nil"/>
              <w:bottom w:val="nil"/>
              <w:right w:val="nil"/>
            </w:tcBorders>
            <w:shd w:val="clear" w:color="000000" w:fill="F2F2F2"/>
            <w:noWrap/>
            <w:vAlign w:val="center"/>
          </w:tcPr>
          <w:p w14:paraId="39CA6D00" w14:textId="77777777" w:rsidR="009A287A" w:rsidRPr="008C2ED5" w:rsidRDefault="009A287A" w:rsidP="009A287A">
            <w:pPr>
              <w:jc w:val="right"/>
              <w:rPr>
                <w:rFonts w:ascii="Arial Narrow" w:hAnsi="Arial Narrow"/>
                <w:b/>
                <w:bCs/>
                <w:sz w:val="20"/>
                <w:lang w:eastAsia="es-ES"/>
              </w:rPr>
            </w:pPr>
            <w:r>
              <w:rPr>
                <w:rFonts w:ascii="Arial Narrow" w:hAnsi="Arial Narrow"/>
                <w:b/>
                <w:bCs/>
                <w:sz w:val="20"/>
                <w:lang w:eastAsia="es-ES"/>
              </w:rPr>
              <w:t>4.180.068,49</w:t>
            </w:r>
          </w:p>
        </w:tc>
        <w:tc>
          <w:tcPr>
            <w:tcW w:w="1250" w:type="pct"/>
            <w:tcBorders>
              <w:top w:val="nil"/>
              <w:left w:val="nil"/>
              <w:bottom w:val="nil"/>
              <w:right w:val="nil"/>
            </w:tcBorders>
            <w:shd w:val="clear" w:color="000000" w:fill="F2F2F2"/>
            <w:vAlign w:val="center"/>
          </w:tcPr>
          <w:p w14:paraId="25C479E2" w14:textId="77777777" w:rsidR="009A287A" w:rsidRPr="008C2ED5" w:rsidRDefault="009A287A" w:rsidP="009A287A">
            <w:pPr>
              <w:jc w:val="right"/>
              <w:rPr>
                <w:rFonts w:ascii="Arial Narrow" w:hAnsi="Arial Narrow"/>
                <w:b/>
                <w:bCs/>
                <w:sz w:val="20"/>
                <w:lang w:eastAsia="es-ES"/>
              </w:rPr>
            </w:pPr>
            <w:r>
              <w:rPr>
                <w:rFonts w:ascii="Arial Narrow" w:hAnsi="Arial Narrow"/>
                <w:b/>
                <w:bCs/>
                <w:sz w:val="20"/>
                <w:lang w:eastAsia="es-ES"/>
              </w:rPr>
              <w:t>4.180.068,49</w:t>
            </w:r>
          </w:p>
        </w:tc>
      </w:tr>
    </w:tbl>
    <w:p w14:paraId="651F5467" w14:textId="77777777" w:rsidR="00AE4272" w:rsidRPr="00AE4272" w:rsidRDefault="005F13DD" w:rsidP="009C5E01">
      <w:pPr>
        <w:pStyle w:val="TextePrinc"/>
        <w:keepNext/>
        <w:keepLines/>
        <w:numPr>
          <w:ilvl w:val="0"/>
          <w:numId w:val="10"/>
        </w:numPr>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ind w:left="714" w:hanging="357"/>
        <w:jc w:val="both"/>
        <w:rPr>
          <w:rFonts w:ascii="Arial Narrow" w:hAnsi="Arial Narrow" w:cs="Arial"/>
          <w:spacing w:val="-2"/>
          <w:sz w:val="24"/>
          <w:szCs w:val="24"/>
        </w:rPr>
      </w:pPr>
      <w:r w:rsidRPr="00AE4272">
        <w:rPr>
          <w:rFonts w:ascii="Arial Narrow" w:hAnsi="Arial Narrow" w:cs="Arial"/>
          <w:b/>
          <w:noProof w:val="0"/>
          <w:color w:val="auto"/>
          <w:sz w:val="24"/>
          <w:szCs w:val="24"/>
          <w:u w:val="single"/>
        </w:rPr>
        <w:t>Riesgo de liquidez</w:t>
      </w:r>
    </w:p>
    <w:p w14:paraId="7DF5E4EE" w14:textId="77777777" w:rsidR="005F13DD" w:rsidRPr="00AE4272" w:rsidRDefault="005F13DD" w:rsidP="00AE4272">
      <w:pPr>
        <w:pStyle w:val="TextePrinc"/>
        <w:keepNext/>
        <w:keepLines/>
        <w:tabs>
          <w:tab w:val="left" w:pos="-384"/>
          <w:tab w:val="left" w:pos="325"/>
          <w:tab w:val="left" w:pos="1035"/>
          <w:tab w:val="left" w:pos="1741"/>
          <w:tab w:val="left" w:pos="2451"/>
          <w:tab w:val="left" w:pos="3160"/>
          <w:tab w:val="left" w:pos="3864"/>
          <w:tab w:val="left" w:pos="4571"/>
          <w:tab w:val="left" w:pos="5280"/>
          <w:tab w:val="left" w:pos="5990"/>
          <w:tab w:val="left" w:pos="6699"/>
        </w:tabs>
        <w:spacing w:before="200" w:after="120" w:line="280" w:lineRule="atLeast"/>
        <w:ind w:left="714"/>
        <w:jc w:val="both"/>
        <w:rPr>
          <w:rFonts w:ascii="Arial Narrow" w:hAnsi="Arial Narrow" w:cs="Arial"/>
          <w:spacing w:val="-2"/>
          <w:sz w:val="24"/>
          <w:szCs w:val="24"/>
        </w:rPr>
      </w:pPr>
      <w:r w:rsidRPr="00AE4272">
        <w:rPr>
          <w:rFonts w:ascii="Arial Narrow" w:hAnsi="Arial Narrow" w:cs="Arial"/>
          <w:spacing w:val="-2"/>
          <w:sz w:val="24"/>
          <w:szCs w:val="24"/>
        </w:rPr>
        <w:t xml:space="preserve">Dada la naturaleza de sociedad mercantil pública de la Sociedad, su presupuesto </w:t>
      </w:r>
      <w:r w:rsidR="005A072E" w:rsidRPr="00AE4272">
        <w:rPr>
          <w:rFonts w:ascii="Arial Narrow" w:hAnsi="Arial Narrow" w:cs="Arial"/>
          <w:spacing w:val="-2"/>
          <w:sz w:val="24"/>
          <w:szCs w:val="24"/>
        </w:rPr>
        <w:t xml:space="preserve">anual </w:t>
      </w:r>
      <w:r w:rsidR="008C2ED5" w:rsidRPr="00AE4272">
        <w:rPr>
          <w:rFonts w:ascii="Arial Narrow" w:hAnsi="Arial Narrow" w:cs="Arial"/>
          <w:spacing w:val="-2"/>
          <w:sz w:val="24"/>
          <w:szCs w:val="24"/>
        </w:rPr>
        <w:t>de gasto se adecú</w:t>
      </w:r>
      <w:r w:rsidRPr="00AE4272">
        <w:rPr>
          <w:rFonts w:ascii="Arial Narrow" w:hAnsi="Arial Narrow" w:cs="Arial"/>
          <w:spacing w:val="-2"/>
          <w:sz w:val="24"/>
          <w:szCs w:val="24"/>
        </w:rPr>
        <w:t>a a los ingresos a percibir vía servicios, encomiendas, subvenciones y aportaciones dinerarias</w:t>
      </w:r>
      <w:r w:rsidR="00DF4AD2" w:rsidRPr="00AE4272">
        <w:rPr>
          <w:rFonts w:ascii="Arial Narrow" w:hAnsi="Arial Narrow" w:cs="Arial"/>
          <w:spacing w:val="-2"/>
          <w:sz w:val="24"/>
          <w:szCs w:val="24"/>
        </w:rPr>
        <w:t xml:space="preserve">. </w:t>
      </w:r>
      <w:r w:rsidR="005A072E" w:rsidRPr="00AE4272">
        <w:rPr>
          <w:rFonts w:ascii="Arial Narrow" w:hAnsi="Arial Narrow" w:cs="Arial"/>
          <w:spacing w:val="-2"/>
          <w:sz w:val="24"/>
          <w:szCs w:val="24"/>
        </w:rPr>
        <w:t>El</w:t>
      </w:r>
      <w:r w:rsidRPr="00AE4272">
        <w:rPr>
          <w:rFonts w:ascii="Arial Narrow" w:hAnsi="Arial Narrow" w:cs="Arial"/>
          <w:spacing w:val="-2"/>
          <w:sz w:val="24"/>
          <w:szCs w:val="24"/>
        </w:rPr>
        <w:t xml:space="preserve"> riesgo de liquidez</w:t>
      </w:r>
      <w:r w:rsidR="005A072E" w:rsidRPr="00AE4272">
        <w:rPr>
          <w:rFonts w:ascii="Arial Narrow" w:hAnsi="Arial Narrow" w:cs="Arial"/>
          <w:spacing w:val="-2"/>
          <w:sz w:val="24"/>
          <w:szCs w:val="24"/>
        </w:rPr>
        <w:t xml:space="preserve"> está restringido a desviaciones importantes en las partidas de ingresos y gastos</w:t>
      </w:r>
      <w:r w:rsidRPr="00AE4272">
        <w:rPr>
          <w:rFonts w:ascii="Arial Narrow" w:hAnsi="Arial Narrow" w:cs="Arial"/>
          <w:spacing w:val="-2"/>
          <w:sz w:val="24"/>
          <w:szCs w:val="24"/>
        </w:rPr>
        <w:t xml:space="preserve">, </w:t>
      </w:r>
      <w:r w:rsidR="005A072E" w:rsidRPr="00AE4272">
        <w:rPr>
          <w:rFonts w:ascii="Arial Narrow" w:hAnsi="Arial Narrow" w:cs="Arial"/>
          <w:spacing w:val="-2"/>
          <w:sz w:val="24"/>
          <w:szCs w:val="24"/>
        </w:rPr>
        <w:t>o a que</w:t>
      </w:r>
      <w:r w:rsidRPr="00AE4272">
        <w:rPr>
          <w:rFonts w:ascii="Arial Narrow" w:hAnsi="Arial Narrow" w:cs="Arial"/>
          <w:spacing w:val="-2"/>
          <w:sz w:val="24"/>
          <w:szCs w:val="24"/>
        </w:rPr>
        <w:t xml:space="preserve"> el Gobierno de Canarias </w:t>
      </w:r>
      <w:r w:rsidR="005A072E" w:rsidRPr="00AE4272">
        <w:rPr>
          <w:rFonts w:ascii="Arial Narrow" w:hAnsi="Arial Narrow" w:cs="Arial"/>
          <w:spacing w:val="-2"/>
          <w:sz w:val="24"/>
          <w:szCs w:val="24"/>
        </w:rPr>
        <w:t xml:space="preserve">bloquee o </w:t>
      </w:r>
      <w:r w:rsidRPr="00AE4272">
        <w:rPr>
          <w:rFonts w:ascii="Arial Narrow" w:hAnsi="Arial Narrow" w:cs="Arial"/>
          <w:spacing w:val="-2"/>
          <w:sz w:val="24"/>
          <w:szCs w:val="24"/>
        </w:rPr>
        <w:t>retrase los pagos planificados a través de la Dirección General del Tesoro y Política Financiera.</w:t>
      </w:r>
    </w:p>
    <w:p w14:paraId="5D5C85C8" w14:textId="77777777" w:rsidR="00CE2405" w:rsidRPr="00297C67" w:rsidRDefault="005F13DD" w:rsidP="00CE2405">
      <w:pPr>
        <w:spacing w:before="240"/>
        <w:jc w:val="both"/>
        <w:rPr>
          <w:rFonts w:ascii="Arial Narrow" w:hAnsi="Arial Narrow" w:cs="Arial"/>
          <w:spacing w:val="-2"/>
          <w:sz w:val="24"/>
          <w:szCs w:val="24"/>
        </w:rPr>
      </w:pPr>
      <w:r w:rsidRPr="00297C67">
        <w:rPr>
          <w:rFonts w:ascii="Arial Narrow" w:hAnsi="Arial Narrow" w:cs="Arial"/>
          <w:spacing w:val="-2"/>
          <w:sz w:val="24"/>
          <w:szCs w:val="24"/>
        </w:rPr>
        <w:t>Los presupuestos de capital y explotación de la Sociedad se someten anualmente a la aprobación del Gobierno y del Parlamento de la Comunidad Autónoma.</w:t>
      </w:r>
    </w:p>
    <w:p w14:paraId="4185254B" w14:textId="77777777" w:rsidR="00CE2405" w:rsidRPr="00297C67" w:rsidRDefault="005F13DD" w:rsidP="00CE2405">
      <w:pPr>
        <w:spacing w:before="240"/>
        <w:jc w:val="both"/>
        <w:rPr>
          <w:rFonts w:ascii="Arial Narrow" w:hAnsi="Arial Narrow" w:cs="Arial"/>
          <w:sz w:val="24"/>
          <w:szCs w:val="24"/>
          <w:u w:val="single"/>
        </w:rPr>
      </w:pPr>
      <w:r w:rsidRPr="00297C67">
        <w:rPr>
          <w:rFonts w:ascii="Arial Narrow" w:hAnsi="Arial Narrow" w:cs="Arial"/>
          <w:sz w:val="24"/>
          <w:szCs w:val="24"/>
          <w:u w:val="single"/>
        </w:rPr>
        <w:t>Estimación del valor razonable</w:t>
      </w:r>
    </w:p>
    <w:p w14:paraId="2BF48DB5" w14:textId="77777777" w:rsidR="005F13DD" w:rsidRPr="00297C67" w:rsidRDefault="005F13DD" w:rsidP="00CE2405">
      <w:pPr>
        <w:spacing w:before="240"/>
        <w:jc w:val="both"/>
        <w:rPr>
          <w:rFonts w:ascii="Arial Narrow" w:hAnsi="Arial Narrow" w:cs="Arial"/>
          <w:spacing w:val="-2"/>
          <w:sz w:val="24"/>
          <w:szCs w:val="24"/>
        </w:rPr>
      </w:pPr>
      <w:r w:rsidRPr="00297C67">
        <w:rPr>
          <w:rFonts w:ascii="Arial Narrow" w:hAnsi="Arial Narrow" w:cs="Arial"/>
          <w:spacing w:val="-2"/>
          <w:sz w:val="24"/>
          <w:szCs w:val="24"/>
        </w:rPr>
        <w:t>El valor razonable de los instrumentos financieros que se comercializan en mercados activos (tales como los títulos mantenidos para negociar y los disponibles para la venta) se basa en los precios de mercado a la fecha del balance. El precio de cotización de mercado que se utiliza para los activos financieros es el precio corriente comprador.</w:t>
      </w:r>
    </w:p>
    <w:p w14:paraId="5FED1BF7" w14:textId="77777777" w:rsidR="005F13DD" w:rsidRPr="00297C67" w:rsidRDefault="005F13DD" w:rsidP="005F13DD">
      <w:pPr>
        <w:spacing w:before="240"/>
        <w:jc w:val="both"/>
        <w:rPr>
          <w:rFonts w:ascii="Arial Narrow" w:hAnsi="Arial Narrow" w:cs="Arial"/>
          <w:spacing w:val="-2"/>
          <w:sz w:val="24"/>
          <w:szCs w:val="24"/>
        </w:rPr>
      </w:pPr>
      <w:r w:rsidRPr="00297C67">
        <w:rPr>
          <w:rFonts w:ascii="Arial Narrow" w:hAnsi="Arial Narrow" w:cs="Arial"/>
          <w:spacing w:val="-2"/>
          <w:sz w:val="24"/>
          <w:szCs w:val="24"/>
        </w:rPr>
        <w:t>El valor razonable de los instrumentos financieros que no cotizan en un mercado activo se determina usando técnicas de valoración. La Sociedad utiliza una variedad de métodos y realiza hipótesis que se basan en las condiciones del mercado existentes en cada una de las fechas del balance. Para la deuda a largo plazo se utilizan precios cotizados de mercado o cotizaciones de agentes. Para determinar el valor razonable del resto de instrumentos financieros se utilizan otras técnicas, como flujos de efectivo descontados estimados. El valor razonable de las permutas de tipo de interés se calcula como el valor actual de los flujos futuros de efectivo estimados. El valor razonable de los contratos de tipo de cambio a plazo se determina usando los tipos de cambio a plazo cotizados en el mercado en la fecha del balance.</w:t>
      </w:r>
    </w:p>
    <w:p w14:paraId="2656A9F3" w14:textId="77777777" w:rsidR="005F13DD" w:rsidRDefault="005F13DD" w:rsidP="005F13DD">
      <w:pPr>
        <w:spacing w:before="240"/>
        <w:jc w:val="both"/>
        <w:rPr>
          <w:rFonts w:ascii="Arial Narrow" w:hAnsi="Arial Narrow" w:cs="Arial"/>
          <w:spacing w:val="-2"/>
          <w:sz w:val="24"/>
          <w:szCs w:val="24"/>
        </w:rPr>
      </w:pPr>
      <w:r w:rsidRPr="00297C67">
        <w:rPr>
          <w:rFonts w:ascii="Arial Narrow" w:hAnsi="Arial Narrow" w:cs="Arial"/>
          <w:spacing w:val="-2"/>
          <w:sz w:val="24"/>
          <w:szCs w:val="24"/>
        </w:rPr>
        <w:t>Se asume que el valor en libros de los créditos y débitos por operaciones comerciales se aproxima a su valor razonable. El valor razonable de los pasivos financieros a efectos de la presentación de información financiera se estima descontando los flujos contractuales futuros de efectivo al tipo de interés corriente del mercado del que puede disponer la Sociedad para instrumentos financieros similares.</w:t>
      </w:r>
    </w:p>
    <w:p w14:paraId="1922E44C" w14:textId="77777777" w:rsidR="00E024E8" w:rsidRDefault="00E024E8" w:rsidP="005F13DD">
      <w:pPr>
        <w:spacing w:before="240"/>
        <w:jc w:val="both"/>
        <w:rPr>
          <w:rFonts w:ascii="Arial Narrow" w:hAnsi="Arial Narrow" w:cs="Arial"/>
          <w:spacing w:val="-2"/>
          <w:sz w:val="24"/>
          <w:szCs w:val="24"/>
        </w:rPr>
      </w:pPr>
    </w:p>
    <w:p w14:paraId="74975B55" w14:textId="729B17AE" w:rsidR="00784A6A" w:rsidRPr="00E024E8" w:rsidRDefault="00784A6A" w:rsidP="00E024E8">
      <w:pPr>
        <w:pStyle w:val="Prrafodelista"/>
        <w:keepNext/>
        <w:keepLines/>
        <w:widowControl w:val="0"/>
        <w:numPr>
          <w:ilvl w:val="1"/>
          <w:numId w:val="27"/>
        </w:numPr>
        <w:spacing w:before="120" w:after="120"/>
        <w:rPr>
          <w:rFonts w:ascii="Arial Narrow" w:hAnsi="Arial Narrow" w:cs="Arial"/>
          <w:b/>
          <w:sz w:val="24"/>
          <w:szCs w:val="24"/>
          <w:u w:val="single"/>
        </w:rPr>
      </w:pPr>
      <w:r w:rsidRPr="00E024E8">
        <w:rPr>
          <w:rFonts w:ascii="Arial Narrow" w:hAnsi="Arial Narrow" w:cs="Arial"/>
          <w:b/>
          <w:sz w:val="24"/>
          <w:szCs w:val="24"/>
          <w:u w:val="single"/>
        </w:rPr>
        <w:t>Fondos Propios</w:t>
      </w:r>
    </w:p>
    <w:p w14:paraId="6A9D0742" w14:textId="77777777" w:rsidR="00E024E8" w:rsidRDefault="00E024E8" w:rsidP="00032181">
      <w:pPr>
        <w:keepNext/>
        <w:keepLines/>
        <w:widowControl w:val="0"/>
        <w:spacing w:before="120" w:after="120"/>
        <w:rPr>
          <w:rFonts w:ascii="Arial Narrow" w:hAnsi="Arial Narrow" w:cs="Arial"/>
          <w:b/>
          <w:sz w:val="24"/>
          <w:szCs w:val="24"/>
          <w:u w:val="single"/>
        </w:rPr>
      </w:pPr>
    </w:p>
    <w:p w14:paraId="6FC87E0D" w14:textId="4BA32B48" w:rsidR="005F13DD" w:rsidRPr="00E024E8" w:rsidRDefault="00E024E8" w:rsidP="00E024E8">
      <w:pPr>
        <w:keepNext/>
        <w:keepLines/>
        <w:ind w:left="360"/>
        <w:rPr>
          <w:rFonts w:ascii="Arial Narrow" w:hAnsi="Arial Narrow" w:cs="Arial"/>
          <w:sz w:val="24"/>
          <w:szCs w:val="24"/>
        </w:rPr>
      </w:pPr>
      <w:r>
        <w:rPr>
          <w:rFonts w:ascii="Arial Narrow" w:hAnsi="Arial Narrow" w:cs="Arial"/>
          <w:sz w:val="24"/>
          <w:szCs w:val="24"/>
        </w:rPr>
        <w:t>a)</w:t>
      </w:r>
      <w:r w:rsidR="005F13DD" w:rsidRPr="00E024E8">
        <w:rPr>
          <w:rFonts w:ascii="Arial Narrow" w:hAnsi="Arial Narrow" w:cs="Arial"/>
          <w:sz w:val="24"/>
          <w:szCs w:val="24"/>
        </w:rPr>
        <w:t xml:space="preserve"> </w:t>
      </w:r>
      <w:r w:rsidR="005F13DD" w:rsidRPr="00E024E8">
        <w:rPr>
          <w:rFonts w:ascii="Arial Narrow" w:hAnsi="Arial Narrow" w:cs="Arial"/>
          <w:sz w:val="24"/>
          <w:szCs w:val="24"/>
        </w:rPr>
        <w:tab/>
        <w:t>Capital</w:t>
      </w:r>
    </w:p>
    <w:p w14:paraId="7998AA63" w14:textId="77777777" w:rsidR="005F13DD" w:rsidRPr="007862F9" w:rsidRDefault="005F13DD" w:rsidP="005F13DD">
      <w:pPr>
        <w:keepNext/>
        <w:keepLines/>
        <w:spacing w:before="120"/>
        <w:jc w:val="both"/>
        <w:rPr>
          <w:rFonts w:ascii="Arial Narrow" w:hAnsi="Arial Narrow" w:cs="Arial"/>
          <w:spacing w:val="-2"/>
          <w:sz w:val="24"/>
          <w:szCs w:val="24"/>
        </w:rPr>
      </w:pPr>
      <w:r w:rsidRPr="006D5CDA">
        <w:rPr>
          <w:rFonts w:ascii="Arial Narrow" w:hAnsi="Arial Narrow" w:cs="Arial"/>
          <w:spacing w:val="-2"/>
          <w:sz w:val="24"/>
          <w:szCs w:val="24"/>
        </w:rPr>
        <w:t>A 31 de diciembre de 201</w:t>
      </w:r>
      <w:r w:rsidR="00E5416E">
        <w:rPr>
          <w:rFonts w:ascii="Arial Narrow" w:hAnsi="Arial Narrow" w:cs="Arial"/>
          <w:spacing w:val="-2"/>
          <w:sz w:val="24"/>
          <w:szCs w:val="24"/>
        </w:rPr>
        <w:t>9</w:t>
      </w:r>
      <w:r w:rsidRPr="006D5CDA">
        <w:rPr>
          <w:rFonts w:ascii="Arial Narrow" w:hAnsi="Arial Narrow" w:cs="Arial"/>
          <w:spacing w:val="-2"/>
          <w:sz w:val="24"/>
          <w:szCs w:val="24"/>
        </w:rPr>
        <w:t xml:space="preserve">, el capital estaba compuesto por 4.180 acciones de 601,01 euros de valor nominal cada una. Todas las acciones son de la </w:t>
      </w:r>
      <w:r w:rsidRPr="007862F9">
        <w:rPr>
          <w:rFonts w:ascii="Arial Narrow" w:hAnsi="Arial Narrow" w:cs="Arial"/>
          <w:spacing w:val="-2"/>
          <w:sz w:val="24"/>
          <w:szCs w:val="24"/>
        </w:rPr>
        <w:t>misma clase, otorgan los mismos derechos y no cotizan en bolsa.</w:t>
      </w:r>
    </w:p>
    <w:p w14:paraId="7A2F3F0C" w14:textId="77777777" w:rsidR="00E024E8" w:rsidRDefault="005F13DD" w:rsidP="00E024E8">
      <w:pPr>
        <w:spacing w:before="120"/>
        <w:jc w:val="both"/>
        <w:rPr>
          <w:rFonts w:ascii="Arial Narrow" w:hAnsi="Arial Narrow" w:cs="Arial"/>
          <w:spacing w:val="-2"/>
          <w:sz w:val="24"/>
          <w:szCs w:val="24"/>
        </w:rPr>
      </w:pPr>
      <w:r w:rsidRPr="007862F9">
        <w:rPr>
          <w:rFonts w:ascii="Arial Narrow" w:hAnsi="Arial Narrow" w:cs="Arial"/>
          <w:spacing w:val="-2"/>
          <w:sz w:val="24"/>
          <w:szCs w:val="24"/>
        </w:rPr>
        <w:t>La totalidad de las acciones de la Sociedad son titularidad de la Comunidad Autónoma de Canarias.</w:t>
      </w:r>
    </w:p>
    <w:p w14:paraId="755D6709" w14:textId="0894487C" w:rsidR="00E024E8" w:rsidRPr="00E024E8" w:rsidRDefault="005F13DD" w:rsidP="00E024E8">
      <w:pPr>
        <w:pStyle w:val="Prrafodelista"/>
        <w:keepNext/>
        <w:keepLines/>
        <w:numPr>
          <w:ilvl w:val="0"/>
          <w:numId w:val="11"/>
        </w:numPr>
        <w:rPr>
          <w:rFonts w:ascii="Arial Narrow" w:hAnsi="Arial Narrow" w:cs="Arial"/>
          <w:sz w:val="24"/>
          <w:szCs w:val="24"/>
        </w:rPr>
      </w:pPr>
      <w:r w:rsidRPr="00E024E8">
        <w:rPr>
          <w:rFonts w:ascii="Arial Narrow" w:hAnsi="Arial Narrow" w:cs="Arial"/>
          <w:sz w:val="24"/>
          <w:szCs w:val="24"/>
        </w:rPr>
        <w:t>Reservas</w:t>
      </w:r>
    </w:p>
    <w:p w14:paraId="6E1F1EFB" w14:textId="77777777" w:rsidR="00E024E8" w:rsidRPr="00E024E8" w:rsidRDefault="00E024E8" w:rsidP="00E024E8">
      <w:pPr>
        <w:pStyle w:val="Prrafodelista"/>
        <w:keepNext/>
        <w:keepLines/>
        <w:ind w:left="720"/>
        <w:rPr>
          <w:rFonts w:ascii="Arial Narrow" w:hAnsi="Arial Narrow" w:cs="Arial"/>
          <w:sz w:val="24"/>
          <w:szCs w:val="24"/>
        </w:rPr>
      </w:pPr>
    </w:p>
    <w:p w14:paraId="103D0791" w14:textId="1B46B0D8" w:rsidR="005F13DD" w:rsidRPr="00E024E8" w:rsidRDefault="005F13DD" w:rsidP="00E024E8">
      <w:pPr>
        <w:keepNext/>
        <w:keepLines/>
        <w:ind w:left="426" w:hanging="426"/>
        <w:rPr>
          <w:rFonts w:ascii="Arial Narrow" w:hAnsi="Arial Narrow" w:cs="Arial"/>
          <w:sz w:val="24"/>
          <w:szCs w:val="24"/>
        </w:rPr>
      </w:pPr>
      <w:r w:rsidRPr="00E024E8">
        <w:rPr>
          <w:rFonts w:ascii="Arial Narrow" w:hAnsi="Arial Narrow" w:cs="Arial"/>
          <w:sz w:val="24"/>
          <w:szCs w:val="24"/>
        </w:rPr>
        <w:t xml:space="preserve">El detalle de las Reservas </w:t>
      </w:r>
      <w:r w:rsidR="007862F9" w:rsidRPr="00E024E8">
        <w:rPr>
          <w:rFonts w:ascii="Arial Narrow" w:hAnsi="Arial Narrow" w:cs="Arial"/>
          <w:sz w:val="24"/>
          <w:szCs w:val="24"/>
        </w:rPr>
        <w:t>al cierre de los ejercicios 201</w:t>
      </w:r>
      <w:r w:rsidR="00E5416E" w:rsidRPr="00E024E8">
        <w:rPr>
          <w:rFonts w:ascii="Arial Narrow" w:hAnsi="Arial Narrow" w:cs="Arial"/>
          <w:sz w:val="24"/>
          <w:szCs w:val="24"/>
        </w:rPr>
        <w:t>9</w:t>
      </w:r>
      <w:r w:rsidRPr="00E024E8">
        <w:rPr>
          <w:rFonts w:ascii="Arial Narrow" w:hAnsi="Arial Narrow" w:cs="Arial"/>
          <w:sz w:val="24"/>
          <w:szCs w:val="24"/>
        </w:rPr>
        <w:t xml:space="preserve"> y 201</w:t>
      </w:r>
      <w:r w:rsidR="00E5416E" w:rsidRPr="00E024E8">
        <w:rPr>
          <w:rFonts w:ascii="Arial Narrow" w:hAnsi="Arial Narrow" w:cs="Arial"/>
          <w:sz w:val="24"/>
          <w:szCs w:val="24"/>
        </w:rPr>
        <w:t>8</w:t>
      </w:r>
      <w:r w:rsidRPr="00E024E8">
        <w:rPr>
          <w:rFonts w:ascii="Arial Narrow" w:hAnsi="Arial Narrow" w:cs="Arial"/>
          <w:sz w:val="24"/>
          <w:szCs w:val="24"/>
        </w:rPr>
        <w:t xml:space="preserve"> es el siguiente, en euros: </w:t>
      </w:r>
    </w:p>
    <w:tbl>
      <w:tblPr>
        <w:tblW w:w="5588" w:type="dxa"/>
        <w:jc w:val="center"/>
        <w:tblCellMar>
          <w:left w:w="70" w:type="dxa"/>
          <w:right w:w="70" w:type="dxa"/>
        </w:tblCellMar>
        <w:tblLook w:val="04A0" w:firstRow="1" w:lastRow="0" w:firstColumn="1" w:lastColumn="0" w:noHBand="0" w:noVBand="1"/>
      </w:tblPr>
      <w:tblGrid>
        <w:gridCol w:w="3040"/>
        <w:gridCol w:w="1274"/>
        <w:gridCol w:w="1274"/>
      </w:tblGrid>
      <w:tr w:rsidR="00E5416E" w:rsidRPr="007862F9" w14:paraId="58A894AE" w14:textId="77777777" w:rsidTr="00E5416E">
        <w:trPr>
          <w:trHeight w:val="340"/>
          <w:jc w:val="center"/>
        </w:trPr>
        <w:tc>
          <w:tcPr>
            <w:tcW w:w="2720" w:type="pct"/>
            <w:tcBorders>
              <w:top w:val="nil"/>
              <w:left w:val="nil"/>
              <w:bottom w:val="nil"/>
              <w:right w:val="nil"/>
            </w:tcBorders>
            <w:shd w:val="clear" w:color="000000" w:fill="D8D8D8"/>
            <w:vAlign w:val="center"/>
            <w:hideMark/>
          </w:tcPr>
          <w:p w14:paraId="10581208" w14:textId="77777777" w:rsidR="00E5416E" w:rsidRPr="007862F9" w:rsidRDefault="00E5416E" w:rsidP="00E5416E">
            <w:pPr>
              <w:keepNext/>
              <w:keepLines/>
              <w:ind w:left="72"/>
              <w:jc w:val="center"/>
              <w:rPr>
                <w:rFonts w:ascii="Arial Narrow" w:hAnsi="Arial Narrow"/>
                <w:b/>
                <w:bCs/>
                <w:sz w:val="20"/>
                <w:lang w:eastAsia="es-ES"/>
              </w:rPr>
            </w:pPr>
          </w:p>
        </w:tc>
        <w:tc>
          <w:tcPr>
            <w:tcW w:w="1140" w:type="pct"/>
            <w:tcBorders>
              <w:top w:val="nil"/>
              <w:left w:val="nil"/>
              <w:bottom w:val="nil"/>
              <w:right w:val="nil"/>
            </w:tcBorders>
            <w:shd w:val="clear" w:color="000000" w:fill="D8D8D8"/>
            <w:vAlign w:val="center"/>
            <w:hideMark/>
          </w:tcPr>
          <w:p w14:paraId="1DB873E8" w14:textId="77777777" w:rsidR="00E5416E" w:rsidRPr="007862F9" w:rsidRDefault="00E5416E" w:rsidP="00E5416E">
            <w:pPr>
              <w:keepNext/>
              <w:keepLines/>
              <w:jc w:val="center"/>
              <w:rPr>
                <w:rFonts w:ascii="Arial Narrow" w:hAnsi="Arial Narrow"/>
                <w:b/>
                <w:bCs/>
                <w:sz w:val="20"/>
                <w:lang w:eastAsia="es-ES"/>
              </w:rPr>
            </w:pPr>
            <w:r w:rsidRPr="007862F9">
              <w:rPr>
                <w:rFonts w:ascii="Arial Narrow" w:hAnsi="Arial Narrow"/>
                <w:b/>
                <w:bCs/>
                <w:sz w:val="20"/>
                <w:lang w:eastAsia="es-ES"/>
              </w:rPr>
              <w:t>31/12/201</w:t>
            </w:r>
            <w:r>
              <w:rPr>
                <w:rFonts w:ascii="Arial Narrow" w:hAnsi="Arial Narrow"/>
                <w:b/>
                <w:bCs/>
                <w:sz w:val="20"/>
                <w:lang w:eastAsia="es-ES"/>
              </w:rPr>
              <w:t>9</w:t>
            </w:r>
          </w:p>
        </w:tc>
        <w:tc>
          <w:tcPr>
            <w:tcW w:w="1140" w:type="pct"/>
            <w:tcBorders>
              <w:top w:val="nil"/>
              <w:left w:val="nil"/>
              <w:bottom w:val="nil"/>
              <w:right w:val="nil"/>
            </w:tcBorders>
            <w:shd w:val="clear" w:color="000000" w:fill="D8D8D8"/>
            <w:vAlign w:val="center"/>
          </w:tcPr>
          <w:p w14:paraId="48434B32" w14:textId="77777777" w:rsidR="00E5416E" w:rsidRPr="007862F9" w:rsidRDefault="00E5416E" w:rsidP="00E5416E">
            <w:pPr>
              <w:keepNext/>
              <w:keepLines/>
              <w:jc w:val="center"/>
              <w:rPr>
                <w:rFonts w:ascii="Arial Narrow" w:hAnsi="Arial Narrow"/>
                <w:b/>
                <w:bCs/>
                <w:sz w:val="20"/>
                <w:lang w:eastAsia="es-ES"/>
              </w:rPr>
            </w:pPr>
            <w:r w:rsidRPr="007862F9">
              <w:rPr>
                <w:rFonts w:ascii="Arial Narrow" w:hAnsi="Arial Narrow"/>
                <w:b/>
                <w:bCs/>
                <w:sz w:val="20"/>
                <w:lang w:eastAsia="es-ES"/>
              </w:rPr>
              <w:t>31/12/201</w:t>
            </w:r>
            <w:r>
              <w:rPr>
                <w:rFonts w:ascii="Arial Narrow" w:hAnsi="Arial Narrow"/>
                <w:b/>
                <w:bCs/>
                <w:sz w:val="20"/>
                <w:lang w:eastAsia="es-ES"/>
              </w:rPr>
              <w:t>8</w:t>
            </w:r>
          </w:p>
        </w:tc>
      </w:tr>
      <w:tr w:rsidR="00E5416E" w:rsidRPr="007862F9" w14:paraId="01DEE914" w14:textId="77777777" w:rsidTr="00E5416E">
        <w:trPr>
          <w:trHeight w:val="255"/>
          <w:jc w:val="center"/>
        </w:trPr>
        <w:tc>
          <w:tcPr>
            <w:tcW w:w="2720" w:type="pct"/>
            <w:tcBorders>
              <w:top w:val="nil"/>
              <w:left w:val="nil"/>
              <w:bottom w:val="nil"/>
              <w:right w:val="nil"/>
            </w:tcBorders>
            <w:shd w:val="clear" w:color="000000" w:fill="FFFFFF"/>
            <w:vAlign w:val="center"/>
            <w:hideMark/>
          </w:tcPr>
          <w:p w14:paraId="565CB70B" w14:textId="77777777" w:rsidR="00E5416E" w:rsidRPr="007862F9" w:rsidRDefault="00E5416E" w:rsidP="00E5416E">
            <w:pPr>
              <w:keepNext/>
              <w:keepLines/>
              <w:ind w:left="72"/>
              <w:rPr>
                <w:rFonts w:ascii="Arial Narrow" w:hAnsi="Arial Narrow"/>
                <w:b/>
                <w:bCs/>
                <w:sz w:val="20"/>
                <w:lang w:eastAsia="es-ES"/>
              </w:rPr>
            </w:pPr>
            <w:r w:rsidRPr="007862F9">
              <w:rPr>
                <w:rFonts w:ascii="Arial Narrow" w:hAnsi="Arial Narrow"/>
                <w:b/>
                <w:bCs/>
                <w:sz w:val="20"/>
                <w:lang w:eastAsia="es-ES"/>
              </w:rPr>
              <w:t xml:space="preserve">Legal y estatutarias: </w:t>
            </w:r>
          </w:p>
        </w:tc>
        <w:tc>
          <w:tcPr>
            <w:tcW w:w="1140" w:type="pct"/>
            <w:tcBorders>
              <w:top w:val="nil"/>
              <w:left w:val="nil"/>
              <w:bottom w:val="nil"/>
              <w:right w:val="nil"/>
            </w:tcBorders>
            <w:shd w:val="clear" w:color="000000" w:fill="FFFFFF"/>
            <w:vAlign w:val="center"/>
            <w:hideMark/>
          </w:tcPr>
          <w:p w14:paraId="3DE7070D" w14:textId="77777777" w:rsidR="00E5416E" w:rsidRPr="007862F9" w:rsidRDefault="00E5416E" w:rsidP="00E5416E">
            <w:pPr>
              <w:keepNext/>
              <w:keepLines/>
              <w:jc w:val="right"/>
              <w:rPr>
                <w:rFonts w:ascii="Arial Narrow" w:hAnsi="Arial Narrow"/>
                <w:sz w:val="20"/>
                <w:lang w:eastAsia="es-ES"/>
              </w:rPr>
            </w:pPr>
          </w:p>
        </w:tc>
        <w:tc>
          <w:tcPr>
            <w:tcW w:w="1140" w:type="pct"/>
            <w:tcBorders>
              <w:top w:val="nil"/>
              <w:left w:val="nil"/>
              <w:bottom w:val="nil"/>
              <w:right w:val="nil"/>
            </w:tcBorders>
            <w:shd w:val="clear" w:color="000000" w:fill="FFFFFF"/>
            <w:vAlign w:val="center"/>
          </w:tcPr>
          <w:p w14:paraId="63064055" w14:textId="77777777" w:rsidR="00E5416E" w:rsidRPr="007862F9" w:rsidRDefault="00E5416E" w:rsidP="00E5416E">
            <w:pPr>
              <w:keepNext/>
              <w:keepLines/>
              <w:jc w:val="right"/>
              <w:rPr>
                <w:rFonts w:ascii="Arial Narrow" w:hAnsi="Arial Narrow"/>
                <w:sz w:val="20"/>
                <w:lang w:eastAsia="es-ES"/>
              </w:rPr>
            </w:pPr>
          </w:p>
        </w:tc>
      </w:tr>
      <w:tr w:rsidR="00E5416E" w:rsidRPr="007862F9" w14:paraId="1E06389F" w14:textId="77777777" w:rsidTr="00E5416E">
        <w:trPr>
          <w:trHeight w:val="255"/>
          <w:jc w:val="center"/>
        </w:trPr>
        <w:tc>
          <w:tcPr>
            <w:tcW w:w="2720" w:type="pct"/>
            <w:tcBorders>
              <w:top w:val="nil"/>
              <w:left w:val="nil"/>
              <w:bottom w:val="nil"/>
              <w:right w:val="nil"/>
            </w:tcBorders>
            <w:shd w:val="clear" w:color="000000" w:fill="FFFFFF"/>
            <w:vAlign w:val="center"/>
            <w:hideMark/>
          </w:tcPr>
          <w:p w14:paraId="5FA062D4" w14:textId="77777777" w:rsidR="00E5416E" w:rsidRPr="007862F9" w:rsidRDefault="00E5416E" w:rsidP="00E5416E">
            <w:pPr>
              <w:keepNext/>
              <w:keepLines/>
              <w:ind w:left="72"/>
              <w:rPr>
                <w:rFonts w:ascii="Arial Narrow" w:hAnsi="Arial Narrow"/>
                <w:sz w:val="20"/>
                <w:lang w:eastAsia="es-ES"/>
              </w:rPr>
            </w:pPr>
            <w:r w:rsidRPr="007862F9">
              <w:rPr>
                <w:rFonts w:ascii="Arial Narrow" w:hAnsi="Arial Narrow"/>
                <w:sz w:val="20"/>
                <w:lang w:eastAsia="es-ES"/>
              </w:rPr>
              <w:t>- Reserva legal</w:t>
            </w:r>
          </w:p>
        </w:tc>
        <w:tc>
          <w:tcPr>
            <w:tcW w:w="1140" w:type="pct"/>
            <w:tcBorders>
              <w:top w:val="nil"/>
              <w:left w:val="nil"/>
              <w:bottom w:val="nil"/>
              <w:right w:val="nil"/>
            </w:tcBorders>
            <w:shd w:val="clear" w:color="000000" w:fill="FFFFFF"/>
            <w:vAlign w:val="center"/>
          </w:tcPr>
          <w:p w14:paraId="26FC528F" w14:textId="77777777" w:rsidR="00E5416E" w:rsidRPr="007862F9" w:rsidRDefault="00E5416E" w:rsidP="00E5416E">
            <w:pPr>
              <w:keepNext/>
              <w:keepLines/>
              <w:jc w:val="right"/>
              <w:rPr>
                <w:rFonts w:ascii="Arial Narrow" w:hAnsi="Arial Narrow"/>
                <w:sz w:val="20"/>
                <w:lang w:eastAsia="es-ES"/>
              </w:rPr>
            </w:pPr>
            <w:r w:rsidRPr="007862F9">
              <w:rPr>
                <w:rFonts w:ascii="Arial Narrow" w:hAnsi="Arial Narrow"/>
                <w:sz w:val="20"/>
                <w:lang w:eastAsia="es-ES"/>
              </w:rPr>
              <w:t>502.444,36</w:t>
            </w:r>
          </w:p>
        </w:tc>
        <w:tc>
          <w:tcPr>
            <w:tcW w:w="1140" w:type="pct"/>
            <w:tcBorders>
              <w:top w:val="nil"/>
              <w:left w:val="nil"/>
              <w:bottom w:val="nil"/>
              <w:right w:val="nil"/>
            </w:tcBorders>
            <w:shd w:val="clear" w:color="000000" w:fill="FFFFFF"/>
            <w:vAlign w:val="center"/>
          </w:tcPr>
          <w:p w14:paraId="38F805E0" w14:textId="77777777" w:rsidR="00E5416E" w:rsidRPr="007862F9" w:rsidRDefault="00E5416E" w:rsidP="00E5416E">
            <w:pPr>
              <w:keepNext/>
              <w:keepLines/>
              <w:jc w:val="right"/>
              <w:rPr>
                <w:rFonts w:ascii="Arial Narrow" w:hAnsi="Arial Narrow"/>
                <w:sz w:val="20"/>
                <w:lang w:eastAsia="es-ES"/>
              </w:rPr>
            </w:pPr>
            <w:r w:rsidRPr="007862F9">
              <w:rPr>
                <w:rFonts w:ascii="Arial Narrow" w:hAnsi="Arial Narrow"/>
                <w:sz w:val="20"/>
                <w:lang w:eastAsia="es-ES"/>
              </w:rPr>
              <w:t>502.444,36</w:t>
            </w:r>
          </w:p>
        </w:tc>
      </w:tr>
      <w:tr w:rsidR="00E5416E" w:rsidRPr="007862F9" w14:paraId="31E016C3" w14:textId="77777777" w:rsidTr="00E5416E">
        <w:trPr>
          <w:trHeight w:val="255"/>
          <w:jc w:val="center"/>
        </w:trPr>
        <w:tc>
          <w:tcPr>
            <w:tcW w:w="2720" w:type="pct"/>
            <w:tcBorders>
              <w:top w:val="nil"/>
              <w:left w:val="nil"/>
              <w:bottom w:val="nil"/>
              <w:right w:val="nil"/>
            </w:tcBorders>
            <w:shd w:val="clear" w:color="000000" w:fill="FFFFFF"/>
            <w:vAlign w:val="center"/>
            <w:hideMark/>
          </w:tcPr>
          <w:p w14:paraId="6FB6E1DB" w14:textId="77777777" w:rsidR="00E5416E" w:rsidRPr="007862F9" w:rsidRDefault="00E5416E" w:rsidP="00E5416E">
            <w:pPr>
              <w:keepNext/>
              <w:keepLines/>
              <w:ind w:left="72"/>
              <w:rPr>
                <w:rFonts w:ascii="Arial Narrow" w:hAnsi="Arial Narrow"/>
                <w:b/>
                <w:bCs/>
                <w:sz w:val="20"/>
                <w:lang w:eastAsia="es-ES"/>
              </w:rPr>
            </w:pPr>
            <w:r w:rsidRPr="007862F9">
              <w:rPr>
                <w:rFonts w:ascii="Arial Narrow" w:hAnsi="Arial Narrow"/>
                <w:b/>
                <w:bCs/>
                <w:sz w:val="20"/>
                <w:lang w:eastAsia="es-ES"/>
              </w:rPr>
              <w:t>Otras reservas:</w:t>
            </w:r>
          </w:p>
        </w:tc>
        <w:tc>
          <w:tcPr>
            <w:tcW w:w="1140" w:type="pct"/>
            <w:tcBorders>
              <w:top w:val="nil"/>
              <w:left w:val="nil"/>
              <w:bottom w:val="nil"/>
              <w:right w:val="nil"/>
            </w:tcBorders>
            <w:shd w:val="clear" w:color="000000" w:fill="FFFFFF"/>
            <w:vAlign w:val="center"/>
          </w:tcPr>
          <w:p w14:paraId="5603944E" w14:textId="77777777" w:rsidR="00E5416E" w:rsidRPr="007862F9" w:rsidRDefault="00E5416E" w:rsidP="00E5416E">
            <w:pPr>
              <w:keepNext/>
              <w:keepLines/>
              <w:jc w:val="right"/>
              <w:rPr>
                <w:rFonts w:ascii="Arial Narrow" w:hAnsi="Arial Narrow"/>
                <w:sz w:val="20"/>
                <w:lang w:eastAsia="es-ES"/>
              </w:rPr>
            </w:pPr>
          </w:p>
        </w:tc>
        <w:tc>
          <w:tcPr>
            <w:tcW w:w="1140" w:type="pct"/>
            <w:tcBorders>
              <w:top w:val="nil"/>
              <w:left w:val="nil"/>
              <w:bottom w:val="nil"/>
              <w:right w:val="nil"/>
            </w:tcBorders>
            <w:shd w:val="clear" w:color="000000" w:fill="FFFFFF"/>
            <w:vAlign w:val="center"/>
          </w:tcPr>
          <w:p w14:paraId="625D5704" w14:textId="77777777" w:rsidR="00E5416E" w:rsidRPr="007862F9" w:rsidRDefault="00E5416E" w:rsidP="00E5416E">
            <w:pPr>
              <w:keepNext/>
              <w:keepLines/>
              <w:jc w:val="right"/>
              <w:rPr>
                <w:rFonts w:ascii="Arial Narrow" w:hAnsi="Arial Narrow"/>
                <w:sz w:val="20"/>
                <w:lang w:eastAsia="es-ES"/>
              </w:rPr>
            </w:pPr>
          </w:p>
        </w:tc>
      </w:tr>
      <w:tr w:rsidR="00E5416E" w:rsidRPr="007862F9" w14:paraId="61E4F75D" w14:textId="77777777" w:rsidTr="00E5416E">
        <w:trPr>
          <w:trHeight w:val="255"/>
          <w:jc w:val="center"/>
        </w:trPr>
        <w:tc>
          <w:tcPr>
            <w:tcW w:w="2720" w:type="pct"/>
            <w:tcBorders>
              <w:top w:val="nil"/>
              <w:left w:val="nil"/>
              <w:bottom w:val="nil"/>
              <w:right w:val="nil"/>
            </w:tcBorders>
            <w:shd w:val="clear" w:color="000000" w:fill="FFFFFF"/>
            <w:vAlign w:val="center"/>
            <w:hideMark/>
          </w:tcPr>
          <w:p w14:paraId="7CD5F64D" w14:textId="77777777" w:rsidR="00E5416E" w:rsidRPr="007862F9" w:rsidRDefault="00E5416E" w:rsidP="00E5416E">
            <w:pPr>
              <w:keepNext/>
              <w:keepLines/>
              <w:ind w:left="72"/>
              <w:rPr>
                <w:rFonts w:ascii="Arial Narrow" w:hAnsi="Arial Narrow"/>
                <w:sz w:val="20"/>
                <w:lang w:eastAsia="es-ES"/>
              </w:rPr>
            </w:pPr>
            <w:r w:rsidRPr="007862F9">
              <w:rPr>
                <w:rFonts w:ascii="Arial Narrow" w:hAnsi="Arial Narrow"/>
                <w:sz w:val="20"/>
                <w:lang w:eastAsia="es-ES"/>
              </w:rPr>
              <w:t>- Reservas voluntarias</w:t>
            </w:r>
          </w:p>
        </w:tc>
        <w:tc>
          <w:tcPr>
            <w:tcW w:w="1140" w:type="pct"/>
            <w:tcBorders>
              <w:top w:val="nil"/>
              <w:left w:val="nil"/>
              <w:bottom w:val="nil"/>
              <w:right w:val="nil"/>
            </w:tcBorders>
            <w:shd w:val="clear" w:color="000000" w:fill="FFFFFF"/>
            <w:vAlign w:val="center"/>
          </w:tcPr>
          <w:p w14:paraId="3756E268" w14:textId="77777777" w:rsidR="00E5416E" w:rsidRPr="007862F9" w:rsidRDefault="00E5416E" w:rsidP="00E5416E">
            <w:pPr>
              <w:keepNext/>
              <w:keepLines/>
              <w:jc w:val="right"/>
              <w:rPr>
                <w:rFonts w:ascii="Arial Narrow" w:hAnsi="Arial Narrow"/>
                <w:sz w:val="20"/>
                <w:lang w:eastAsia="es-ES"/>
              </w:rPr>
            </w:pPr>
            <w:r w:rsidRPr="00E5416E">
              <w:rPr>
                <w:rFonts w:ascii="Arial Narrow" w:hAnsi="Arial Narrow"/>
                <w:sz w:val="20"/>
                <w:lang w:eastAsia="es-ES"/>
              </w:rPr>
              <w:t>504.614,88</w:t>
            </w:r>
          </w:p>
        </w:tc>
        <w:tc>
          <w:tcPr>
            <w:tcW w:w="1140" w:type="pct"/>
            <w:tcBorders>
              <w:top w:val="nil"/>
              <w:left w:val="nil"/>
              <w:bottom w:val="nil"/>
              <w:right w:val="nil"/>
            </w:tcBorders>
            <w:shd w:val="clear" w:color="000000" w:fill="FFFFFF"/>
            <w:vAlign w:val="center"/>
          </w:tcPr>
          <w:p w14:paraId="1B388221" w14:textId="77777777" w:rsidR="00E5416E" w:rsidRPr="007862F9" w:rsidRDefault="00E5416E" w:rsidP="00E5416E">
            <w:pPr>
              <w:keepNext/>
              <w:keepLines/>
              <w:jc w:val="right"/>
              <w:rPr>
                <w:rFonts w:ascii="Arial Narrow" w:hAnsi="Arial Narrow"/>
                <w:sz w:val="20"/>
                <w:lang w:eastAsia="es-ES"/>
              </w:rPr>
            </w:pPr>
            <w:r w:rsidRPr="007862F9">
              <w:rPr>
                <w:rFonts w:ascii="Arial Narrow" w:hAnsi="Arial Narrow"/>
                <w:sz w:val="20"/>
                <w:lang w:eastAsia="es-ES"/>
              </w:rPr>
              <w:t>503.414,88</w:t>
            </w:r>
          </w:p>
        </w:tc>
      </w:tr>
      <w:tr w:rsidR="00E5416E" w:rsidRPr="007862F9" w14:paraId="36E3FE90" w14:textId="77777777" w:rsidTr="00E5416E">
        <w:trPr>
          <w:trHeight w:val="283"/>
          <w:jc w:val="center"/>
        </w:trPr>
        <w:tc>
          <w:tcPr>
            <w:tcW w:w="2720" w:type="pct"/>
            <w:tcBorders>
              <w:top w:val="nil"/>
              <w:left w:val="nil"/>
              <w:bottom w:val="nil"/>
              <w:right w:val="nil"/>
            </w:tcBorders>
            <w:shd w:val="clear" w:color="000000" w:fill="F2F2F2"/>
            <w:noWrap/>
            <w:vAlign w:val="center"/>
            <w:hideMark/>
          </w:tcPr>
          <w:p w14:paraId="27F2A0A6" w14:textId="77777777" w:rsidR="00E5416E" w:rsidRPr="007862F9" w:rsidRDefault="00E5416E" w:rsidP="00E5416E">
            <w:pPr>
              <w:keepNext/>
              <w:keepLines/>
              <w:ind w:left="72"/>
              <w:rPr>
                <w:rFonts w:ascii="Arial Narrow" w:hAnsi="Arial Narrow"/>
                <w:b/>
                <w:bCs/>
                <w:sz w:val="20"/>
                <w:lang w:eastAsia="es-ES"/>
              </w:rPr>
            </w:pPr>
            <w:r w:rsidRPr="007862F9">
              <w:rPr>
                <w:rFonts w:ascii="Arial Narrow" w:hAnsi="Arial Narrow"/>
                <w:b/>
                <w:bCs/>
                <w:sz w:val="20"/>
                <w:lang w:eastAsia="es-ES"/>
              </w:rPr>
              <w:t>Total Reservas</w:t>
            </w:r>
          </w:p>
        </w:tc>
        <w:tc>
          <w:tcPr>
            <w:tcW w:w="1140" w:type="pct"/>
            <w:tcBorders>
              <w:top w:val="nil"/>
              <w:left w:val="nil"/>
              <w:bottom w:val="nil"/>
              <w:right w:val="nil"/>
            </w:tcBorders>
            <w:shd w:val="clear" w:color="000000" w:fill="F2F2F2"/>
            <w:noWrap/>
            <w:vAlign w:val="center"/>
          </w:tcPr>
          <w:p w14:paraId="2209CF6E" w14:textId="77777777" w:rsidR="00E5416E" w:rsidRPr="007862F9" w:rsidRDefault="00E5416E" w:rsidP="00E5416E">
            <w:pPr>
              <w:keepNext/>
              <w:keepLines/>
              <w:jc w:val="right"/>
              <w:rPr>
                <w:rFonts w:ascii="Arial Narrow" w:hAnsi="Arial Narrow"/>
                <w:b/>
                <w:bCs/>
                <w:sz w:val="20"/>
                <w:lang w:eastAsia="es-ES"/>
              </w:rPr>
            </w:pPr>
            <w:r w:rsidRPr="00E5416E">
              <w:rPr>
                <w:rFonts w:ascii="Arial Narrow" w:hAnsi="Arial Narrow"/>
                <w:b/>
                <w:bCs/>
                <w:sz w:val="20"/>
                <w:lang w:eastAsia="es-ES"/>
              </w:rPr>
              <w:t>1.007.059,24</w:t>
            </w:r>
          </w:p>
        </w:tc>
        <w:tc>
          <w:tcPr>
            <w:tcW w:w="1140" w:type="pct"/>
            <w:tcBorders>
              <w:top w:val="nil"/>
              <w:left w:val="nil"/>
              <w:bottom w:val="nil"/>
              <w:right w:val="nil"/>
            </w:tcBorders>
            <w:shd w:val="clear" w:color="000000" w:fill="F2F2F2"/>
            <w:vAlign w:val="center"/>
          </w:tcPr>
          <w:p w14:paraId="6D67819B" w14:textId="77777777" w:rsidR="00E5416E" w:rsidRPr="007862F9" w:rsidRDefault="00E5416E" w:rsidP="00E5416E">
            <w:pPr>
              <w:keepNext/>
              <w:keepLines/>
              <w:jc w:val="right"/>
              <w:rPr>
                <w:rFonts w:ascii="Arial Narrow" w:hAnsi="Arial Narrow"/>
                <w:b/>
                <w:bCs/>
                <w:sz w:val="20"/>
                <w:lang w:eastAsia="es-ES"/>
              </w:rPr>
            </w:pPr>
            <w:r w:rsidRPr="007862F9">
              <w:rPr>
                <w:rFonts w:ascii="Arial Narrow" w:hAnsi="Arial Narrow"/>
                <w:b/>
                <w:bCs/>
                <w:sz w:val="20"/>
                <w:lang w:eastAsia="es-ES"/>
              </w:rPr>
              <w:t>1.005.859,24</w:t>
            </w:r>
          </w:p>
        </w:tc>
      </w:tr>
    </w:tbl>
    <w:p w14:paraId="63A9997A" w14:textId="77777777" w:rsidR="005F13DD" w:rsidRPr="007862F9" w:rsidRDefault="005F13DD" w:rsidP="005F13DD">
      <w:pPr>
        <w:spacing w:before="200" w:after="120"/>
        <w:jc w:val="both"/>
        <w:rPr>
          <w:rFonts w:ascii="Arial Narrow" w:hAnsi="Arial Narrow" w:cs="Arial"/>
          <w:sz w:val="24"/>
          <w:szCs w:val="24"/>
          <w:u w:val="single"/>
        </w:rPr>
      </w:pPr>
      <w:r w:rsidRPr="007862F9">
        <w:rPr>
          <w:rFonts w:ascii="Arial Narrow" w:hAnsi="Arial Narrow" w:cs="Arial"/>
          <w:sz w:val="24"/>
          <w:szCs w:val="24"/>
          <w:u w:val="single"/>
        </w:rPr>
        <w:t>Reserva legal</w:t>
      </w:r>
    </w:p>
    <w:p w14:paraId="7C71BBE0" w14:textId="77777777" w:rsidR="005F13DD" w:rsidRPr="007862F9" w:rsidRDefault="005F13DD" w:rsidP="005F13DD">
      <w:pPr>
        <w:spacing w:before="120"/>
        <w:jc w:val="both"/>
        <w:rPr>
          <w:rFonts w:ascii="Arial Narrow" w:hAnsi="Arial Narrow" w:cs="Arial"/>
          <w:spacing w:val="-2"/>
          <w:sz w:val="24"/>
          <w:szCs w:val="24"/>
        </w:rPr>
      </w:pPr>
      <w:r w:rsidRPr="007862F9">
        <w:rPr>
          <w:rFonts w:ascii="Arial Narrow" w:hAnsi="Arial Narrow" w:cs="Arial"/>
          <w:spacing w:val="-2"/>
          <w:sz w:val="24"/>
          <w:szCs w:val="24"/>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En el ejercicio 2007 se completó la dotación de la reserva legal, hasta el límite del 20% del capital social, conforme establece la Ley de Sociedades Capital.</w:t>
      </w:r>
    </w:p>
    <w:p w14:paraId="3241896C" w14:textId="77777777" w:rsidR="005F13DD" w:rsidRPr="007862F9" w:rsidRDefault="005F13DD" w:rsidP="005F13DD">
      <w:pPr>
        <w:spacing w:before="120"/>
        <w:jc w:val="both"/>
        <w:rPr>
          <w:rFonts w:ascii="Arial Narrow" w:hAnsi="Arial Narrow" w:cs="Arial"/>
          <w:spacing w:val="-2"/>
          <w:sz w:val="24"/>
          <w:szCs w:val="24"/>
        </w:rPr>
      </w:pPr>
      <w:r w:rsidRPr="007862F9">
        <w:rPr>
          <w:rFonts w:ascii="Arial Narrow" w:hAnsi="Arial Narrow" w:cs="Arial"/>
          <w:spacing w:val="-2"/>
          <w:sz w:val="24"/>
          <w:szCs w:val="24"/>
        </w:rPr>
        <w:t>No puede ser distribuida y si es usada para compensar pérdidas, en el caso de que no existan otras reservas disponibles suficientes para tal fin, debe ser repuesta con beneficios futuros.</w:t>
      </w:r>
    </w:p>
    <w:p w14:paraId="1741B041" w14:textId="77777777" w:rsidR="005F13DD" w:rsidRPr="007862F9" w:rsidRDefault="005F13DD" w:rsidP="005F13DD">
      <w:pPr>
        <w:spacing w:before="120"/>
        <w:jc w:val="both"/>
        <w:rPr>
          <w:rFonts w:ascii="Arial Narrow" w:hAnsi="Arial Narrow" w:cs="Arial"/>
          <w:spacing w:val="-2"/>
          <w:sz w:val="24"/>
          <w:szCs w:val="24"/>
        </w:rPr>
      </w:pPr>
    </w:p>
    <w:p w14:paraId="4E13740C" w14:textId="23009EFC" w:rsidR="005F13DD" w:rsidRPr="007862F9" w:rsidRDefault="005F13DD" w:rsidP="00E024E8">
      <w:pPr>
        <w:pStyle w:val="Prrafodelista"/>
        <w:keepNext/>
        <w:keepLines/>
        <w:numPr>
          <w:ilvl w:val="0"/>
          <w:numId w:val="11"/>
        </w:numPr>
        <w:rPr>
          <w:rFonts w:ascii="Arial Narrow" w:hAnsi="Arial Narrow" w:cs="Arial"/>
          <w:sz w:val="24"/>
          <w:szCs w:val="24"/>
        </w:rPr>
      </w:pPr>
      <w:r w:rsidRPr="007862F9">
        <w:rPr>
          <w:rFonts w:ascii="Arial Narrow" w:hAnsi="Arial Narrow" w:cs="Arial"/>
          <w:sz w:val="24"/>
          <w:szCs w:val="24"/>
        </w:rPr>
        <w:tab/>
      </w:r>
      <w:r w:rsidRPr="00E024E8">
        <w:rPr>
          <w:rFonts w:ascii="Arial Narrow" w:hAnsi="Arial Narrow" w:cs="Arial"/>
          <w:sz w:val="24"/>
          <w:szCs w:val="24"/>
        </w:rPr>
        <w:t>Aportaciones de socios</w:t>
      </w:r>
    </w:p>
    <w:p w14:paraId="5B57C04E" w14:textId="77777777" w:rsidR="005F13DD" w:rsidRPr="007862F9" w:rsidRDefault="005F13DD" w:rsidP="005F13DD">
      <w:pPr>
        <w:keepNext/>
        <w:keepLines/>
        <w:spacing w:before="120"/>
        <w:jc w:val="both"/>
        <w:rPr>
          <w:rFonts w:ascii="Arial Narrow" w:hAnsi="Arial Narrow" w:cs="Arial"/>
          <w:spacing w:val="-2"/>
          <w:sz w:val="24"/>
          <w:szCs w:val="24"/>
        </w:rPr>
      </w:pPr>
      <w:r w:rsidRPr="007862F9">
        <w:rPr>
          <w:rFonts w:ascii="Arial Narrow" w:hAnsi="Arial Narrow" w:cs="Arial"/>
          <w:spacing w:val="-2"/>
          <w:sz w:val="24"/>
          <w:szCs w:val="24"/>
        </w:rPr>
        <w:t>Corresponde a las transferencias realizadas por el accionista único de la Sociedad con el objeto de financiar gastos generales de funcionamiento, no asociados con ninguna actividad o área de actividad en concreto, sino con el conjunto de actividades que realiza la Sociedad.</w:t>
      </w:r>
    </w:p>
    <w:p w14:paraId="50796945" w14:textId="77777777" w:rsidR="00CF3706" w:rsidRDefault="00CF3706" w:rsidP="00F84E35">
      <w:pPr>
        <w:jc w:val="both"/>
        <w:rPr>
          <w:rFonts w:ascii="Arial Narrow" w:hAnsi="Arial Narrow" w:cs="Arial"/>
          <w:spacing w:val="-2"/>
          <w:szCs w:val="22"/>
        </w:rPr>
      </w:pPr>
    </w:p>
    <w:p w14:paraId="730F1A91" w14:textId="77777777" w:rsidR="00DD368E" w:rsidRDefault="00230948" w:rsidP="005F665F">
      <w:pPr>
        <w:widowControl w:val="0"/>
        <w:spacing w:before="120" w:after="120"/>
        <w:rPr>
          <w:rFonts w:ascii="Arial Narrow" w:hAnsi="Arial Narrow" w:cs="Arial"/>
          <w:b/>
          <w:caps/>
          <w:snapToGrid w:val="0"/>
          <w:sz w:val="24"/>
          <w:szCs w:val="24"/>
          <w:u w:val="single"/>
          <w:lang w:eastAsia="es-ES"/>
        </w:rPr>
      </w:pPr>
      <w:r w:rsidRPr="007862F9">
        <w:rPr>
          <w:rFonts w:ascii="Arial Narrow" w:hAnsi="Arial Narrow" w:cs="Arial"/>
          <w:b/>
          <w:caps/>
          <w:snapToGrid w:val="0"/>
          <w:sz w:val="24"/>
          <w:szCs w:val="24"/>
          <w:lang w:eastAsia="es-ES"/>
        </w:rPr>
        <w:t>nota 10</w:t>
      </w:r>
      <w:r w:rsidR="005F665F" w:rsidRPr="007862F9">
        <w:rPr>
          <w:rFonts w:ascii="Arial Narrow" w:hAnsi="Arial Narrow" w:cs="Arial"/>
          <w:b/>
          <w:caps/>
          <w:snapToGrid w:val="0"/>
          <w:sz w:val="24"/>
          <w:szCs w:val="24"/>
          <w:lang w:eastAsia="es-ES"/>
        </w:rPr>
        <w:t xml:space="preserve">. </w:t>
      </w:r>
      <w:r w:rsidR="003F5254" w:rsidRPr="007862F9">
        <w:rPr>
          <w:rFonts w:ascii="Arial Narrow" w:hAnsi="Arial Narrow" w:cs="Arial"/>
          <w:b/>
          <w:caps/>
          <w:snapToGrid w:val="0"/>
          <w:sz w:val="24"/>
          <w:szCs w:val="24"/>
          <w:u w:val="single"/>
          <w:lang w:eastAsia="es-ES"/>
        </w:rPr>
        <w:t>SITUACIÓN FISCAL</w:t>
      </w:r>
    </w:p>
    <w:p w14:paraId="257B22D7" w14:textId="77777777" w:rsidR="009A25C2" w:rsidRDefault="00D6097D" w:rsidP="00CF3706">
      <w:pPr>
        <w:spacing w:before="120" w:after="120"/>
        <w:jc w:val="both"/>
        <w:rPr>
          <w:rFonts w:ascii="Arial Narrow" w:hAnsi="Arial Narrow" w:cs="Arial"/>
          <w:b/>
          <w:spacing w:val="-2"/>
          <w:sz w:val="24"/>
          <w:szCs w:val="24"/>
          <w:u w:val="single"/>
        </w:rPr>
      </w:pPr>
      <w:r w:rsidRPr="007862F9">
        <w:rPr>
          <w:rFonts w:ascii="Arial Narrow" w:hAnsi="Arial Narrow" w:cs="Arial"/>
          <w:b/>
          <w:spacing w:val="-2"/>
          <w:sz w:val="24"/>
          <w:szCs w:val="24"/>
        </w:rPr>
        <w:t>1</w:t>
      </w:r>
      <w:r w:rsidR="00230948" w:rsidRPr="007862F9">
        <w:rPr>
          <w:rFonts w:ascii="Arial Narrow" w:hAnsi="Arial Narrow" w:cs="Arial"/>
          <w:b/>
          <w:spacing w:val="-2"/>
          <w:sz w:val="24"/>
          <w:szCs w:val="24"/>
        </w:rPr>
        <w:t>0</w:t>
      </w:r>
      <w:r w:rsidRPr="007862F9">
        <w:rPr>
          <w:rFonts w:ascii="Arial Narrow" w:hAnsi="Arial Narrow" w:cs="Arial"/>
          <w:b/>
          <w:spacing w:val="-2"/>
          <w:sz w:val="24"/>
          <w:szCs w:val="24"/>
        </w:rPr>
        <w:t>.</w:t>
      </w:r>
      <w:r w:rsidR="005F665F" w:rsidRPr="007862F9">
        <w:rPr>
          <w:rFonts w:ascii="Arial Narrow" w:hAnsi="Arial Narrow" w:cs="Arial"/>
          <w:b/>
          <w:spacing w:val="-2"/>
          <w:sz w:val="24"/>
          <w:szCs w:val="24"/>
        </w:rPr>
        <w:t>1</w:t>
      </w:r>
      <w:r w:rsidRPr="007862F9">
        <w:rPr>
          <w:rFonts w:ascii="Arial Narrow" w:hAnsi="Arial Narrow" w:cs="Arial"/>
          <w:b/>
          <w:spacing w:val="-2"/>
          <w:sz w:val="24"/>
          <w:szCs w:val="24"/>
        </w:rPr>
        <w:t>.</w:t>
      </w:r>
      <w:r w:rsidR="005F665F" w:rsidRPr="007862F9">
        <w:rPr>
          <w:rFonts w:ascii="Arial Narrow" w:hAnsi="Arial Narrow" w:cs="Arial"/>
          <w:spacing w:val="-2"/>
          <w:sz w:val="24"/>
          <w:szCs w:val="24"/>
        </w:rPr>
        <w:t xml:space="preserve"> </w:t>
      </w:r>
      <w:r w:rsidR="005F665F" w:rsidRPr="007862F9">
        <w:rPr>
          <w:rFonts w:ascii="Arial Narrow" w:hAnsi="Arial Narrow" w:cs="Arial"/>
          <w:b/>
          <w:spacing w:val="-2"/>
          <w:sz w:val="24"/>
          <w:szCs w:val="24"/>
          <w:u w:val="single"/>
        </w:rPr>
        <w:t>Saldos con las Administraciones Públicas</w:t>
      </w:r>
    </w:p>
    <w:p w14:paraId="0A6C52B8" w14:textId="5754B809" w:rsidR="00E5416E" w:rsidRDefault="005E46B7" w:rsidP="00E5416E">
      <w:pPr>
        <w:spacing w:before="120" w:after="120"/>
        <w:jc w:val="both"/>
        <w:rPr>
          <w:rFonts w:ascii="Arial Narrow" w:hAnsi="Arial Narrow" w:cs="Arial"/>
          <w:spacing w:val="-2"/>
          <w:sz w:val="24"/>
          <w:szCs w:val="24"/>
        </w:rPr>
      </w:pPr>
      <w:r w:rsidRPr="007862F9">
        <w:rPr>
          <w:rFonts w:ascii="Arial Narrow" w:hAnsi="Arial Narrow" w:cs="Arial"/>
          <w:spacing w:val="-2"/>
          <w:sz w:val="24"/>
          <w:szCs w:val="24"/>
        </w:rPr>
        <w:t>El detalle de saldos con las Administracio</w:t>
      </w:r>
      <w:r w:rsidR="00DD368E" w:rsidRPr="007862F9">
        <w:rPr>
          <w:rFonts w:ascii="Arial Narrow" w:hAnsi="Arial Narrow" w:cs="Arial"/>
          <w:spacing w:val="-2"/>
          <w:sz w:val="24"/>
          <w:szCs w:val="24"/>
        </w:rPr>
        <w:t>n</w:t>
      </w:r>
      <w:r w:rsidRPr="007862F9">
        <w:rPr>
          <w:rFonts w:ascii="Arial Narrow" w:hAnsi="Arial Narrow" w:cs="Arial"/>
          <w:spacing w:val="-2"/>
          <w:sz w:val="24"/>
          <w:szCs w:val="24"/>
        </w:rPr>
        <w:t>es</w:t>
      </w:r>
      <w:r w:rsidR="00DD368E" w:rsidRPr="007862F9">
        <w:rPr>
          <w:rFonts w:ascii="Arial Narrow" w:hAnsi="Arial Narrow" w:cs="Arial"/>
          <w:spacing w:val="-2"/>
          <w:sz w:val="24"/>
          <w:szCs w:val="24"/>
        </w:rPr>
        <w:t xml:space="preserve"> Pública</w:t>
      </w:r>
      <w:r w:rsidRPr="007862F9">
        <w:rPr>
          <w:rFonts w:ascii="Arial Narrow" w:hAnsi="Arial Narrow" w:cs="Arial"/>
          <w:spacing w:val="-2"/>
          <w:sz w:val="24"/>
          <w:szCs w:val="24"/>
        </w:rPr>
        <w:t xml:space="preserve">s al cierre </w:t>
      </w:r>
      <w:r w:rsidRPr="00294035">
        <w:rPr>
          <w:rFonts w:ascii="Arial Narrow" w:hAnsi="Arial Narrow" w:cs="Arial"/>
          <w:spacing w:val="-2"/>
          <w:sz w:val="24"/>
          <w:szCs w:val="24"/>
        </w:rPr>
        <w:t xml:space="preserve">de los </w:t>
      </w:r>
      <w:r w:rsidR="002925F0" w:rsidRPr="00032181">
        <w:rPr>
          <w:rFonts w:ascii="Arial Narrow" w:hAnsi="Arial Narrow" w:cs="Arial"/>
          <w:spacing w:val="-2"/>
          <w:sz w:val="24"/>
          <w:szCs w:val="24"/>
        </w:rPr>
        <w:t xml:space="preserve">ejercicios </w:t>
      </w:r>
      <w:r w:rsidR="00E155C5" w:rsidRPr="00032181">
        <w:rPr>
          <w:rFonts w:ascii="Arial Narrow" w:hAnsi="Arial Narrow" w:cs="Arial"/>
          <w:spacing w:val="-2"/>
          <w:sz w:val="24"/>
          <w:szCs w:val="24"/>
        </w:rPr>
        <w:t>201</w:t>
      </w:r>
      <w:r w:rsidR="00E5416E">
        <w:rPr>
          <w:rFonts w:ascii="Arial Narrow" w:hAnsi="Arial Narrow" w:cs="Arial"/>
          <w:spacing w:val="-2"/>
          <w:sz w:val="24"/>
          <w:szCs w:val="24"/>
        </w:rPr>
        <w:t>9</w:t>
      </w:r>
      <w:r w:rsidR="00E155C5" w:rsidRPr="00032181">
        <w:rPr>
          <w:rFonts w:ascii="Arial Narrow" w:hAnsi="Arial Narrow" w:cs="Arial"/>
          <w:spacing w:val="-2"/>
          <w:sz w:val="24"/>
          <w:szCs w:val="24"/>
        </w:rPr>
        <w:t xml:space="preserve"> </w:t>
      </w:r>
      <w:r w:rsidR="002925F0" w:rsidRPr="00032181">
        <w:rPr>
          <w:rFonts w:ascii="Arial Narrow" w:hAnsi="Arial Narrow" w:cs="Arial"/>
          <w:spacing w:val="-2"/>
          <w:sz w:val="24"/>
          <w:szCs w:val="24"/>
        </w:rPr>
        <w:t xml:space="preserve">y </w:t>
      </w:r>
      <w:r w:rsidR="00E155C5" w:rsidRPr="00032181">
        <w:rPr>
          <w:rFonts w:ascii="Arial Narrow" w:hAnsi="Arial Narrow" w:cs="Arial"/>
          <w:spacing w:val="-2"/>
          <w:sz w:val="24"/>
          <w:szCs w:val="24"/>
        </w:rPr>
        <w:t>201</w:t>
      </w:r>
      <w:r w:rsidR="00E5416E">
        <w:rPr>
          <w:rFonts w:ascii="Arial Narrow" w:hAnsi="Arial Narrow" w:cs="Arial"/>
          <w:spacing w:val="-2"/>
          <w:sz w:val="24"/>
          <w:szCs w:val="24"/>
        </w:rPr>
        <w:t>8</w:t>
      </w:r>
      <w:r w:rsidR="00E155C5" w:rsidRPr="00032181">
        <w:rPr>
          <w:rFonts w:ascii="Arial Narrow" w:hAnsi="Arial Narrow" w:cs="Arial"/>
          <w:spacing w:val="-2"/>
          <w:sz w:val="24"/>
          <w:szCs w:val="24"/>
        </w:rPr>
        <w:t xml:space="preserve"> </w:t>
      </w:r>
      <w:r w:rsidRPr="00294035">
        <w:rPr>
          <w:rFonts w:ascii="Arial Narrow" w:hAnsi="Arial Narrow" w:cs="Arial"/>
          <w:spacing w:val="-2"/>
          <w:sz w:val="24"/>
          <w:szCs w:val="24"/>
        </w:rPr>
        <w:t xml:space="preserve">es el </w:t>
      </w:r>
      <w:r w:rsidRPr="007862F9">
        <w:rPr>
          <w:rFonts w:ascii="Arial Narrow" w:hAnsi="Arial Narrow" w:cs="Arial"/>
          <w:spacing w:val="-2"/>
          <w:sz w:val="24"/>
          <w:szCs w:val="24"/>
        </w:rPr>
        <w:t>siguiente, en euros:</w:t>
      </w:r>
    </w:p>
    <w:p w14:paraId="48618F36" w14:textId="77777777" w:rsidR="00E5416E" w:rsidRDefault="00E5416E" w:rsidP="00E5416E">
      <w:pPr>
        <w:spacing w:before="120" w:after="120"/>
        <w:jc w:val="both"/>
        <w:rPr>
          <w:rFonts w:ascii="Arial Narrow" w:hAnsi="Arial Narrow" w:cs="Arial"/>
          <w:spacing w:val="-2"/>
          <w:sz w:val="24"/>
          <w:szCs w:val="24"/>
        </w:rPr>
      </w:pPr>
      <w:r w:rsidRPr="00E5416E">
        <w:rPr>
          <w:noProof/>
          <w:lang w:val="es-ES" w:eastAsia="es-ES"/>
        </w:rPr>
        <w:drawing>
          <wp:inline distT="0" distB="0" distL="0" distR="0" wp14:anchorId="2E7E2DCE" wp14:editId="39AFFBDF">
            <wp:extent cx="5486400" cy="2105025"/>
            <wp:effectExtent l="0" t="0" r="0"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2105025"/>
                    </a:xfrm>
                    <a:prstGeom prst="rect">
                      <a:avLst/>
                    </a:prstGeom>
                    <a:noFill/>
                    <a:ln>
                      <a:noFill/>
                    </a:ln>
                  </pic:spPr>
                </pic:pic>
              </a:graphicData>
            </a:graphic>
          </wp:inline>
        </w:drawing>
      </w:r>
    </w:p>
    <w:p w14:paraId="61BFE880" w14:textId="77777777" w:rsidR="00E5416E" w:rsidRDefault="00E5416E" w:rsidP="00E5416E">
      <w:pPr>
        <w:spacing w:before="120" w:after="120"/>
        <w:jc w:val="both"/>
        <w:rPr>
          <w:rFonts w:ascii="Arial Narrow" w:hAnsi="Arial Narrow" w:cs="Arial"/>
          <w:spacing w:val="-2"/>
          <w:sz w:val="24"/>
          <w:szCs w:val="24"/>
        </w:rPr>
      </w:pPr>
    </w:p>
    <w:p w14:paraId="1A476732" w14:textId="7EAB7FD8" w:rsidR="00DD368E" w:rsidRPr="00E92472" w:rsidRDefault="00DD368E" w:rsidP="00E5416E">
      <w:pPr>
        <w:spacing w:before="120" w:after="120"/>
        <w:jc w:val="both"/>
        <w:rPr>
          <w:rFonts w:ascii="Arial Narrow" w:hAnsi="Arial Narrow" w:cs="Arial"/>
          <w:spacing w:val="-2"/>
          <w:sz w:val="24"/>
          <w:szCs w:val="24"/>
        </w:rPr>
      </w:pPr>
      <w:r w:rsidRPr="00E92472">
        <w:rPr>
          <w:rFonts w:ascii="Arial Narrow" w:hAnsi="Arial Narrow" w:cs="Arial"/>
          <w:spacing w:val="-2"/>
          <w:sz w:val="24"/>
          <w:szCs w:val="24"/>
        </w:rPr>
        <w:t>Según establece la legislación vigente, los impuestos no pueden considerarse definitivamente liquidados hasta que las declaraciones presentadas hayan sido inspeccionadas por las autoridades fiscales, o haya transcurrido el plazo de prescripción de cuatro años.</w:t>
      </w:r>
    </w:p>
    <w:p w14:paraId="23F004D6" w14:textId="77777777" w:rsidR="006C576B" w:rsidRPr="00E92472" w:rsidRDefault="006C576B" w:rsidP="00C87184">
      <w:pPr>
        <w:keepNext/>
        <w:keepLines/>
        <w:spacing w:before="120" w:after="120"/>
        <w:jc w:val="both"/>
        <w:rPr>
          <w:rFonts w:ascii="Arial Narrow" w:hAnsi="Arial Narrow" w:cs="Arial"/>
          <w:spacing w:val="-2"/>
          <w:sz w:val="24"/>
          <w:szCs w:val="24"/>
        </w:rPr>
      </w:pPr>
      <w:r w:rsidRPr="00E92472">
        <w:rPr>
          <w:rFonts w:ascii="Arial Narrow" w:hAnsi="Arial Narrow" w:cs="Arial"/>
          <w:spacing w:val="-2"/>
          <w:sz w:val="24"/>
          <w:szCs w:val="24"/>
        </w:rPr>
        <w:t>Los ejercicios abiertos a inspección para los principales impuestos a los que está sujeta la Sociedad son los siguientes:</w:t>
      </w:r>
    </w:p>
    <w:tbl>
      <w:tblPr>
        <w:tblW w:w="5670" w:type="dxa"/>
        <w:jc w:val="center"/>
        <w:tblCellMar>
          <w:left w:w="70" w:type="dxa"/>
          <w:right w:w="70" w:type="dxa"/>
        </w:tblCellMar>
        <w:tblLook w:val="04A0" w:firstRow="1" w:lastRow="0" w:firstColumn="1" w:lastColumn="0" w:noHBand="0" w:noVBand="1"/>
      </w:tblPr>
      <w:tblGrid>
        <w:gridCol w:w="3970"/>
        <w:gridCol w:w="1700"/>
      </w:tblGrid>
      <w:tr w:rsidR="00F56ADE" w:rsidRPr="00E92472" w14:paraId="0458F004" w14:textId="77777777" w:rsidTr="00C87184">
        <w:trPr>
          <w:trHeight w:val="272"/>
          <w:jc w:val="center"/>
        </w:trPr>
        <w:tc>
          <w:tcPr>
            <w:tcW w:w="3970" w:type="dxa"/>
            <w:tcBorders>
              <w:top w:val="nil"/>
              <w:left w:val="nil"/>
              <w:bottom w:val="nil"/>
              <w:right w:val="nil"/>
            </w:tcBorders>
            <w:shd w:val="clear" w:color="auto" w:fill="D9D9D9" w:themeFill="background1" w:themeFillShade="D9"/>
            <w:noWrap/>
            <w:vAlign w:val="center"/>
            <w:hideMark/>
          </w:tcPr>
          <w:p w14:paraId="49F65325" w14:textId="77777777" w:rsidR="005E46B7" w:rsidRPr="00A152F3" w:rsidRDefault="005E46B7" w:rsidP="00C87184">
            <w:pPr>
              <w:keepNext/>
              <w:keepLines/>
              <w:ind w:left="214"/>
              <w:rPr>
                <w:rFonts w:ascii="Arial Narrow" w:hAnsi="Arial Narrow"/>
                <w:b/>
                <w:sz w:val="20"/>
                <w:lang w:eastAsia="es-ES"/>
              </w:rPr>
            </w:pPr>
          </w:p>
        </w:tc>
        <w:tc>
          <w:tcPr>
            <w:tcW w:w="1700" w:type="dxa"/>
            <w:tcBorders>
              <w:top w:val="nil"/>
              <w:left w:val="nil"/>
              <w:bottom w:val="nil"/>
              <w:right w:val="nil"/>
            </w:tcBorders>
            <w:shd w:val="clear" w:color="auto" w:fill="D9D9D9" w:themeFill="background1" w:themeFillShade="D9"/>
            <w:vAlign w:val="bottom"/>
            <w:hideMark/>
          </w:tcPr>
          <w:p w14:paraId="09E07E46" w14:textId="77777777" w:rsidR="005E46B7" w:rsidRPr="00A152F3" w:rsidRDefault="005E46B7" w:rsidP="00C87184">
            <w:pPr>
              <w:keepNext/>
              <w:keepLines/>
              <w:jc w:val="center"/>
              <w:rPr>
                <w:rFonts w:ascii="Arial Narrow" w:hAnsi="Arial Narrow"/>
                <w:b/>
                <w:sz w:val="20"/>
                <w:lang w:eastAsia="es-ES"/>
              </w:rPr>
            </w:pPr>
            <w:r w:rsidRPr="00A152F3">
              <w:rPr>
                <w:rFonts w:ascii="Arial Narrow" w:hAnsi="Arial Narrow"/>
                <w:b/>
                <w:sz w:val="20"/>
                <w:lang w:eastAsia="es-ES"/>
              </w:rPr>
              <w:t>Ejercicios</w:t>
            </w:r>
          </w:p>
        </w:tc>
      </w:tr>
      <w:tr w:rsidR="00F56ADE" w:rsidRPr="00E92472" w14:paraId="1E9A7B7B" w14:textId="77777777" w:rsidTr="00C87184">
        <w:trPr>
          <w:trHeight w:val="272"/>
          <w:jc w:val="center"/>
        </w:trPr>
        <w:tc>
          <w:tcPr>
            <w:tcW w:w="3970" w:type="dxa"/>
            <w:tcBorders>
              <w:top w:val="nil"/>
              <w:left w:val="nil"/>
              <w:bottom w:val="nil"/>
              <w:right w:val="nil"/>
            </w:tcBorders>
            <w:shd w:val="clear" w:color="000000" w:fill="FFFFFF"/>
            <w:noWrap/>
            <w:vAlign w:val="center"/>
            <w:hideMark/>
          </w:tcPr>
          <w:p w14:paraId="62FC7FD9" w14:textId="77777777" w:rsidR="005E46B7" w:rsidRPr="00A152F3" w:rsidRDefault="005E46B7" w:rsidP="00C87184">
            <w:pPr>
              <w:keepNext/>
              <w:keepLines/>
              <w:ind w:left="214"/>
              <w:rPr>
                <w:rFonts w:ascii="Arial Narrow" w:hAnsi="Arial Narrow"/>
                <w:sz w:val="20"/>
              </w:rPr>
            </w:pPr>
            <w:r w:rsidRPr="00A152F3">
              <w:rPr>
                <w:rFonts w:ascii="Arial Narrow" w:hAnsi="Arial Narrow"/>
                <w:sz w:val="20"/>
              </w:rPr>
              <w:t>Impuesto sobre Sociedades</w:t>
            </w:r>
          </w:p>
        </w:tc>
        <w:tc>
          <w:tcPr>
            <w:tcW w:w="1700" w:type="dxa"/>
            <w:tcBorders>
              <w:top w:val="nil"/>
              <w:left w:val="nil"/>
              <w:bottom w:val="nil"/>
              <w:right w:val="nil"/>
            </w:tcBorders>
            <w:shd w:val="clear" w:color="000000" w:fill="FFFFFF"/>
            <w:vAlign w:val="center"/>
            <w:hideMark/>
          </w:tcPr>
          <w:p w14:paraId="0BC1A318" w14:textId="77777777" w:rsidR="005E46B7" w:rsidRPr="00A152F3" w:rsidRDefault="00704050" w:rsidP="001478DB">
            <w:pPr>
              <w:keepNext/>
              <w:keepLines/>
              <w:jc w:val="center"/>
              <w:rPr>
                <w:rFonts w:ascii="Arial Narrow" w:hAnsi="Arial Narrow"/>
                <w:sz w:val="20"/>
                <w:lang w:eastAsia="es-ES"/>
              </w:rPr>
            </w:pPr>
            <w:r w:rsidRPr="00A152F3">
              <w:rPr>
                <w:rFonts w:ascii="Arial Narrow" w:hAnsi="Arial Narrow"/>
                <w:sz w:val="20"/>
                <w:lang w:eastAsia="es-ES"/>
              </w:rPr>
              <w:t>201</w:t>
            </w:r>
            <w:r w:rsidR="0030678B">
              <w:rPr>
                <w:rFonts w:ascii="Arial Narrow" w:hAnsi="Arial Narrow"/>
                <w:sz w:val="20"/>
                <w:lang w:eastAsia="es-ES"/>
              </w:rPr>
              <w:t>5</w:t>
            </w:r>
            <w:r w:rsidR="005E46B7" w:rsidRPr="00A152F3">
              <w:rPr>
                <w:rFonts w:ascii="Arial Narrow" w:hAnsi="Arial Narrow"/>
                <w:sz w:val="20"/>
                <w:lang w:eastAsia="es-ES"/>
              </w:rPr>
              <w:t xml:space="preserve"> a 201</w:t>
            </w:r>
            <w:r w:rsidR="0030678B">
              <w:rPr>
                <w:rFonts w:ascii="Arial Narrow" w:hAnsi="Arial Narrow"/>
                <w:sz w:val="20"/>
                <w:lang w:eastAsia="es-ES"/>
              </w:rPr>
              <w:t>9</w:t>
            </w:r>
          </w:p>
        </w:tc>
      </w:tr>
      <w:tr w:rsidR="00A152F3" w:rsidRPr="00E92472" w14:paraId="4C3296B1" w14:textId="77777777" w:rsidTr="00850B72">
        <w:trPr>
          <w:trHeight w:val="272"/>
          <w:jc w:val="center"/>
        </w:trPr>
        <w:tc>
          <w:tcPr>
            <w:tcW w:w="3970" w:type="dxa"/>
            <w:tcBorders>
              <w:top w:val="nil"/>
              <w:left w:val="nil"/>
              <w:bottom w:val="nil"/>
              <w:right w:val="nil"/>
            </w:tcBorders>
            <w:shd w:val="clear" w:color="000000" w:fill="FFFFFF"/>
            <w:noWrap/>
            <w:vAlign w:val="center"/>
            <w:hideMark/>
          </w:tcPr>
          <w:p w14:paraId="277FD429" w14:textId="77777777" w:rsidR="00A152F3" w:rsidRPr="00A152F3" w:rsidRDefault="00A152F3" w:rsidP="00A152F3">
            <w:pPr>
              <w:keepNext/>
              <w:keepLines/>
              <w:ind w:left="214"/>
              <w:rPr>
                <w:rFonts w:ascii="Arial Narrow" w:hAnsi="Arial Narrow"/>
                <w:sz w:val="20"/>
              </w:rPr>
            </w:pPr>
            <w:r w:rsidRPr="00A152F3">
              <w:rPr>
                <w:rFonts w:ascii="Arial Narrow" w:hAnsi="Arial Narrow"/>
                <w:sz w:val="20"/>
              </w:rPr>
              <w:t>I.G.I.C.</w:t>
            </w:r>
          </w:p>
        </w:tc>
        <w:tc>
          <w:tcPr>
            <w:tcW w:w="1700" w:type="dxa"/>
            <w:tcBorders>
              <w:top w:val="nil"/>
              <w:left w:val="nil"/>
              <w:bottom w:val="nil"/>
              <w:right w:val="nil"/>
            </w:tcBorders>
            <w:shd w:val="clear" w:color="000000" w:fill="FFFFFF"/>
            <w:hideMark/>
          </w:tcPr>
          <w:p w14:paraId="6DFADE64" w14:textId="77777777" w:rsidR="00A152F3" w:rsidRPr="00A152F3" w:rsidRDefault="00614034" w:rsidP="00D21B82">
            <w:pPr>
              <w:keepNext/>
              <w:keepLines/>
              <w:jc w:val="center"/>
              <w:rPr>
                <w:rFonts w:ascii="Arial Narrow" w:hAnsi="Arial Narrow"/>
                <w:sz w:val="20"/>
                <w:lang w:eastAsia="es-ES"/>
              </w:rPr>
            </w:pPr>
            <w:r w:rsidRPr="00A152F3">
              <w:rPr>
                <w:rFonts w:ascii="Arial Narrow" w:hAnsi="Arial Narrow"/>
                <w:sz w:val="20"/>
                <w:lang w:eastAsia="es-ES"/>
              </w:rPr>
              <w:t>201</w:t>
            </w:r>
            <w:r w:rsidR="0030678B">
              <w:rPr>
                <w:rFonts w:ascii="Arial Narrow" w:hAnsi="Arial Narrow"/>
                <w:sz w:val="20"/>
                <w:lang w:eastAsia="es-ES"/>
              </w:rPr>
              <w:t>6</w:t>
            </w:r>
            <w:r w:rsidRPr="00A152F3">
              <w:rPr>
                <w:rFonts w:ascii="Arial Narrow" w:hAnsi="Arial Narrow"/>
                <w:sz w:val="20"/>
                <w:lang w:eastAsia="es-ES"/>
              </w:rPr>
              <w:t xml:space="preserve"> a 201</w:t>
            </w:r>
            <w:r w:rsidR="00181B1B">
              <w:rPr>
                <w:rFonts w:ascii="Arial Narrow" w:hAnsi="Arial Narrow"/>
                <w:sz w:val="20"/>
                <w:lang w:eastAsia="es-ES"/>
              </w:rPr>
              <w:t>9</w:t>
            </w:r>
          </w:p>
        </w:tc>
      </w:tr>
      <w:tr w:rsidR="00A152F3" w:rsidRPr="00E92472" w14:paraId="1D69921D" w14:textId="77777777" w:rsidTr="00850B72">
        <w:trPr>
          <w:trHeight w:val="272"/>
          <w:jc w:val="center"/>
        </w:trPr>
        <w:tc>
          <w:tcPr>
            <w:tcW w:w="3970" w:type="dxa"/>
            <w:tcBorders>
              <w:top w:val="nil"/>
              <w:left w:val="nil"/>
              <w:bottom w:val="nil"/>
              <w:right w:val="nil"/>
            </w:tcBorders>
            <w:shd w:val="clear" w:color="000000" w:fill="FFFFFF"/>
            <w:noWrap/>
            <w:vAlign w:val="center"/>
            <w:hideMark/>
          </w:tcPr>
          <w:p w14:paraId="4BCBE196" w14:textId="77777777" w:rsidR="00A152F3" w:rsidRPr="00A152F3" w:rsidRDefault="00A152F3" w:rsidP="00A152F3">
            <w:pPr>
              <w:keepNext/>
              <w:keepLines/>
              <w:ind w:left="214"/>
              <w:rPr>
                <w:rFonts w:ascii="Arial Narrow" w:hAnsi="Arial Narrow"/>
                <w:sz w:val="20"/>
              </w:rPr>
            </w:pPr>
            <w:r w:rsidRPr="00A152F3">
              <w:rPr>
                <w:rFonts w:ascii="Arial Narrow" w:hAnsi="Arial Narrow"/>
                <w:sz w:val="20"/>
              </w:rPr>
              <w:t>Retenciones a cuenta del I.R.P.F.</w:t>
            </w:r>
          </w:p>
        </w:tc>
        <w:tc>
          <w:tcPr>
            <w:tcW w:w="1700" w:type="dxa"/>
            <w:tcBorders>
              <w:top w:val="nil"/>
              <w:left w:val="nil"/>
              <w:bottom w:val="nil"/>
              <w:right w:val="nil"/>
            </w:tcBorders>
            <w:shd w:val="clear" w:color="000000" w:fill="FFFFFF"/>
            <w:hideMark/>
          </w:tcPr>
          <w:p w14:paraId="679A16CD" w14:textId="77777777" w:rsidR="00A152F3" w:rsidRPr="00A152F3" w:rsidRDefault="00614034" w:rsidP="00A152F3">
            <w:pPr>
              <w:keepNext/>
              <w:keepLines/>
              <w:jc w:val="center"/>
              <w:rPr>
                <w:rFonts w:ascii="Arial Narrow" w:hAnsi="Arial Narrow"/>
                <w:sz w:val="20"/>
                <w:lang w:eastAsia="es-ES"/>
              </w:rPr>
            </w:pPr>
            <w:r w:rsidRPr="00A152F3">
              <w:rPr>
                <w:rFonts w:ascii="Arial Narrow" w:hAnsi="Arial Narrow"/>
                <w:sz w:val="20"/>
                <w:lang w:eastAsia="es-ES"/>
              </w:rPr>
              <w:t>201</w:t>
            </w:r>
            <w:r w:rsidR="0030678B">
              <w:rPr>
                <w:rFonts w:ascii="Arial Narrow" w:hAnsi="Arial Narrow"/>
                <w:sz w:val="20"/>
                <w:lang w:eastAsia="es-ES"/>
              </w:rPr>
              <w:t>6</w:t>
            </w:r>
            <w:r w:rsidRPr="00A152F3">
              <w:rPr>
                <w:rFonts w:ascii="Arial Narrow" w:hAnsi="Arial Narrow"/>
                <w:sz w:val="20"/>
                <w:lang w:eastAsia="es-ES"/>
              </w:rPr>
              <w:t xml:space="preserve"> a 201</w:t>
            </w:r>
            <w:r w:rsidR="00181B1B">
              <w:rPr>
                <w:rFonts w:ascii="Arial Narrow" w:hAnsi="Arial Narrow"/>
                <w:sz w:val="20"/>
                <w:lang w:eastAsia="es-ES"/>
              </w:rPr>
              <w:t>9</w:t>
            </w:r>
          </w:p>
        </w:tc>
      </w:tr>
      <w:tr w:rsidR="00F56ADE" w:rsidRPr="00E92472" w14:paraId="6313121A" w14:textId="77777777" w:rsidTr="00C87184">
        <w:trPr>
          <w:trHeight w:val="170"/>
          <w:jc w:val="center"/>
        </w:trPr>
        <w:tc>
          <w:tcPr>
            <w:tcW w:w="3970" w:type="dxa"/>
            <w:tcBorders>
              <w:top w:val="nil"/>
              <w:left w:val="nil"/>
              <w:bottom w:val="nil"/>
              <w:right w:val="nil"/>
            </w:tcBorders>
            <w:shd w:val="clear" w:color="auto" w:fill="F2F2F2" w:themeFill="background1" w:themeFillShade="F2"/>
            <w:noWrap/>
            <w:vAlign w:val="center"/>
          </w:tcPr>
          <w:p w14:paraId="76171BA1" w14:textId="77777777" w:rsidR="005E46B7" w:rsidRPr="00A152F3" w:rsidRDefault="005E46B7" w:rsidP="00C87184">
            <w:pPr>
              <w:keepNext/>
              <w:keepLines/>
              <w:ind w:left="214"/>
              <w:rPr>
                <w:rFonts w:ascii="Arial Narrow" w:hAnsi="Arial Narrow"/>
                <w:sz w:val="16"/>
                <w:szCs w:val="16"/>
              </w:rPr>
            </w:pPr>
          </w:p>
        </w:tc>
        <w:tc>
          <w:tcPr>
            <w:tcW w:w="1700" w:type="dxa"/>
            <w:tcBorders>
              <w:top w:val="nil"/>
              <w:left w:val="nil"/>
              <w:bottom w:val="nil"/>
              <w:right w:val="nil"/>
            </w:tcBorders>
            <w:shd w:val="clear" w:color="auto" w:fill="F2F2F2" w:themeFill="background1" w:themeFillShade="F2"/>
            <w:vAlign w:val="bottom"/>
          </w:tcPr>
          <w:p w14:paraId="6F8BD90F" w14:textId="77777777" w:rsidR="005E46B7" w:rsidRPr="00A152F3" w:rsidRDefault="005E46B7" w:rsidP="00C87184">
            <w:pPr>
              <w:keepNext/>
              <w:keepLines/>
              <w:jc w:val="center"/>
              <w:rPr>
                <w:rFonts w:ascii="Arial Narrow" w:hAnsi="Arial Narrow"/>
                <w:sz w:val="16"/>
                <w:szCs w:val="16"/>
                <w:lang w:eastAsia="es-ES"/>
              </w:rPr>
            </w:pPr>
          </w:p>
        </w:tc>
      </w:tr>
    </w:tbl>
    <w:p w14:paraId="6DAA60CF" w14:textId="77777777" w:rsidR="00CA6468" w:rsidRDefault="00CA6468" w:rsidP="00F84E35">
      <w:pPr>
        <w:jc w:val="both"/>
        <w:rPr>
          <w:rFonts w:ascii="Arial Narrow" w:hAnsi="Arial Narrow" w:cs="Arial"/>
          <w:spacing w:val="-2"/>
          <w:sz w:val="24"/>
          <w:szCs w:val="24"/>
        </w:rPr>
      </w:pPr>
    </w:p>
    <w:p w14:paraId="3C50DE95" w14:textId="77777777" w:rsidR="00DD368E" w:rsidRDefault="00CA6468" w:rsidP="00F84E35">
      <w:pPr>
        <w:jc w:val="both"/>
        <w:rPr>
          <w:rFonts w:ascii="Arial Narrow" w:hAnsi="Arial Narrow" w:cs="Arial"/>
          <w:spacing w:val="-2"/>
          <w:sz w:val="24"/>
          <w:szCs w:val="24"/>
        </w:rPr>
      </w:pPr>
      <w:r w:rsidRPr="00CA6468">
        <w:rPr>
          <w:rFonts w:ascii="Arial Narrow" w:hAnsi="Arial Narrow" w:cs="Arial"/>
          <w:spacing w:val="-2"/>
          <w:sz w:val="24"/>
          <w:szCs w:val="24"/>
        </w:rPr>
        <w:t>La Administración Tributaria tiene derecho a comprobar las deducciones aplicadas o pendientes de aplicar durante un plazo de 10 años a contar desde el día siguiente a aquel en que finalice el plazo de presentación de la autoliquidación correspondiente al ejercicio en que se generó la deducción. Una vez transcurrido dicho plazo de 10 años, el contribuyente, a efectos de consolidar la deducción que vaya a aplicar, está obligado a la acreditación de la procedencia y cuantía de aquellas que vaya a aplicar. Para ello debe exhibir a la Administración Tributaria la correspondiente autoliquidación de la que haya resultado la deducción (así como las de los ejercicios siguientes para hacer constar la no aplicación de la deducción hasta la actualidad), así como la contabilidad, con acreditación de su depósito durante el plazo de esos 10 años en el Registro Mercantil.</w:t>
      </w:r>
    </w:p>
    <w:p w14:paraId="145480DA" w14:textId="77777777" w:rsidR="00DF4FF4" w:rsidRPr="00E92472" w:rsidRDefault="00DF4FF4" w:rsidP="00F84E35">
      <w:pPr>
        <w:jc w:val="both"/>
        <w:rPr>
          <w:rFonts w:ascii="Arial Narrow" w:hAnsi="Arial Narrow" w:cs="Arial"/>
          <w:spacing w:val="-2"/>
          <w:sz w:val="24"/>
          <w:szCs w:val="24"/>
        </w:rPr>
      </w:pPr>
    </w:p>
    <w:p w14:paraId="17DF7A36" w14:textId="77777777" w:rsidR="003B2A3E" w:rsidRPr="00E92472" w:rsidRDefault="00230948" w:rsidP="003B2A3E">
      <w:pPr>
        <w:spacing w:before="120" w:after="120"/>
        <w:jc w:val="both"/>
        <w:rPr>
          <w:rFonts w:ascii="Arial Narrow" w:hAnsi="Arial Narrow" w:cs="Arial"/>
          <w:b/>
          <w:sz w:val="24"/>
          <w:szCs w:val="24"/>
        </w:rPr>
      </w:pPr>
      <w:r w:rsidRPr="00E92472">
        <w:rPr>
          <w:rFonts w:ascii="Arial Narrow" w:hAnsi="Arial Narrow" w:cs="Arial"/>
          <w:b/>
          <w:sz w:val="24"/>
          <w:szCs w:val="24"/>
        </w:rPr>
        <w:t>10</w:t>
      </w:r>
      <w:r w:rsidR="00D6097D" w:rsidRPr="00E92472">
        <w:rPr>
          <w:rFonts w:ascii="Arial Narrow" w:hAnsi="Arial Narrow" w:cs="Arial"/>
          <w:b/>
          <w:sz w:val="24"/>
          <w:szCs w:val="24"/>
        </w:rPr>
        <w:t xml:space="preserve">.2 </w:t>
      </w:r>
      <w:r w:rsidR="003B2A3E" w:rsidRPr="00E92472">
        <w:rPr>
          <w:rFonts w:ascii="Arial Narrow" w:hAnsi="Arial Narrow" w:cs="Arial"/>
          <w:b/>
          <w:sz w:val="24"/>
          <w:szCs w:val="24"/>
          <w:u w:val="single"/>
        </w:rPr>
        <w:t>Impuesto sobre beneficios</w:t>
      </w:r>
    </w:p>
    <w:p w14:paraId="736030DF" w14:textId="77777777" w:rsidR="001478DB" w:rsidRPr="004138AE" w:rsidRDefault="003B2A3E" w:rsidP="003B2A3E">
      <w:pPr>
        <w:spacing w:before="120" w:after="120"/>
        <w:jc w:val="both"/>
        <w:rPr>
          <w:rFonts w:ascii="Arial Narrow" w:hAnsi="Arial Narrow" w:cs="Arial"/>
          <w:sz w:val="24"/>
          <w:szCs w:val="24"/>
        </w:rPr>
      </w:pPr>
      <w:r w:rsidRPr="004138AE">
        <w:rPr>
          <w:rFonts w:ascii="Arial Narrow" w:hAnsi="Arial Narrow" w:cs="Arial"/>
          <w:sz w:val="24"/>
          <w:szCs w:val="24"/>
        </w:rPr>
        <w:t xml:space="preserve">La conciliación entre el importe neto de ingresos y gastos del </w:t>
      </w:r>
      <w:r w:rsidR="00E92472" w:rsidRPr="00A152F3">
        <w:rPr>
          <w:rFonts w:ascii="Arial Narrow" w:hAnsi="Arial Narrow" w:cs="Arial"/>
          <w:sz w:val="24"/>
          <w:szCs w:val="24"/>
        </w:rPr>
        <w:t>ejercicio 201</w:t>
      </w:r>
      <w:r w:rsidR="00831E90">
        <w:rPr>
          <w:rFonts w:ascii="Arial Narrow" w:hAnsi="Arial Narrow" w:cs="Arial"/>
          <w:sz w:val="24"/>
          <w:szCs w:val="24"/>
        </w:rPr>
        <w:t>9</w:t>
      </w:r>
      <w:r w:rsidRPr="00A152F3">
        <w:rPr>
          <w:rFonts w:ascii="Arial Narrow" w:hAnsi="Arial Narrow" w:cs="Arial"/>
          <w:sz w:val="24"/>
          <w:szCs w:val="24"/>
        </w:rPr>
        <w:t xml:space="preserve"> y 201</w:t>
      </w:r>
      <w:r w:rsidR="00831E90">
        <w:rPr>
          <w:rFonts w:ascii="Arial Narrow" w:hAnsi="Arial Narrow" w:cs="Arial"/>
          <w:sz w:val="24"/>
          <w:szCs w:val="24"/>
        </w:rPr>
        <w:t>8</w:t>
      </w:r>
      <w:r w:rsidRPr="00A152F3">
        <w:rPr>
          <w:rFonts w:ascii="Arial Narrow" w:hAnsi="Arial Narrow" w:cs="Arial"/>
          <w:sz w:val="24"/>
          <w:szCs w:val="24"/>
        </w:rPr>
        <w:t xml:space="preserve"> y la base </w:t>
      </w:r>
      <w:r w:rsidRPr="004138AE">
        <w:rPr>
          <w:rFonts w:ascii="Arial Narrow" w:hAnsi="Arial Narrow" w:cs="Arial"/>
          <w:sz w:val="24"/>
          <w:szCs w:val="24"/>
        </w:rPr>
        <w:t>imponible del impuesto sobre beneficios es la siguiente</w:t>
      </w:r>
      <w:r w:rsidR="00E550FF" w:rsidRPr="004138AE">
        <w:rPr>
          <w:rFonts w:ascii="Arial Narrow" w:hAnsi="Arial Narrow" w:cs="Arial"/>
          <w:sz w:val="24"/>
          <w:szCs w:val="24"/>
        </w:rPr>
        <w:t>, en euros</w:t>
      </w:r>
      <w:r w:rsidRPr="004138AE">
        <w:rPr>
          <w:rFonts w:ascii="Arial Narrow" w:hAnsi="Arial Narrow" w:cs="Arial"/>
          <w:sz w:val="24"/>
          <w:szCs w:val="24"/>
        </w:rPr>
        <w:t>:</w:t>
      </w:r>
    </w:p>
    <w:p w14:paraId="4C3FD140" w14:textId="77777777" w:rsidR="002926B4" w:rsidRDefault="00831E90" w:rsidP="00831E90">
      <w:pPr>
        <w:spacing w:before="240" w:after="120"/>
        <w:jc w:val="center"/>
        <w:rPr>
          <w:rFonts w:ascii="Arial Narrow" w:hAnsi="Arial Narrow" w:cs="Arial"/>
          <w:color w:val="000000" w:themeColor="text1"/>
          <w:sz w:val="24"/>
          <w:szCs w:val="24"/>
        </w:rPr>
      </w:pPr>
      <w:r w:rsidRPr="00831E90">
        <w:rPr>
          <w:noProof/>
          <w:lang w:val="es-ES" w:eastAsia="es-ES"/>
        </w:rPr>
        <w:drawing>
          <wp:inline distT="0" distB="0" distL="0" distR="0" wp14:anchorId="2F5E7128" wp14:editId="5527C886">
            <wp:extent cx="5486400" cy="2950210"/>
            <wp:effectExtent l="0" t="0" r="0" b="254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2950210"/>
                    </a:xfrm>
                    <a:prstGeom prst="rect">
                      <a:avLst/>
                    </a:prstGeom>
                    <a:noFill/>
                    <a:ln>
                      <a:noFill/>
                    </a:ln>
                  </pic:spPr>
                </pic:pic>
              </a:graphicData>
            </a:graphic>
          </wp:inline>
        </w:drawing>
      </w:r>
    </w:p>
    <w:p w14:paraId="474B5001" w14:textId="77777777" w:rsidR="00230948" w:rsidRDefault="003B2A3E" w:rsidP="002926B4">
      <w:pPr>
        <w:spacing w:before="240" w:after="120"/>
        <w:jc w:val="both"/>
        <w:rPr>
          <w:rFonts w:ascii="Arial Narrow" w:hAnsi="Arial Narrow" w:cs="Arial"/>
          <w:color w:val="000000" w:themeColor="text1"/>
          <w:sz w:val="24"/>
          <w:szCs w:val="24"/>
        </w:rPr>
      </w:pPr>
      <w:r w:rsidRPr="00AB74D6">
        <w:rPr>
          <w:rFonts w:ascii="Arial Narrow" w:hAnsi="Arial Narrow" w:cs="Arial"/>
          <w:color w:val="000000" w:themeColor="text1"/>
          <w:sz w:val="24"/>
          <w:szCs w:val="24"/>
        </w:rPr>
        <w:t>La conciliación entre el gasto / (ingreso) por impuesto sobre beneficios y el resultado de multiplicar los tipos de gravámenes aplicables al total de ingresos y gastos reconocidos, diferenciando el saldo de la cuenta de pérdidas y ganancias, es el siguiente:</w:t>
      </w:r>
    </w:p>
    <w:p w14:paraId="2F490258" w14:textId="77777777" w:rsidR="007B4E35" w:rsidRDefault="00831E90" w:rsidP="00831E90">
      <w:pPr>
        <w:keepNext/>
        <w:keepLines/>
        <w:spacing w:before="120" w:after="120"/>
        <w:jc w:val="center"/>
        <w:rPr>
          <w:rFonts w:ascii="Arial Narrow" w:hAnsi="Arial Narrow" w:cs="Arial"/>
          <w:color w:val="000000" w:themeColor="text1"/>
          <w:sz w:val="24"/>
          <w:szCs w:val="24"/>
        </w:rPr>
      </w:pPr>
      <w:r w:rsidRPr="00831E90">
        <w:rPr>
          <w:noProof/>
          <w:lang w:val="es-ES" w:eastAsia="es-ES"/>
        </w:rPr>
        <w:drawing>
          <wp:inline distT="0" distB="0" distL="0" distR="0" wp14:anchorId="724490F9" wp14:editId="4B7A878F">
            <wp:extent cx="5486400" cy="149225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492250"/>
                    </a:xfrm>
                    <a:prstGeom prst="rect">
                      <a:avLst/>
                    </a:prstGeom>
                    <a:noFill/>
                    <a:ln>
                      <a:noFill/>
                    </a:ln>
                  </pic:spPr>
                </pic:pic>
              </a:graphicData>
            </a:graphic>
          </wp:inline>
        </w:drawing>
      </w:r>
    </w:p>
    <w:p w14:paraId="1EEBA47D" w14:textId="77777777" w:rsidR="008902F2" w:rsidRDefault="003B2A3E" w:rsidP="00A06FC1">
      <w:pPr>
        <w:spacing w:before="240" w:after="120"/>
        <w:jc w:val="both"/>
        <w:rPr>
          <w:rFonts w:ascii="Arial Narrow" w:hAnsi="Arial Narrow" w:cs="Arial"/>
          <w:sz w:val="24"/>
          <w:szCs w:val="24"/>
        </w:rPr>
      </w:pPr>
      <w:r w:rsidRPr="00C16EA9">
        <w:rPr>
          <w:rFonts w:ascii="Arial Narrow" w:hAnsi="Arial Narrow" w:cs="Arial"/>
          <w:sz w:val="24"/>
          <w:szCs w:val="24"/>
        </w:rPr>
        <w:t xml:space="preserve">El gasto / (ingreso) por impuesto sobre beneficios se </w:t>
      </w:r>
      <w:r w:rsidR="00A94629" w:rsidRPr="00C16EA9">
        <w:rPr>
          <w:rFonts w:ascii="Arial Narrow" w:hAnsi="Arial Narrow" w:cs="Arial"/>
          <w:sz w:val="24"/>
          <w:szCs w:val="24"/>
        </w:rPr>
        <w:t>corresponde con la Variación de impuesto diferido por “Subvenciones, donaciones y legados recibidos”.</w:t>
      </w:r>
    </w:p>
    <w:p w14:paraId="511223EE" w14:textId="77777777" w:rsidR="007B4E35" w:rsidRDefault="00553F0B" w:rsidP="00A06FC1">
      <w:pPr>
        <w:spacing w:before="240" w:after="120"/>
        <w:jc w:val="both"/>
        <w:rPr>
          <w:rFonts w:ascii="Arial Narrow" w:hAnsi="Arial Narrow" w:cs="Arial"/>
          <w:sz w:val="24"/>
          <w:szCs w:val="24"/>
        </w:rPr>
      </w:pPr>
      <w:r>
        <w:rPr>
          <w:rFonts w:ascii="Arial Narrow" w:hAnsi="Arial Narrow" w:cs="Arial"/>
          <w:sz w:val="24"/>
          <w:szCs w:val="24"/>
        </w:rPr>
        <w:t>El cálculo del Impuesto se corresponde con la devolución de las retenciones aplicadas por los ingresos de los alquileres de los locales de la UTE PTF-ITC en el porcentaje en el que la Sociedad participa.</w:t>
      </w:r>
    </w:p>
    <w:tbl>
      <w:tblPr>
        <w:tblW w:w="7833" w:type="dxa"/>
        <w:jc w:val="center"/>
        <w:tblCellMar>
          <w:left w:w="70" w:type="dxa"/>
          <w:right w:w="70" w:type="dxa"/>
        </w:tblCellMar>
        <w:tblLook w:val="04A0" w:firstRow="1" w:lastRow="0" w:firstColumn="1" w:lastColumn="0" w:noHBand="0" w:noVBand="1"/>
      </w:tblPr>
      <w:tblGrid>
        <w:gridCol w:w="5799"/>
        <w:gridCol w:w="1017"/>
        <w:gridCol w:w="1017"/>
      </w:tblGrid>
      <w:tr w:rsidR="00884F0E" w:rsidRPr="00E650E6" w14:paraId="769A96E5" w14:textId="77777777" w:rsidTr="00884F0E">
        <w:trPr>
          <w:trHeight w:val="305"/>
          <w:jc w:val="center"/>
        </w:trPr>
        <w:tc>
          <w:tcPr>
            <w:tcW w:w="0" w:type="auto"/>
            <w:tcBorders>
              <w:top w:val="nil"/>
              <w:left w:val="nil"/>
              <w:bottom w:val="nil"/>
              <w:right w:val="nil"/>
            </w:tcBorders>
            <w:shd w:val="clear" w:color="000000" w:fill="D9D9D9" w:themeFill="background1" w:themeFillShade="D9"/>
            <w:noWrap/>
            <w:vAlign w:val="center"/>
            <w:hideMark/>
          </w:tcPr>
          <w:p w14:paraId="56C3D1E3" w14:textId="77777777" w:rsidR="00884F0E" w:rsidRPr="00E650E6" w:rsidRDefault="00884F0E" w:rsidP="00884F0E">
            <w:pPr>
              <w:keepNext/>
              <w:keepLines/>
              <w:ind w:left="137"/>
              <w:rPr>
                <w:rFonts w:ascii="Arial Narrow" w:hAnsi="Arial Narrow"/>
                <w:b/>
                <w:bCs/>
                <w:sz w:val="20"/>
                <w:lang w:eastAsia="es-ES"/>
              </w:rPr>
            </w:pPr>
            <w:r w:rsidRPr="00E650E6">
              <w:rPr>
                <w:rFonts w:ascii="Arial Narrow" w:hAnsi="Arial Narrow" w:cs="Arial"/>
                <w:b/>
                <w:spacing w:val="-2"/>
                <w:sz w:val="20"/>
              </w:rPr>
              <w:t>El cálculo del impuesto sobre sociedades a devolver es el siguiente:</w:t>
            </w:r>
          </w:p>
        </w:tc>
        <w:tc>
          <w:tcPr>
            <w:tcW w:w="0" w:type="auto"/>
            <w:tcBorders>
              <w:top w:val="nil"/>
              <w:left w:val="nil"/>
              <w:bottom w:val="nil"/>
              <w:right w:val="nil"/>
            </w:tcBorders>
            <w:shd w:val="clear" w:color="000000" w:fill="D9D9D9" w:themeFill="background1" w:themeFillShade="D9"/>
            <w:noWrap/>
            <w:vAlign w:val="center"/>
            <w:hideMark/>
          </w:tcPr>
          <w:p w14:paraId="3157CB74" w14:textId="77777777" w:rsidR="00884F0E" w:rsidRPr="00E650E6" w:rsidRDefault="00884F0E" w:rsidP="00884F0E">
            <w:pPr>
              <w:keepNext/>
              <w:keepLines/>
              <w:jc w:val="center"/>
              <w:rPr>
                <w:rFonts w:ascii="Arial Narrow" w:hAnsi="Arial Narrow"/>
                <w:b/>
                <w:bCs/>
                <w:sz w:val="20"/>
                <w:lang w:eastAsia="es-ES"/>
              </w:rPr>
            </w:pPr>
            <w:r w:rsidRPr="00E650E6">
              <w:rPr>
                <w:rFonts w:ascii="Arial Narrow" w:hAnsi="Arial Narrow"/>
                <w:b/>
                <w:bCs/>
                <w:sz w:val="20"/>
                <w:lang w:eastAsia="es-ES"/>
              </w:rPr>
              <w:t>31/12/201</w:t>
            </w:r>
            <w:r>
              <w:rPr>
                <w:rFonts w:ascii="Arial Narrow" w:hAnsi="Arial Narrow"/>
                <w:b/>
                <w:bCs/>
                <w:sz w:val="20"/>
                <w:lang w:eastAsia="es-ES"/>
              </w:rPr>
              <w:t>9</w:t>
            </w:r>
          </w:p>
        </w:tc>
        <w:tc>
          <w:tcPr>
            <w:tcW w:w="0" w:type="auto"/>
            <w:tcBorders>
              <w:top w:val="nil"/>
              <w:left w:val="nil"/>
              <w:bottom w:val="nil"/>
              <w:right w:val="nil"/>
            </w:tcBorders>
            <w:shd w:val="clear" w:color="000000" w:fill="D9D9D9" w:themeFill="background1" w:themeFillShade="D9"/>
            <w:vAlign w:val="center"/>
          </w:tcPr>
          <w:p w14:paraId="102500C1" w14:textId="77777777" w:rsidR="00884F0E" w:rsidRPr="00E650E6" w:rsidRDefault="00884F0E" w:rsidP="00884F0E">
            <w:pPr>
              <w:keepNext/>
              <w:keepLines/>
              <w:jc w:val="center"/>
              <w:rPr>
                <w:rFonts w:ascii="Arial Narrow" w:hAnsi="Arial Narrow"/>
                <w:b/>
                <w:bCs/>
                <w:sz w:val="20"/>
                <w:lang w:eastAsia="es-ES"/>
              </w:rPr>
            </w:pPr>
            <w:r w:rsidRPr="00E650E6">
              <w:rPr>
                <w:rFonts w:ascii="Arial Narrow" w:hAnsi="Arial Narrow"/>
                <w:b/>
                <w:bCs/>
                <w:sz w:val="20"/>
                <w:lang w:eastAsia="es-ES"/>
              </w:rPr>
              <w:t>31/12/2018</w:t>
            </w:r>
          </w:p>
        </w:tc>
      </w:tr>
      <w:tr w:rsidR="00884F0E" w:rsidRPr="00E650E6" w14:paraId="6CD196F3" w14:textId="77777777" w:rsidTr="00884F0E">
        <w:trPr>
          <w:trHeight w:val="254"/>
          <w:jc w:val="center"/>
        </w:trPr>
        <w:tc>
          <w:tcPr>
            <w:tcW w:w="0" w:type="auto"/>
            <w:tcBorders>
              <w:top w:val="nil"/>
              <w:left w:val="nil"/>
              <w:bottom w:val="nil"/>
              <w:right w:val="nil"/>
            </w:tcBorders>
            <w:shd w:val="clear" w:color="000000" w:fill="FFFFFF"/>
            <w:noWrap/>
            <w:vAlign w:val="center"/>
            <w:hideMark/>
          </w:tcPr>
          <w:p w14:paraId="239BC488" w14:textId="77777777" w:rsidR="00884F0E" w:rsidRPr="00E650E6" w:rsidRDefault="00884F0E" w:rsidP="00884F0E">
            <w:pPr>
              <w:keepNext/>
              <w:keepLines/>
              <w:ind w:left="137"/>
              <w:rPr>
                <w:rFonts w:ascii="Arial Narrow" w:hAnsi="Arial Narrow"/>
                <w:sz w:val="20"/>
                <w:lang w:eastAsia="es-ES"/>
              </w:rPr>
            </w:pPr>
            <w:r w:rsidRPr="00E650E6">
              <w:rPr>
                <w:rFonts w:ascii="Arial Narrow" w:hAnsi="Arial Narrow"/>
                <w:sz w:val="20"/>
                <w:lang w:eastAsia="es-ES"/>
              </w:rPr>
              <w:t>Impuesto corriente</w:t>
            </w:r>
          </w:p>
        </w:tc>
        <w:tc>
          <w:tcPr>
            <w:tcW w:w="0" w:type="auto"/>
            <w:tcBorders>
              <w:top w:val="nil"/>
              <w:left w:val="nil"/>
              <w:bottom w:val="nil"/>
              <w:right w:val="nil"/>
            </w:tcBorders>
            <w:shd w:val="clear" w:color="auto" w:fill="auto"/>
            <w:noWrap/>
            <w:vAlign w:val="center"/>
            <w:hideMark/>
          </w:tcPr>
          <w:p w14:paraId="29CF5A44" w14:textId="77777777" w:rsidR="00884F0E" w:rsidRPr="00E650E6" w:rsidRDefault="00884F0E" w:rsidP="00884F0E">
            <w:pPr>
              <w:keepNext/>
              <w:keepLines/>
              <w:jc w:val="center"/>
              <w:rPr>
                <w:rFonts w:ascii="Arial Narrow" w:hAnsi="Arial Narrow"/>
                <w:b/>
                <w:bCs/>
                <w:sz w:val="20"/>
                <w:lang w:eastAsia="es-ES"/>
              </w:rPr>
            </w:pPr>
            <w:r w:rsidRPr="00E650E6">
              <w:rPr>
                <w:rFonts w:ascii="Arial Narrow" w:hAnsi="Arial Narrow"/>
                <w:b/>
                <w:bCs/>
                <w:sz w:val="20"/>
                <w:lang w:eastAsia="es-ES"/>
              </w:rPr>
              <w:t>-</w:t>
            </w:r>
          </w:p>
        </w:tc>
        <w:tc>
          <w:tcPr>
            <w:tcW w:w="0" w:type="auto"/>
            <w:tcBorders>
              <w:top w:val="nil"/>
              <w:left w:val="nil"/>
              <w:bottom w:val="nil"/>
              <w:right w:val="nil"/>
            </w:tcBorders>
            <w:vAlign w:val="center"/>
          </w:tcPr>
          <w:p w14:paraId="12C6B9C6" w14:textId="77777777" w:rsidR="00884F0E" w:rsidRPr="00E650E6" w:rsidRDefault="00884F0E" w:rsidP="00884F0E">
            <w:pPr>
              <w:keepNext/>
              <w:keepLines/>
              <w:jc w:val="center"/>
              <w:rPr>
                <w:rFonts w:ascii="Arial Narrow" w:hAnsi="Arial Narrow"/>
                <w:b/>
                <w:bCs/>
                <w:sz w:val="20"/>
                <w:lang w:eastAsia="es-ES"/>
              </w:rPr>
            </w:pPr>
            <w:r w:rsidRPr="00E650E6">
              <w:rPr>
                <w:rFonts w:ascii="Arial Narrow" w:hAnsi="Arial Narrow"/>
                <w:b/>
                <w:bCs/>
                <w:sz w:val="20"/>
                <w:lang w:eastAsia="es-ES"/>
              </w:rPr>
              <w:t>-</w:t>
            </w:r>
          </w:p>
        </w:tc>
      </w:tr>
      <w:tr w:rsidR="00884F0E" w:rsidRPr="00E650E6" w14:paraId="2C80EA27" w14:textId="77777777" w:rsidTr="00884F0E">
        <w:trPr>
          <w:trHeight w:val="254"/>
          <w:jc w:val="center"/>
        </w:trPr>
        <w:tc>
          <w:tcPr>
            <w:tcW w:w="0" w:type="auto"/>
            <w:tcBorders>
              <w:top w:val="nil"/>
              <w:left w:val="nil"/>
              <w:bottom w:val="nil"/>
              <w:right w:val="nil"/>
            </w:tcBorders>
            <w:shd w:val="clear" w:color="000000" w:fill="FFFFFF"/>
            <w:noWrap/>
            <w:vAlign w:val="center"/>
            <w:hideMark/>
          </w:tcPr>
          <w:p w14:paraId="3F98E70E" w14:textId="77777777" w:rsidR="00884F0E" w:rsidRPr="00E650E6" w:rsidRDefault="00884F0E" w:rsidP="00884F0E">
            <w:pPr>
              <w:keepNext/>
              <w:keepLines/>
              <w:ind w:left="137"/>
              <w:rPr>
                <w:rFonts w:ascii="Arial Narrow" w:hAnsi="Arial Narrow"/>
                <w:sz w:val="20"/>
                <w:lang w:eastAsia="es-ES"/>
              </w:rPr>
            </w:pPr>
            <w:r w:rsidRPr="00E650E6">
              <w:rPr>
                <w:rFonts w:ascii="Arial Narrow" w:hAnsi="Arial Narrow"/>
                <w:sz w:val="20"/>
                <w:lang w:eastAsia="es-ES"/>
              </w:rPr>
              <w:t>Retenciones</w:t>
            </w:r>
          </w:p>
        </w:tc>
        <w:tc>
          <w:tcPr>
            <w:tcW w:w="0" w:type="auto"/>
            <w:tcBorders>
              <w:top w:val="nil"/>
              <w:left w:val="nil"/>
              <w:bottom w:val="nil"/>
              <w:right w:val="nil"/>
            </w:tcBorders>
            <w:shd w:val="clear" w:color="auto" w:fill="auto"/>
            <w:noWrap/>
            <w:vAlign w:val="center"/>
          </w:tcPr>
          <w:p w14:paraId="67E4EACF" w14:textId="77777777" w:rsidR="00884F0E" w:rsidRPr="00E650E6" w:rsidRDefault="00884F0E" w:rsidP="00884F0E">
            <w:pPr>
              <w:keepNext/>
              <w:keepLines/>
              <w:jc w:val="right"/>
              <w:rPr>
                <w:rFonts w:ascii="Arial Narrow" w:hAnsi="Arial Narrow"/>
                <w:sz w:val="20"/>
                <w:lang w:eastAsia="es-ES"/>
              </w:rPr>
            </w:pPr>
            <w:r>
              <w:rPr>
                <w:rFonts w:ascii="Arial Narrow" w:hAnsi="Arial Narrow"/>
                <w:sz w:val="20"/>
                <w:lang w:eastAsia="es-ES"/>
              </w:rPr>
              <w:t>6.557,01</w:t>
            </w:r>
          </w:p>
        </w:tc>
        <w:tc>
          <w:tcPr>
            <w:tcW w:w="0" w:type="auto"/>
            <w:tcBorders>
              <w:top w:val="nil"/>
              <w:left w:val="nil"/>
              <w:bottom w:val="nil"/>
              <w:right w:val="nil"/>
            </w:tcBorders>
            <w:vAlign w:val="center"/>
          </w:tcPr>
          <w:p w14:paraId="54110886" w14:textId="77777777" w:rsidR="00884F0E" w:rsidRPr="00E650E6" w:rsidRDefault="00884F0E" w:rsidP="00884F0E">
            <w:pPr>
              <w:keepNext/>
              <w:keepLines/>
              <w:jc w:val="right"/>
              <w:rPr>
                <w:rFonts w:ascii="Arial Narrow" w:hAnsi="Arial Narrow"/>
                <w:sz w:val="20"/>
                <w:lang w:eastAsia="es-ES"/>
              </w:rPr>
            </w:pPr>
            <w:r>
              <w:rPr>
                <w:rFonts w:ascii="Arial Narrow" w:hAnsi="Arial Narrow"/>
                <w:sz w:val="20"/>
                <w:lang w:eastAsia="es-ES"/>
              </w:rPr>
              <w:t>19.893,97</w:t>
            </w:r>
          </w:p>
        </w:tc>
      </w:tr>
      <w:tr w:rsidR="00884F0E" w:rsidRPr="00C16EA9" w14:paraId="1F8F5EF6" w14:textId="77777777" w:rsidTr="00884F0E">
        <w:trPr>
          <w:trHeight w:val="254"/>
          <w:jc w:val="center"/>
        </w:trPr>
        <w:tc>
          <w:tcPr>
            <w:tcW w:w="0" w:type="auto"/>
            <w:tcBorders>
              <w:top w:val="nil"/>
              <w:left w:val="nil"/>
              <w:bottom w:val="nil"/>
              <w:right w:val="nil"/>
            </w:tcBorders>
            <w:shd w:val="clear" w:color="000000" w:fill="F2F2F2"/>
            <w:noWrap/>
            <w:vAlign w:val="center"/>
            <w:hideMark/>
          </w:tcPr>
          <w:p w14:paraId="68A39C1A" w14:textId="77777777" w:rsidR="00884F0E" w:rsidRPr="00E650E6" w:rsidRDefault="00884F0E" w:rsidP="00884F0E">
            <w:pPr>
              <w:keepNext/>
              <w:keepLines/>
              <w:ind w:left="137"/>
              <w:rPr>
                <w:rFonts w:ascii="Arial Narrow" w:hAnsi="Arial Narrow"/>
                <w:b/>
                <w:bCs/>
                <w:sz w:val="20"/>
                <w:lang w:eastAsia="es-ES"/>
              </w:rPr>
            </w:pPr>
            <w:r w:rsidRPr="00E650E6">
              <w:rPr>
                <w:rFonts w:ascii="Arial Narrow" w:hAnsi="Arial Narrow"/>
                <w:b/>
                <w:bCs/>
                <w:sz w:val="20"/>
                <w:lang w:eastAsia="es-ES"/>
              </w:rPr>
              <w:t>Impuesto sobre sociedades a devolver</w:t>
            </w:r>
          </w:p>
        </w:tc>
        <w:tc>
          <w:tcPr>
            <w:tcW w:w="0" w:type="auto"/>
            <w:tcBorders>
              <w:top w:val="nil"/>
              <w:left w:val="nil"/>
              <w:bottom w:val="nil"/>
              <w:right w:val="nil"/>
            </w:tcBorders>
            <w:shd w:val="clear" w:color="000000" w:fill="F2F2F2"/>
            <w:noWrap/>
            <w:vAlign w:val="center"/>
          </w:tcPr>
          <w:p w14:paraId="67A88BA7" w14:textId="77777777" w:rsidR="00884F0E" w:rsidRPr="00E650E6" w:rsidRDefault="00884F0E" w:rsidP="00884F0E">
            <w:pPr>
              <w:keepNext/>
              <w:keepLines/>
              <w:jc w:val="right"/>
              <w:rPr>
                <w:rFonts w:ascii="Arial Narrow" w:hAnsi="Arial Narrow"/>
                <w:b/>
                <w:bCs/>
                <w:sz w:val="20"/>
                <w:lang w:eastAsia="es-ES"/>
              </w:rPr>
            </w:pPr>
            <w:r>
              <w:rPr>
                <w:rFonts w:ascii="Arial Narrow" w:hAnsi="Arial Narrow"/>
                <w:b/>
                <w:sz w:val="20"/>
                <w:lang w:eastAsia="es-ES"/>
              </w:rPr>
              <w:t>6.557,01</w:t>
            </w:r>
          </w:p>
        </w:tc>
        <w:tc>
          <w:tcPr>
            <w:tcW w:w="0" w:type="auto"/>
            <w:tcBorders>
              <w:top w:val="nil"/>
              <w:left w:val="nil"/>
              <w:bottom w:val="nil"/>
              <w:right w:val="nil"/>
            </w:tcBorders>
            <w:shd w:val="clear" w:color="000000" w:fill="F2F2F2"/>
            <w:vAlign w:val="center"/>
          </w:tcPr>
          <w:p w14:paraId="48026953" w14:textId="77777777" w:rsidR="00884F0E" w:rsidRPr="00E650E6" w:rsidRDefault="00884F0E" w:rsidP="00884F0E">
            <w:pPr>
              <w:keepNext/>
              <w:keepLines/>
              <w:jc w:val="right"/>
              <w:rPr>
                <w:rFonts w:ascii="Arial Narrow" w:hAnsi="Arial Narrow"/>
                <w:b/>
                <w:bCs/>
                <w:sz w:val="20"/>
                <w:lang w:eastAsia="es-ES"/>
              </w:rPr>
            </w:pPr>
            <w:r w:rsidRPr="00032181">
              <w:rPr>
                <w:rFonts w:ascii="Arial Narrow" w:hAnsi="Arial Narrow"/>
                <w:b/>
                <w:sz w:val="20"/>
                <w:lang w:eastAsia="es-ES"/>
              </w:rPr>
              <w:t>19.893,97</w:t>
            </w:r>
          </w:p>
        </w:tc>
      </w:tr>
    </w:tbl>
    <w:p w14:paraId="5A3AB39F" w14:textId="77777777" w:rsidR="00DC090E" w:rsidRPr="00C16EA9" w:rsidRDefault="00DC090E" w:rsidP="00DC090E">
      <w:pPr>
        <w:keepNext/>
        <w:keepLines/>
        <w:spacing w:before="240" w:after="120"/>
        <w:jc w:val="both"/>
        <w:rPr>
          <w:rFonts w:ascii="Arial Narrow" w:hAnsi="Arial Narrow" w:cs="Arial"/>
          <w:spacing w:val="-2"/>
          <w:sz w:val="24"/>
          <w:szCs w:val="24"/>
        </w:rPr>
      </w:pPr>
      <w:r w:rsidRPr="00C16EA9">
        <w:rPr>
          <w:rFonts w:ascii="Arial Narrow" w:hAnsi="Arial Narrow" w:cs="Arial"/>
          <w:sz w:val="24"/>
          <w:szCs w:val="24"/>
        </w:rPr>
        <w:t xml:space="preserve">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w:t>
      </w:r>
      <w:r w:rsidRPr="00C16EA9">
        <w:rPr>
          <w:rFonts w:ascii="Arial Narrow" w:hAnsi="Arial Narrow" w:cs="Arial"/>
          <w:spacing w:val="-2"/>
          <w:sz w:val="24"/>
          <w:szCs w:val="24"/>
        </w:rPr>
        <w:t>las cuentas anuales.</w:t>
      </w:r>
    </w:p>
    <w:p w14:paraId="243FCB2C" w14:textId="77777777" w:rsidR="003B2A3E" w:rsidRPr="00C16EA9" w:rsidRDefault="003B2A3E" w:rsidP="003373CD">
      <w:pPr>
        <w:keepNext/>
        <w:keepLines/>
        <w:spacing w:before="240" w:after="120"/>
        <w:jc w:val="both"/>
        <w:rPr>
          <w:rFonts w:ascii="Arial Narrow" w:hAnsi="Arial Narrow" w:cs="Arial"/>
          <w:b/>
          <w:sz w:val="24"/>
          <w:szCs w:val="24"/>
        </w:rPr>
      </w:pPr>
      <w:r w:rsidRPr="00C16EA9">
        <w:rPr>
          <w:rFonts w:ascii="Arial Narrow" w:hAnsi="Arial Narrow" w:cs="Arial"/>
          <w:b/>
          <w:sz w:val="24"/>
          <w:szCs w:val="24"/>
          <w:u w:val="single"/>
        </w:rPr>
        <w:t>Impuestos diferidos</w:t>
      </w:r>
    </w:p>
    <w:p w14:paraId="3E62151A" w14:textId="77777777" w:rsidR="00DD368E" w:rsidRPr="00C16EA9" w:rsidRDefault="00DD368E" w:rsidP="003373CD">
      <w:pPr>
        <w:keepNext/>
        <w:keepLines/>
        <w:spacing w:before="60" w:after="120"/>
        <w:jc w:val="both"/>
        <w:rPr>
          <w:rFonts w:ascii="Arial Narrow" w:hAnsi="Arial Narrow" w:cs="Arial"/>
          <w:spacing w:val="-2"/>
          <w:sz w:val="24"/>
          <w:szCs w:val="24"/>
        </w:rPr>
      </w:pPr>
      <w:r w:rsidRPr="00C16EA9">
        <w:rPr>
          <w:rFonts w:ascii="Arial Narrow" w:hAnsi="Arial Narrow" w:cs="Arial"/>
          <w:spacing w:val="-2"/>
          <w:sz w:val="24"/>
          <w:szCs w:val="24"/>
        </w:rPr>
        <w:t>El detalle de los impuestos diferidos es el siguiente:</w:t>
      </w:r>
    </w:p>
    <w:tbl>
      <w:tblPr>
        <w:tblW w:w="7868" w:type="dxa"/>
        <w:jc w:val="center"/>
        <w:tblCellMar>
          <w:left w:w="70" w:type="dxa"/>
          <w:right w:w="70" w:type="dxa"/>
        </w:tblCellMar>
        <w:tblLook w:val="04A0" w:firstRow="1" w:lastRow="0" w:firstColumn="1" w:lastColumn="0" w:noHBand="0" w:noVBand="1"/>
      </w:tblPr>
      <w:tblGrid>
        <w:gridCol w:w="4415"/>
        <w:gridCol w:w="1281"/>
        <w:gridCol w:w="116"/>
        <w:gridCol w:w="1940"/>
        <w:gridCol w:w="116"/>
      </w:tblGrid>
      <w:tr w:rsidR="00F56ADE" w:rsidRPr="00C16EA9" w14:paraId="478BC995" w14:textId="77777777" w:rsidTr="00032181">
        <w:trPr>
          <w:gridAfter w:val="1"/>
          <w:wAfter w:w="116" w:type="dxa"/>
          <w:trHeight w:val="340"/>
          <w:jc w:val="center"/>
        </w:trPr>
        <w:tc>
          <w:tcPr>
            <w:tcW w:w="0" w:type="auto"/>
            <w:tcBorders>
              <w:top w:val="nil"/>
              <w:left w:val="nil"/>
              <w:bottom w:val="nil"/>
              <w:right w:val="nil"/>
            </w:tcBorders>
            <w:shd w:val="clear" w:color="auto" w:fill="D9D9D9" w:themeFill="background1" w:themeFillShade="D9"/>
            <w:noWrap/>
            <w:vAlign w:val="center"/>
            <w:hideMark/>
          </w:tcPr>
          <w:p w14:paraId="53D0502D" w14:textId="77777777" w:rsidR="00704050" w:rsidRPr="00C16EA9" w:rsidRDefault="00704050" w:rsidP="003373CD">
            <w:pPr>
              <w:keepNext/>
              <w:keepLines/>
              <w:jc w:val="center"/>
              <w:rPr>
                <w:rFonts w:ascii="Arial Narrow" w:hAnsi="Arial Narrow"/>
                <w:b/>
                <w:bCs/>
                <w:sz w:val="20"/>
                <w:lang w:eastAsia="es-ES"/>
              </w:rPr>
            </w:pPr>
          </w:p>
        </w:tc>
        <w:tc>
          <w:tcPr>
            <w:tcW w:w="1281" w:type="dxa"/>
            <w:tcBorders>
              <w:top w:val="nil"/>
              <w:left w:val="nil"/>
              <w:bottom w:val="nil"/>
              <w:right w:val="nil"/>
            </w:tcBorders>
            <w:shd w:val="clear" w:color="auto" w:fill="D9D9D9" w:themeFill="background1" w:themeFillShade="D9"/>
            <w:noWrap/>
            <w:vAlign w:val="center"/>
            <w:hideMark/>
          </w:tcPr>
          <w:p w14:paraId="79A09DFE" w14:textId="77777777" w:rsidR="00704050" w:rsidRPr="00C16EA9" w:rsidRDefault="00704050" w:rsidP="003373CD">
            <w:pPr>
              <w:keepNext/>
              <w:keepLines/>
              <w:jc w:val="center"/>
              <w:rPr>
                <w:rFonts w:ascii="Arial Narrow" w:hAnsi="Arial Narrow"/>
                <w:b/>
                <w:bCs/>
                <w:sz w:val="20"/>
                <w:lang w:eastAsia="es-ES"/>
              </w:rPr>
            </w:pPr>
            <w:r w:rsidRPr="00C16EA9">
              <w:rPr>
                <w:rFonts w:ascii="Arial Narrow" w:hAnsi="Arial Narrow"/>
                <w:b/>
                <w:bCs/>
                <w:sz w:val="20"/>
                <w:lang w:eastAsia="es-ES"/>
              </w:rPr>
              <w:t>31/12/201</w:t>
            </w:r>
            <w:r w:rsidR="004F54D8">
              <w:rPr>
                <w:rFonts w:ascii="Arial Narrow" w:hAnsi="Arial Narrow"/>
                <w:b/>
                <w:bCs/>
                <w:sz w:val="20"/>
                <w:lang w:eastAsia="es-ES"/>
              </w:rPr>
              <w:t>9</w:t>
            </w:r>
          </w:p>
        </w:tc>
        <w:tc>
          <w:tcPr>
            <w:tcW w:w="2056" w:type="dxa"/>
            <w:gridSpan w:val="2"/>
            <w:tcBorders>
              <w:top w:val="nil"/>
              <w:left w:val="nil"/>
              <w:bottom w:val="nil"/>
              <w:right w:val="nil"/>
            </w:tcBorders>
            <w:shd w:val="clear" w:color="auto" w:fill="D9D9D9" w:themeFill="background1" w:themeFillShade="D9"/>
            <w:noWrap/>
            <w:vAlign w:val="center"/>
            <w:hideMark/>
          </w:tcPr>
          <w:p w14:paraId="21DA1CB3" w14:textId="77777777" w:rsidR="00704050" w:rsidRPr="00C16EA9" w:rsidRDefault="00704050" w:rsidP="003373CD">
            <w:pPr>
              <w:keepNext/>
              <w:keepLines/>
              <w:jc w:val="center"/>
              <w:rPr>
                <w:rFonts w:ascii="Arial Narrow" w:hAnsi="Arial Narrow"/>
                <w:b/>
                <w:bCs/>
                <w:sz w:val="20"/>
                <w:lang w:eastAsia="es-ES"/>
              </w:rPr>
            </w:pPr>
            <w:r w:rsidRPr="00C16EA9">
              <w:rPr>
                <w:rFonts w:ascii="Arial Narrow" w:hAnsi="Arial Narrow"/>
                <w:b/>
                <w:bCs/>
                <w:sz w:val="20"/>
                <w:lang w:eastAsia="es-ES"/>
              </w:rPr>
              <w:t>31/12/201</w:t>
            </w:r>
            <w:r w:rsidR="004F54D8">
              <w:rPr>
                <w:rFonts w:ascii="Arial Narrow" w:hAnsi="Arial Narrow"/>
                <w:b/>
                <w:bCs/>
                <w:sz w:val="20"/>
                <w:lang w:eastAsia="es-ES"/>
              </w:rPr>
              <w:t>8</w:t>
            </w:r>
          </w:p>
        </w:tc>
      </w:tr>
      <w:tr w:rsidR="00F56ADE" w:rsidRPr="00C16EA9" w14:paraId="60560EAA" w14:textId="77777777" w:rsidTr="00032181">
        <w:trPr>
          <w:gridAfter w:val="1"/>
          <w:wAfter w:w="116" w:type="dxa"/>
          <w:trHeight w:val="283"/>
          <w:jc w:val="center"/>
        </w:trPr>
        <w:tc>
          <w:tcPr>
            <w:tcW w:w="0" w:type="auto"/>
            <w:tcBorders>
              <w:top w:val="nil"/>
              <w:left w:val="nil"/>
              <w:bottom w:val="nil"/>
              <w:right w:val="nil"/>
            </w:tcBorders>
            <w:shd w:val="clear" w:color="000000" w:fill="FFFFFF"/>
            <w:vAlign w:val="center"/>
            <w:hideMark/>
          </w:tcPr>
          <w:p w14:paraId="58C128B4" w14:textId="77777777" w:rsidR="00A64EB8" w:rsidRPr="00C16EA9" w:rsidRDefault="00A64EB8" w:rsidP="003373CD">
            <w:pPr>
              <w:keepNext/>
              <w:keepLines/>
              <w:rPr>
                <w:rFonts w:ascii="Arial Narrow" w:hAnsi="Arial Narrow"/>
                <w:b/>
                <w:bCs/>
                <w:sz w:val="20"/>
                <w:lang w:eastAsia="es-ES"/>
              </w:rPr>
            </w:pPr>
            <w:r w:rsidRPr="00C16EA9">
              <w:rPr>
                <w:rFonts w:ascii="Arial Narrow" w:hAnsi="Arial Narrow"/>
                <w:b/>
                <w:bCs/>
                <w:sz w:val="20"/>
                <w:lang w:eastAsia="es-ES"/>
              </w:rPr>
              <w:t>Pasivos por impuestos diferidos:</w:t>
            </w:r>
          </w:p>
        </w:tc>
        <w:tc>
          <w:tcPr>
            <w:tcW w:w="1281" w:type="dxa"/>
            <w:tcBorders>
              <w:top w:val="nil"/>
              <w:left w:val="nil"/>
              <w:bottom w:val="nil"/>
              <w:right w:val="nil"/>
            </w:tcBorders>
            <w:shd w:val="clear" w:color="000000" w:fill="FFFFFF"/>
            <w:vAlign w:val="center"/>
          </w:tcPr>
          <w:p w14:paraId="0543577D" w14:textId="77777777" w:rsidR="00A64EB8" w:rsidRPr="00C16EA9" w:rsidRDefault="00A64EB8" w:rsidP="003373CD">
            <w:pPr>
              <w:keepNext/>
              <w:keepLines/>
              <w:jc w:val="right"/>
              <w:rPr>
                <w:rFonts w:ascii="Arial Narrow" w:hAnsi="Arial Narrow"/>
                <w:sz w:val="20"/>
                <w:lang w:eastAsia="es-ES"/>
              </w:rPr>
            </w:pPr>
          </w:p>
        </w:tc>
        <w:tc>
          <w:tcPr>
            <w:tcW w:w="2056" w:type="dxa"/>
            <w:gridSpan w:val="2"/>
            <w:tcBorders>
              <w:top w:val="nil"/>
              <w:left w:val="nil"/>
              <w:bottom w:val="nil"/>
              <w:right w:val="nil"/>
            </w:tcBorders>
            <w:shd w:val="clear" w:color="000000" w:fill="FFFFFF"/>
            <w:vAlign w:val="center"/>
          </w:tcPr>
          <w:p w14:paraId="037FFE93" w14:textId="77777777" w:rsidR="00A64EB8" w:rsidRPr="00C16EA9" w:rsidRDefault="00A64EB8" w:rsidP="003373CD">
            <w:pPr>
              <w:keepNext/>
              <w:keepLines/>
              <w:jc w:val="right"/>
              <w:rPr>
                <w:rFonts w:ascii="Arial Narrow" w:hAnsi="Arial Narrow"/>
                <w:sz w:val="20"/>
                <w:lang w:eastAsia="es-ES"/>
              </w:rPr>
            </w:pPr>
          </w:p>
        </w:tc>
      </w:tr>
      <w:tr w:rsidR="004F54D8" w:rsidRPr="00C16EA9" w14:paraId="49205949" w14:textId="77777777" w:rsidTr="00032181">
        <w:trPr>
          <w:trHeight w:val="283"/>
          <w:jc w:val="center"/>
        </w:trPr>
        <w:tc>
          <w:tcPr>
            <w:tcW w:w="0" w:type="auto"/>
            <w:tcBorders>
              <w:top w:val="nil"/>
              <w:left w:val="nil"/>
              <w:bottom w:val="nil"/>
              <w:right w:val="nil"/>
            </w:tcBorders>
            <w:shd w:val="clear" w:color="000000" w:fill="FFFFFF"/>
            <w:vAlign w:val="center"/>
            <w:hideMark/>
          </w:tcPr>
          <w:p w14:paraId="607D719D" w14:textId="77777777" w:rsidR="004F54D8" w:rsidRPr="00C16EA9" w:rsidRDefault="004F54D8" w:rsidP="004F54D8">
            <w:pPr>
              <w:keepNext/>
              <w:keepLines/>
              <w:rPr>
                <w:rFonts w:ascii="Arial Narrow" w:hAnsi="Arial Narrow"/>
                <w:sz w:val="20"/>
                <w:lang w:eastAsia="es-ES"/>
              </w:rPr>
            </w:pPr>
            <w:r w:rsidRPr="00C16EA9">
              <w:rPr>
                <w:rFonts w:ascii="Arial Narrow" w:hAnsi="Arial Narrow"/>
                <w:sz w:val="20"/>
                <w:lang w:eastAsia="es-ES"/>
              </w:rPr>
              <w:t>- Diferencias temporarias (subvenciones no reintegrables)</w:t>
            </w:r>
          </w:p>
        </w:tc>
        <w:tc>
          <w:tcPr>
            <w:tcW w:w="1397" w:type="dxa"/>
            <w:gridSpan w:val="2"/>
            <w:tcBorders>
              <w:top w:val="nil"/>
              <w:left w:val="nil"/>
              <w:bottom w:val="nil"/>
              <w:right w:val="nil"/>
            </w:tcBorders>
            <w:shd w:val="clear" w:color="auto" w:fill="auto"/>
            <w:noWrap/>
            <w:vAlign w:val="center"/>
          </w:tcPr>
          <w:p w14:paraId="477C766A" w14:textId="77777777" w:rsidR="004F54D8" w:rsidRPr="00C16EA9" w:rsidRDefault="004F54D8" w:rsidP="004F54D8">
            <w:pPr>
              <w:keepNext/>
              <w:keepLines/>
              <w:jc w:val="right"/>
              <w:rPr>
                <w:rFonts w:ascii="Arial Narrow" w:hAnsi="Arial Narrow"/>
                <w:sz w:val="20"/>
                <w:lang w:eastAsia="es-ES"/>
              </w:rPr>
            </w:pPr>
            <w:r>
              <w:rPr>
                <w:rFonts w:ascii="Arial Narrow" w:hAnsi="Arial Narrow"/>
                <w:sz w:val="20"/>
                <w:lang w:eastAsia="es-ES"/>
              </w:rPr>
              <w:t>8.365.868,03</w:t>
            </w:r>
          </w:p>
        </w:tc>
        <w:tc>
          <w:tcPr>
            <w:tcW w:w="2056" w:type="dxa"/>
            <w:gridSpan w:val="2"/>
            <w:tcBorders>
              <w:top w:val="nil"/>
              <w:left w:val="nil"/>
              <w:bottom w:val="nil"/>
              <w:right w:val="nil"/>
            </w:tcBorders>
            <w:shd w:val="clear" w:color="auto" w:fill="auto"/>
            <w:noWrap/>
            <w:vAlign w:val="center"/>
            <w:hideMark/>
          </w:tcPr>
          <w:p w14:paraId="0CD7AD4F" w14:textId="77777777" w:rsidR="004F54D8" w:rsidRPr="00C16EA9" w:rsidRDefault="004F54D8" w:rsidP="004F54D8">
            <w:pPr>
              <w:keepNext/>
              <w:keepLines/>
              <w:jc w:val="center"/>
              <w:rPr>
                <w:rFonts w:ascii="Arial Narrow" w:hAnsi="Arial Narrow"/>
                <w:sz w:val="20"/>
                <w:lang w:eastAsia="es-ES"/>
              </w:rPr>
            </w:pPr>
            <w:r>
              <w:rPr>
                <w:rFonts w:ascii="Arial Narrow" w:hAnsi="Arial Narrow"/>
                <w:sz w:val="20"/>
                <w:lang w:eastAsia="es-ES"/>
              </w:rPr>
              <w:t>8.649.336,70</w:t>
            </w:r>
          </w:p>
        </w:tc>
      </w:tr>
      <w:tr w:rsidR="004F54D8" w:rsidRPr="00C16EA9" w14:paraId="24E0349A" w14:textId="77777777" w:rsidTr="00032181">
        <w:trPr>
          <w:trHeight w:val="283"/>
          <w:jc w:val="center"/>
        </w:trPr>
        <w:tc>
          <w:tcPr>
            <w:tcW w:w="0" w:type="auto"/>
            <w:tcBorders>
              <w:top w:val="nil"/>
              <w:left w:val="nil"/>
              <w:bottom w:val="nil"/>
              <w:right w:val="nil"/>
            </w:tcBorders>
            <w:shd w:val="clear" w:color="000000" w:fill="F2F2F2"/>
            <w:noWrap/>
            <w:vAlign w:val="center"/>
            <w:hideMark/>
          </w:tcPr>
          <w:p w14:paraId="790E1816" w14:textId="77777777" w:rsidR="004F54D8" w:rsidRPr="00C16EA9" w:rsidRDefault="004F54D8" w:rsidP="004F54D8">
            <w:pPr>
              <w:keepNext/>
              <w:keepLines/>
              <w:rPr>
                <w:rFonts w:ascii="Arial Narrow" w:hAnsi="Arial Narrow"/>
                <w:b/>
                <w:bCs/>
                <w:sz w:val="20"/>
                <w:lang w:eastAsia="es-ES"/>
              </w:rPr>
            </w:pPr>
            <w:r w:rsidRPr="00C16EA9">
              <w:rPr>
                <w:rFonts w:ascii="Arial Narrow" w:hAnsi="Arial Narrow"/>
                <w:b/>
                <w:bCs/>
                <w:sz w:val="20"/>
                <w:lang w:eastAsia="es-ES"/>
              </w:rPr>
              <w:t>Impuestos diferidos</w:t>
            </w:r>
          </w:p>
        </w:tc>
        <w:tc>
          <w:tcPr>
            <w:tcW w:w="1397" w:type="dxa"/>
            <w:gridSpan w:val="2"/>
            <w:tcBorders>
              <w:top w:val="nil"/>
              <w:left w:val="nil"/>
              <w:bottom w:val="nil"/>
              <w:right w:val="nil"/>
            </w:tcBorders>
            <w:shd w:val="clear" w:color="000000" w:fill="F2F2F2"/>
            <w:noWrap/>
            <w:vAlign w:val="center"/>
          </w:tcPr>
          <w:p w14:paraId="2CBF0AA4" w14:textId="77777777" w:rsidR="004F54D8" w:rsidRPr="00C16EA9" w:rsidRDefault="004F54D8" w:rsidP="004F54D8">
            <w:pPr>
              <w:keepNext/>
              <w:keepLines/>
              <w:jc w:val="right"/>
              <w:rPr>
                <w:rFonts w:ascii="Arial Narrow" w:hAnsi="Arial Narrow"/>
                <w:b/>
                <w:sz w:val="20"/>
                <w:lang w:eastAsia="es-ES"/>
              </w:rPr>
            </w:pPr>
            <w:r w:rsidRPr="004F54D8">
              <w:rPr>
                <w:rFonts w:ascii="Arial Narrow" w:hAnsi="Arial Narrow"/>
                <w:b/>
                <w:sz w:val="20"/>
                <w:lang w:eastAsia="es-ES"/>
              </w:rPr>
              <w:t>8.365.868,03</w:t>
            </w:r>
          </w:p>
        </w:tc>
        <w:tc>
          <w:tcPr>
            <w:tcW w:w="2056" w:type="dxa"/>
            <w:gridSpan w:val="2"/>
            <w:tcBorders>
              <w:top w:val="nil"/>
              <w:left w:val="nil"/>
              <w:bottom w:val="nil"/>
              <w:right w:val="nil"/>
            </w:tcBorders>
            <w:shd w:val="clear" w:color="000000" w:fill="F2F2F2"/>
            <w:noWrap/>
            <w:vAlign w:val="center"/>
            <w:hideMark/>
          </w:tcPr>
          <w:p w14:paraId="3807F8CA" w14:textId="77777777" w:rsidR="004F54D8" w:rsidRPr="00C16EA9" w:rsidRDefault="004F54D8" w:rsidP="004F54D8">
            <w:pPr>
              <w:keepNext/>
              <w:keepLines/>
              <w:jc w:val="center"/>
              <w:rPr>
                <w:rFonts w:ascii="Arial Narrow" w:hAnsi="Arial Narrow"/>
                <w:b/>
                <w:sz w:val="20"/>
                <w:lang w:eastAsia="es-ES"/>
              </w:rPr>
            </w:pPr>
            <w:r w:rsidRPr="00F8785A">
              <w:rPr>
                <w:rFonts w:ascii="Arial Narrow" w:hAnsi="Arial Narrow"/>
                <w:b/>
                <w:sz w:val="20"/>
                <w:lang w:eastAsia="es-ES"/>
              </w:rPr>
              <w:t>8.649.336,70</w:t>
            </w:r>
          </w:p>
        </w:tc>
      </w:tr>
    </w:tbl>
    <w:p w14:paraId="484EBBE8" w14:textId="77777777" w:rsidR="00DD368E" w:rsidRDefault="00DD368E" w:rsidP="00A06FC1">
      <w:pPr>
        <w:spacing w:before="240" w:after="120"/>
        <w:jc w:val="both"/>
        <w:rPr>
          <w:rFonts w:ascii="Arial Narrow" w:hAnsi="Arial Narrow" w:cs="Arial"/>
          <w:sz w:val="24"/>
          <w:szCs w:val="24"/>
        </w:rPr>
      </w:pPr>
      <w:r w:rsidRPr="0011112D">
        <w:rPr>
          <w:rFonts w:ascii="Arial Narrow" w:hAnsi="Arial Narrow" w:cs="Arial"/>
          <w:sz w:val="24"/>
          <w:szCs w:val="24"/>
        </w:rPr>
        <w:t>Los activos y pasivos por impuestos se compensan si en ese momento la Sociedad tiene el derecho exigible de compensar los importes reconocidos y tiene la intención de liquidar las cantidades por el neto o de realizar el activo y cancelar el pasivo simultáneamente.</w:t>
      </w:r>
    </w:p>
    <w:p w14:paraId="0F8B8375" w14:textId="77777777" w:rsidR="00DD368E" w:rsidRDefault="00DD368E" w:rsidP="00A06FC1">
      <w:pPr>
        <w:spacing w:before="120" w:after="120"/>
        <w:jc w:val="both"/>
        <w:rPr>
          <w:rFonts w:ascii="Arial Narrow" w:hAnsi="Arial Narrow" w:cs="Arial"/>
          <w:spacing w:val="-2"/>
          <w:sz w:val="24"/>
          <w:szCs w:val="24"/>
        </w:rPr>
      </w:pPr>
      <w:r w:rsidRPr="0011112D">
        <w:rPr>
          <w:rFonts w:ascii="Arial Narrow" w:hAnsi="Arial Narrow" w:cs="Arial"/>
          <w:spacing w:val="-2"/>
          <w:sz w:val="24"/>
          <w:szCs w:val="24"/>
        </w:rPr>
        <w:t>El movimiento bruto en los impuestos diferidos ha sido el siguiente:</w:t>
      </w:r>
    </w:p>
    <w:p w14:paraId="763EE09D" w14:textId="77777777" w:rsidR="00AE4272" w:rsidRDefault="0030678B" w:rsidP="0030678B">
      <w:pPr>
        <w:spacing w:before="240" w:after="120"/>
        <w:jc w:val="center"/>
        <w:rPr>
          <w:rFonts w:ascii="Arial Narrow" w:hAnsi="Arial Narrow" w:cs="Arial"/>
          <w:sz w:val="24"/>
          <w:szCs w:val="24"/>
        </w:rPr>
      </w:pPr>
      <w:r w:rsidRPr="0030678B">
        <w:rPr>
          <w:noProof/>
          <w:lang w:val="es-ES" w:eastAsia="es-ES"/>
        </w:rPr>
        <w:drawing>
          <wp:inline distT="0" distB="0" distL="0" distR="0" wp14:anchorId="36AF5064" wp14:editId="7EABE531">
            <wp:extent cx="4201160" cy="1155700"/>
            <wp:effectExtent l="0" t="0" r="889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01160" cy="1155700"/>
                    </a:xfrm>
                    <a:prstGeom prst="rect">
                      <a:avLst/>
                    </a:prstGeom>
                    <a:noFill/>
                    <a:ln>
                      <a:noFill/>
                    </a:ln>
                  </pic:spPr>
                </pic:pic>
              </a:graphicData>
            </a:graphic>
          </wp:inline>
        </w:drawing>
      </w:r>
    </w:p>
    <w:p w14:paraId="08DFD695" w14:textId="77777777" w:rsidR="00DF4FF4" w:rsidRDefault="00DF4FF4" w:rsidP="0030678B">
      <w:pPr>
        <w:spacing w:before="240" w:after="120"/>
        <w:jc w:val="center"/>
        <w:rPr>
          <w:rFonts w:ascii="Arial Narrow" w:hAnsi="Arial Narrow" w:cs="Arial"/>
          <w:sz w:val="24"/>
          <w:szCs w:val="24"/>
        </w:rPr>
      </w:pPr>
    </w:p>
    <w:p w14:paraId="653BE151" w14:textId="77777777" w:rsidR="00DD368E" w:rsidRDefault="00DD368E" w:rsidP="00A06FC1">
      <w:pPr>
        <w:spacing w:before="240" w:after="120"/>
        <w:jc w:val="both"/>
        <w:rPr>
          <w:rFonts w:ascii="Arial Narrow" w:hAnsi="Arial Narrow" w:cs="Arial"/>
          <w:sz w:val="24"/>
          <w:szCs w:val="24"/>
        </w:rPr>
      </w:pPr>
      <w:r w:rsidRPr="009C6C56">
        <w:rPr>
          <w:rFonts w:ascii="Arial Narrow" w:hAnsi="Arial Narrow" w:cs="Arial"/>
          <w:sz w:val="24"/>
          <w:szCs w:val="24"/>
        </w:rPr>
        <w:t>A 31 de diciembre de</w:t>
      </w:r>
      <w:r w:rsidR="00F44933" w:rsidRPr="009C6C56">
        <w:rPr>
          <w:rFonts w:ascii="Arial Narrow" w:hAnsi="Arial Narrow" w:cs="Arial"/>
          <w:sz w:val="24"/>
          <w:szCs w:val="24"/>
        </w:rPr>
        <w:t xml:space="preserve"> 201</w:t>
      </w:r>
      <w:r w:rsidR="0030678B">
        <w:rPr>
          <w:rFonts w:ascii="Arial Narrow" w:hAnsi="Arial Narrow" w:cs="Arial"/>
          <w:sz w:val="24"/>
          <w:szCs w:val="24"/>
        </w:rPr>
        <w:t>9</w:t>
      </w:r>
      <w:r w:rsidRPr="009C6C56">
        <w:rPr>
          <w:rFonts w:ascii="Arial Narrow" w:hAnsi="Arial Narrow" w:cs="Arial"/>
          <w:sz w:val="24"/>
          <w:szCs w:val="24"/>
        </w:rPr>
        <w:t xml:space="preserve">, el detalle de las bases imponibles pendientes de compensar, sin incluir la generada en el </w:t>
      </w:r>
      <w:r w:rsidR="00632120" w:rsidRPr="009C6C56">
        <w:rPr>
          <w:rFonts w:ascii="Arial Narrow" w:hAnsi="Arial Narrow" w:cs="Arial"/>
          <w:sz w:val="24"/>
          <w:szCs w:val="24"/>
        </w:rPr>
        <w:t>ejerc</w:t>
      </w:r>
      <w:r w:rsidR="00766165" w:rsidRPr="009C6C56">
        <w:rPr>
          <w:rFonts w:ascii="Arial Narrow" w:hAnsi="Arial Narrow" w:cs="Arial"/>
          <w:sz w:val="24"/>
          <w:szCs w:val="24"/>
        </w:rPr>
        <w:t>icio 201</w:t>
      </w:r>
      <w:r w:rsidR="0030678B">
        <w:rPr>
          <w:rFonts w:ascii="Arial Narrow" w:hAnsi="Arial Narrow" w:cs="Arial"/>
          <w:sz w:val="24"/>
          <w:szCs w:val="24"/>
        </w:rPr>
        <w:t>9</w:t>
      </w:r>
      <w:r w:rsidRPr="009C6C56">
        <w:rPr>
          <w:rFonts w:ascii="Arial Narrow" w:hAnsi="Arial Narrow" w:cs="Arial"/>
          <w:sz w:val="24"/>
          <w:szCs w:val="24"/>
        </w:rPr>
        <w:t>, es el siguiente</w:t>
      </w:r>
      <w:r w:rsidRPr="00850B72">
        <w:rPr>
          <w:rFonts w:ascii="Arial Narrow" w:hAnsi="Arial Narrow" w:cs="Arial"/>
          <w:sz w:val="24"/>
          <w:szCs w:val="24"/>
        </w:rPr>
        <w:t>:</w:t>
      </w:r>
    </w:p>
    <w:p w14:paraId="330DDEAE" w14:textId="77777777" w:rsidR="00DF4FF4" w:rsidRPr="00850B72" w:rsidRDefault="00DF4FF4" w:rsidP="00A06FC1">
      <w:pPr>
        <w:spacing w:before="240" w:after="120"/>
        <w:jc w:val="both"/>
        <w:rPr>
          <w:rFonts w:ascii="Arial Narrow" w:hAnsi="Arial Narrow" w:cs="Arial"/>
          <w:sz w:val="24"/>
          <w:szCs w:val="24"/>
        </w:rPr>
      </w:pPr>
    </w:p>
    <w:tbl>
      <w:tblPr>
        <w:tblW w:w="4212" w:type="dxa"/>
        <w:jc w:val="center"/>
        <w:tblCellMar>
          <w:left w:w="70" w:type="dxa"/>
          <w:right w:w="70" w:type="dxa"/>
        </w:tblCellMar>
        <w:tblLook w:val="04A0" w:firstRow="1" w:lastRow="0" w:firstColumn="1" w:lastColumn="0" w:noHBand="0" w:noVBand="1"/>
      </w:tblPr>
      <w:tblGrid>
        <w:gridCol w:w="905"/>
        <w:gridCol w:w="1410"/>
        <w:gridCol w:w="1897"/>
      </w:tblGrid>
      <w:tr w:rsidR="00F56ADE" w:rsidRPr="00BF3211" w14:paraId="12C32C5A" w14:textId="77777777" w:rsidTr="00AE4272">
        <w:trPr>
          <w:trHeight w:val="325"/>
          <w:jc w:val="center"/>
        </w:trPr>
        <w:tc>
          <w:tcPr>
            <w:tcW w:w="905" w:type="dxa"/>
            <w:tcBorders>
              <w:top w:val="nil"/>
              <w:left w:val="nil"/>
              <w:bottom w:val="nil"/>
              <w:right w:val="nil"/>
            </w:tcBorders>
            <w:shd w:val="clear" w:color="auto" w:fill="D9D9D9" w:themeFill="background1" w:themeFillShade="D9"/>
            <w:vAlign w:val="center"/>
            <w:hideMark/>
          </w:tcPr>
          <w:p w14:paraId="453FCB0C" w14:textId="77777777" w:rsidR="001B50C2" w:rsidRPr="00BF3211" w:rsidRDefault="001B50C2" w:rsidP="00813F25">
            <w:pPr>
              <w:keepNext/>
              <w:keepLines/>
              <w:jc w:val="center"/>
              <w:rPr>
                <w:rFonts w:ascii="Arial Narrow" w:hAnsi="Arial Narrow"/>
                <w:b/>
                <w:bCs/>
                <w:sz w:val="20"/>
                <w:lang w:eastAsia="es-ES"/>
              </w:rPr>
            </w:pPr>
            <w:r w:rsidRPr="00BF3211">
              <w:rPr>
                <w:rFonts w:ascii="Arial Narrow" w:hAnsi="Arial Narrow"/>
                <w:b/>
                <w:bCs/>
                <w:sz w:val="20"/>
                <w:lang w:eastAsia="es-ES"/>
              </w:rPr>
              <w:t>Ejercicio</w:t>
            </w:r>
          </w:p>
        </w:tc>
        <w:tc>
          <w:tcPr>
            <w:tcW w:w="1410" w:type="dxa"/>
            <w:tcBorders>
              <w:top w:val="nil"/>
              <w:left w:val="nil"/>
              <w:bottom w:val="nil"/>
              <w:right w:val="nil"/>
            </w:tcBorders>
            <w:shd w:val="clear" w:color="auto" w:fill="D9D9D9" w:themeFill="background1" w:themeFillShade="D9"/>
            <w:vAlign w:val="center"/>
            <w:hideMark/>
          </w:tcPr>
          <w:p w14:paraId="3B5D7768" w14:textId="77777777" w:rsidR="001B50C2" w:rsidRPr="003F1AD4" w:rsidRDefault="001B50C2" w:rsidP="00813F25">
            <w:pPr>
              <w:keepNext/>
              <w:keepLines/>
              <w:jc w:val="center"/>
              <w:rPr>
                <w:rFonts w:ascii="Arial Narrow" w:hAnsi="Arial Narrow"/>
                <w:b/>
                <w:bCs/>
                <w:sz w:val="20"/>
                <w:lang w:eastAsia="es-ES"/>
              </w:rPr>
            </w:pPr>
            <w:r w:rsidRPr="003F1AD4">
              <w:rPr>
                <w:rFonts w:ascii="Arial Narrow" w:hAnsi="Arial Narrow"/>
                <w:b/>
                <w:bCs/>
                <w:sz w:val="20"/>
                <w:lang w:eastAsia="es-ES"/>
              </w:rPr>
              <w:t>Bases Negativas</w:t>
            </w:r>
          </w:p>
        </w:tc>
        <w:tc>
          <w:tcPr>
            <w:tcW w:w="1897" w:type="dxa"/>
            <w:tcBorders>
              <w:top w:val="nil"/>
              <w:left w:val="nil"/>
              <w:bottom w:val="nil"/>
              <w:right w:val="nil"/>
            </w:tcBorders>
            <w:shd w:val="clear" w:color="auto" w:fill="D9D9D9" w:themeFill="background1" w:themeFillShade="D9"/>
            <w:vAlign w:val="center"/>
            <w:hideMark/>
          </w:tcPr>
          <w:p w14:paraId="0BBAA7C7" w14:textId="77777777" w:rsidR="001B50C2" w:rsidRPr="00F8785A" w:rsidRDefault="001B50C2" w:rsidP="00813F25">
            <w:pPr>
              <w:keepNext/>
              <w:keepLines/>
              <w:jc w:val="center"/>
              <w:rPr>
                <w:rFonts w:ascii="Arial Narrow" w:hAnsi="Arial Narrow"/>
                <w:b/>
                <w:bCs/>
                <w:sz w:val="20"/>
                <w:lang w:eastAsia="es-ES"/>
              </w:rPr>
            </w:pPr>
            <w:r w:rsidRPr="00F8785A">
              <w:rPr>
                <w:rFonts w:ascii="Arial Narrow" w:hAnsi="Arial Narrow"/>
                <w:b/>
                <w:bCs/>
                <w:sz w:val="20"/>
                <w:lang w:eastAsia="es-ES"/>
              </w:rPr>
              <w:t>Último año a compensar</w:t>
            </w:r>
          </w:p>
        </w:tc>
      </w:tr>
      <w:tr w:rsidR="00F56ADE" w:rsidRPr="00BF3211" w14:paraId="665CBFD5" w14:textId="77777777" w:rsidTr="00AE4272">
        <w:trPr>
          <w:trHeight w:val="260"/>
          <w:jc w:val="center"/>
        </w:trPr>
        <w:tc>
          <w:tcPr>
            <w:tcW w:w="905" w:type="dxa"/>
            <w:tcBorders>
              <w:top w:val="nil"/>
              <w:left w:val="nil"/>
              <w:bottom w:val="nil"/>
              <w:right w:val="nil"/>
            </w:tcBorders>
            <w:shd w:val="clear" w:color="auto" w:fill="auto"/>
            <w:vAlign w:val="center"/>
            <w:hideMark/>
          </w:tcPr>
          <w:p w14:paraId="64892EDE"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1997</w:t>
            </w:r>
          </w:p>
        </w:tc>
        <w:tc>
          <w:tcPr>
            <w:tcW w:w="1410" w:type="dxa"/>
            <w:tcBorders>
              <w:top w:val="nil"/>
              <w:left w:val="nil"/>
              <w:bottom w:val="nil"/>
              <w:right w:val="nil"/>
            </w:tcBorders>
            <w:shd w:val="clear" w:color="auto" w:fill="auto"/>
            <w:vAlign w:val="center"/>
            <w:hideMark/>
          </w:tcPr>
          <w:p w14:paraId="7DD7E0FF"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4.949,58</w:t>
            </w:r>
          </w:p>
        </w:tc>
        <w:tc>
          <w:tcPr>
            <w:tcW w:w="1897" w:type="dxa"/>
            <w:tcBorders>
              <w:top w:val="nil"/>
              <w:left w:val="nil"/>
              <w:bottom w:val="nil"/>
              <w:right w:val="nil"/>
            </w:tcBorders>
            <w:shd w:val="clear" w:color="auto" w:fill="auto"/>
            <w:vAlign w:val="center"/>
            <w:hideMark/>
          </w:tcPr>
          <w:p w14:paraId="5DDF9B7C"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Sin límite</w:t>
            </w:r>
          </w:p>
        </w:tc>
      </w:tr>
      <w:tr w:rsidR="00F56ADE" w:rsidRPr="00BF3211" w14:paraId="24A789C5" w14:textId="77777777" w:rsidTr="00AE4272">
        <w:trPr>
          <w:trHeight w:val="260"/>
          <w:jc w:val="center"/>
        </w:trPr>
        <w:tc>
          <w:tcPr>
            <w:tcW w:w="905" w:type="dxa"/>
            <w:tcBorders>
              <w:top w:val="nil"/>
              <w:left w:val="nil"/>
              <w:bottom w:val="nil"/>
              <w:right w:val="nil"/>
            </w:tcBorders>
            <w:shd w:val="clear" w:color="auto" w:fill="auto"/>
            <w:vAlign w:val="center"/>
            <w:hideMark/>
          </w:tcPr>
          <w:p w14:paraId="0F383BC7"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1998</w:t>
            </w:r>
          </w:p>
        </w:tc>
        <w:tc>
          <w:tcPr>
            <w:tcW w:w="1410" w:type="dxa"/>
            <w:tcBorders>
              <w:top w:val="nil"/>
              <w:left w:val="nil"/>
              <w:bottom w:val="nil"/>
              <w:right w:val="nil"/>
            </w:tcBorders>
            <w:shd w:val="clear" w:color="auto" w:fill="auto"/>
            <w:vAlign w:val="center"/>
            <w:hideMark/>
          </w:tcPr>
          <w:p w14:paraId="7B59FC42"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130.545,39</w:t>
            </w:r>
          </w:p>
        </w:tc>
        <w:tc>
          <w:tcPr>
            <w:tcW w:w="1897" w:type="dxa"/>
            <w:tcBorders>
              <w:top w:val="nil"/>
              <w:left w:val="nil"/>
              <w:bottom w:val="nil"/>
              <w:right w:val="nil"/>
            </w:tcBorders>
            <w:shd w:val="clear" w:color="auto" w:fill="auto"/>
            <w:vAlign w:val="center"/>
            <w:hideMark/>
          </w:tcPr>
          <w:p w14:paraId="462F6E4E"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1631BDAC" w14:textId="77777777" w:rsidTr="00AE4272">
        <w:trPr>
          <w:trHeight w:val="260"/>
          <w:jc w:val="center"/>
        </w:trPr>
        <w:tc>
          <w:tcPr>
            <w:tcW w:w="905" w:type="dxa"/>
            <w:tcBorders>
              <w:top w:val="nil"/>
              <w:left w:val="nil"/>
              <w:bottom w:val="nil"/>
              <w:right w:val="nil"/>
            </w:tcBorders>
            <w:shd w:val="clear" w:color="auto" w:fill="auto"/>
            <w:vAlign w:val="center"/>
            <w:hideMark/>
          </w:tcPr>
          <w:p w14:paraId="4A5CFF77"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2001</w:t>
            </w:r>
          </w:p>
        </w:tc>
        <w:tc>
          <w:tcPr>
            <w:tcW w:w="1410" w:type="dxa"/>
            <w:tcBorders>
              <w:top w:val="nil"/>
              <w:left w:val="nil"/>
              <w:bottom w:val="nil"/>
              <w:right w:val="nil"/>
            </w:tcBorders>
            <w:shd w:val="clear" w:color="auto" w:fill="auto"/>
            <w:vAlign w:val="center"/>
            <w:hideMark/>
          </w:tcPr>
          <w:p w14:paraId="6CC15B35"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348.521,50</w:t>
            </w:r>
          </w:p>
        </w:tc>
        <w:tc>
          <w:tcPr>
            <w:tcW w:w="1897" w:type="dxa"/>
            <w:tcBorders>
              <w:top w:val="nil"/>
              <w:left w:val="nil"/>
              <w:bottom w:val="nil"/>
              <w:right w:val="nil"/>
            </w:tcBorders>
            <w:shd w:val="clear" w:color="auto" w:fill="auto"/>
            <w:vAlign w:val="center"/>
          </w:tcPr>
          <w:p w14:paraId="50D4FE6F"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00A03EDA" w14:textId="77777777" w:rsidTr="00AE4272">
        <w:trPr>
          <w:trHeight w:val="260"/>
          <w:jc w:val="center"/>
        </w:trPr>
        <w:tc>
          <w:tcPr>
            <w:tcW w:w="905" w:type="dxa"/>
            <w:tcBorders>
              <w:top w:val="nil"/>
              <w:left w:val="nil"/>
              <w:bottom w:val="nil"/>
              <w:right w:val="nil"/>
            </w:tcBorders>
            <w:shd w:val="clear" w:color="auto" w:fill="auto"/>
            <w:vAlign w:val="center"/>
            <w:hideMark/>
          </w:tcPr>
          <w:p w14:paraId="0D461EB1"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2002</w:t>
            </w:r>
          </w:p>
        </w:tc>
        <w:tc>
          <w:tcPr>
            <w:tcW w:w="1410" w:type="dxa"/>
            <w:tcBorders>
              <w:top w:val="nil"/>
              <w:left w:val="nil"/>
              <w:bottom w:val="nil"/>
              <w:right w:val="nil"/>
            </w:tcBorders>
            <w:shd w:val="clear" w:color="auto" w:fill="auto"/>
            <w:vAlign w:val="center"/>
            <w:hideMark/>
          </w:tcPr>
          <w:p w14:paraId="56143069"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275.050,93</w:t>
            </w:r>
          </w:p>
        </w:tc>
        <w:tc>
          <w:tcPr>
            <w:tcW w:w="1897" w:type="dxa"/>
            <w:tcBorders>
              <w:top w:val="nil"/>
              <w:left w:val="nil"/>
              <w:bottom w:val="nil"/>
              <w:right w:val="nil"/>
            </w:tcBorders>
            <w:shd w:val="clear" w:color="auto" w:fill="auto"/>
            <w:vAlign w:val="center"/>
          </w:tcPr>
          <w:p w14:paraId="5F920A41"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41B6B114" w14:textId="77777777" w:rsidTr="00AE4272">
        <w:trPr>
          <w:trHeight w:val="260"/>
          <w:jc w:val="center"/>
        </w:trPr>
        <w:tc>
          <w:tcPr>
            <w:tcW w:w="905" w:type="dxa"/>
            <w:tcBorders>
              <w:top w:val="nil"/>
              <w:left w:val="nil"/>
              <w:bottom w:val="nil"/>
              <w:right w:val="nil"/>
            </w:tcBorders>
            <w:shd w:val="clear" w:color="auto" w:fill="auto"/>
            <w:vAlign w:val="center"/>
            <w:hideMark/>
          </w:tcPr>
          <w:p w14:paraId="1E97DF81"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2008</w:t>
            </w:r>
          </w:p>
        </w:tc>
        <w:tc>
          <w:tcPr>
            <w:tcW w:w="1410" w:type="dxa"/>
            <w:tcBorders>
              <w:top w:val="nil"/>
              <w:left w:val="nil"/>
              <w:bottom w:val="nil"/>
              <w:right w:val="nil"/>
            </w:tcBorders>
            <w:shd w:val="clear" w:color="auto" w:fill="auto"/>
            <w:vAlign w:val="center"/>
            <w:hideMark/>
          </w:tcPr>
          <w:p w14:paraId="43661515"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4.687.027,11</w:t>
            </w:r>
          </w:p>
        </w:tc>
        <w:tc>
          <w:tcPr>
            <w:tcW w:w="1897" w:type="dxa"/>
            <w:tcBorders>
              <w:top w:val="nil"/>
              <w:left w:val="nil"/>
              <w:bottom w:val="nil"/>
              <w:right w:val="nil"/>
            </w:tcBorders>
            <w:shd w:val="clear" w:color="auto" w:fill="auto"/>
            <w:vAlign w:val="center"/>
          </w:tcPr>
          <w:p w14:paraId="3E4394F8"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48BE1A46" w14:textId="77777777" w:rsidTr="00AE4272">
        <w:trPr>
          <w:trHeight w:val="260"/>
          <w:jc w:val="center"/>
        </w:trPr>
        <w:tc>
          <w:tcPr>
            <w:tcW w:w="905" w:type="dxa"/>
            <w:tcBorders>
              <w:top w:val="nil"/>
              <w:left w:val="nil"/>
              <w:bottom w:val="nil"/>
              <w:right w:val="nil"/>
            </w:tcBorders>
            <w:shd w:val="clear" w:color="auto" w:fill="auto"/>
            <w:vAlign w:val="center"/>
            <w:hideMark/>
          </w:tcPr>
          <w:p w14:paraId="18B434F1"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2009</w:t>
            </w:r>
          </w:p>
        </w:tc>
        <w:tc>
          <w:tcPr>
            <w:tcW w:w="1410" w:type="dxa"/>
            <w:tcBorders>
              <w:top w:val="nil"/>
              <w:left w:val="nil"/>
              <w:bottom w:val="nil"/>
              <w:right w:val="nil"/>
            </w:tcBorders>
            <w:shd w:val="clear" w:color="auto" w:fill="auto"/>
            <w:vAlign w:val="center"/>
            <w:hideMark/>
          </w:tcPr>
          <w:p w14:paraId="545FD1DF"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7.353.588,83</w:t>
            </w:r>
          </w:p>
        </w:tc>
        <w:tc>
          <w:tcPr>
            <w:tcW w:w="1897" w:type="dxa"/>
            <w:tcBorders>
              <w:top w:val="nil"/>
              <w:left w:val="nil"/>
              <w:bottom w:val="nil"/>
              <w:right w:val="nil"/>
            </w:tcBorders>
            <w:shd w:val="clear" w:color="auto" w:fill="auto"/>
            <w:vAlign w:val="center"/>
          </w:tcPr>
          <w:p w14:paraId="7B034D6C"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6DB201CC" w14:textId="77777777" w:rsidTr="00AE4272">
        <w:trPr>
          <w:trHeight w:val="260"/>
          <w:jc w:val="center"/>
        </w:trPr>
        <w:tc>
          <w:tcPr>
            <w:tcW w:w="905" w:type="dxa"/>
            <w:tcBorders>
              <w:top w:val="nil"/>
              <w:left w:val="nil"/>
              <w:bottom w:val="nil"/>
              <w:right w:val="nil"/>
            </w:tcBorders>
            <w:shd w:val="clear" w:color="auto" w:fill="auto"/>
            <w:vAlign w:val="center"/>
            <w:hideMark/>
          </w:tcPr>
          <w:p w14:paraId="4002DAF4" w14:textId="77777777" w:rsidR="001B50C2" w:rsidRPr="00BF3211" w:rsidRDefault="001B50C2" w:rsidP="00813F25">
            <w:pPr>
              <w:keepNext/>
              <w:keepLines/>
              <w:jc w:val="center"/>
              <w:rPr>
                <w:rFonts w:ascii="Arial Narrow" w:hAnsi="Arial Narrow"/>
                <w:sz w:val="20"/>
                <w:lang w:eastAsia="es-ES"/>
              </w:rPr>
            </w:pPr>
            <w:r w:rsidRPr="00BF3211">
              <w:rPr>
                <w:rFonts w:ascii="Arial Narrow" w:hAnsi="Arial Narrow"/>
                <w:sz w:val="20"/>
                <w:lang w:eastAsia="es-ES"/>
              </w:rPr>
              <w:t>2010</w:t>
            </w:r>
          </w:p>
        </w:tc>
        <w:tc>
          <w:tcPr>
            <w:tcW w:w="1410" w:type="dxa"/>
            <w:tcBorders>
              <w:top w:val="nil"/>
              <w:left w:val="nil"/>
              <w:bottom w:val="nil"/>
              <w:right w:val="nil"/>
            </w:tcBorders>
            <w:shd w:val="clear" w:color="auto" w:fill="auto"/>
            <w:vAlign w:val="center"/>
            <w:hideMark/>
          </w:tcPr>
          <w:p w14:paraId="48968F38" w14:textId="77777777" w:rsidR="001B50C2" w:rsidRPr="00BF3211" w:rsidRDefault="001B50C2" w:rsidP="00813F25">
            <w:pPr>
              <w:keepNext/>
              <w:keepLines/>
              <w:jc w:val="right"/>
              <w:rPr>
                <w:rFonts w:ascii="Arial Narrow" w:hAnsi="Arial Narrow"/>
                <w:sz w:val="20"/>
                <w:lang w:eastAsia="es-ES"/>
              </w:rPr>
            </w:pPr>
            <w:r w:rsidRPr="00BF3211">
              <w:rPr>
                <w:rFonts w:ascii="Arial Narrow" w:hAnsi="Arial Narrow"/>
                <w:sz w:val="20"/>
                <w:lang w:eastAsia="es-ES"/>
              </w:rPr>
              <w:t>5.995.266,71</w:t>
            </w:r>
          </w:p>
        </w:tc>
        <w:tc>
          <w:tcPr>
            <w:tcW w:w="1897" w:type="dxa"/>
            <w:tcBorders>
              <w:top w:val="nil"/>
              <w:left w:val="nil"/>
              <w:bottom w:val="nil"/>
              <w:right w:val="nil"/>
            </w:tcBorders>
            <w:shd w:val="clear" w:color="auto" w:fill="auto"/>
            <w:vAlign w:val="center"/>
          </w:tcPr>
          <w:p w14:paraId="5301233F" w14:textId="77777777" w:rsidR="001B50C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4680CECF" w14:textId="77777777" w:rsidTr="00AE4272">
        <w:trPr>
          <w:trHeight w:val="260"/>
          <w:jc w:val="center"/>
        </w:trPr>
        <w:tc>
          <w:tcPr>
            <w:tcW w:w="905" w:type="dxa"/>
            <w:tcBorders>
              <w:top w:val="nil"/>
              <w:left w:val="nil"/>
              <w:bottom w:val="nil"/>
              <w:right w:val="nil"/>
            </w:tcBorders>
            <w:shd w:val="clear" w:color="auto" w:fill="auto"/>
            <w:vAlign w:val="center"/>
            <w:hideMark/>
          </w:tcPr>
          <w:p w14:paraId="60FBEE1C" w14:textId="77777777" w:rsidR="006C0123" w:rsidRPr="00BF3211" w:rsidRDefault="006C0123" w:rsidP="00813F25">
            <w:pPr>
              <w:keepNext/>
              <w:keepLines/>
              <w:jc w:val="center"/>
              <w:rPr>
                <w:rFonts w:ascii="Arial Narrow" w:hAnsi="Arial Narrow"/>
                <w:sz w:val="20"/>
                <w:lang w:eastAsia="es-ES"/>
              </w:rPr>
            </w:pPr>
            <w:r w:rsidRPr="00BF3211">
              <w:rPr>
                <w:rFonts w:ascii="Arial Narrow" w:hAnsi="Arial Narrow"/>
                <w:sz w:val="20"/>
                <w:lang w:eastAsia="es-ES"/>
              </w:rPr>
              <w:t>2011</w:t>
            </w:r>
          </w:p>
        </w:tc>
        <w:tc>
          <w:tcPr>
            <w:tcW w:w="1410" w:type="dxa"/>
            <w:tcBorders>
              <w:top w:val="nil"/>
              <w:left w:val="nil"/>
              <w:bottom w:val="nil"/>
              <w:right w:val="nil"/>
            </w:tcBorders>
            <w:shd w:val="clear" w:color="auto" w:fill="auto"/>
            <w:noWrap/>
            <w:vAlign w:val="center"/>
            <w:hideMark/>
          </w:tcPr>
          <w:p w14:paraId="3BEAA3E1" w14:textId="77777777" w:rsidR="006C0123" w:rsidRPr="00BF3211" w:rsidRDefault="006C0123" w:rsidP="00813F25">
            <w:pPr>
              <w:keepNext/>
              <w:keepLines/>
              <w:jc w:val="right"/>
              <w:rPr>
                <w:rFonts w:ascii="Arial Narrow" w:hAnsi="Arial Narrow"/>
                <w:sz w:val="20"/>
                <w:lang w:eastAsia="es-ES"/>
              </w:rPr>
            </w:pPr>
            <w:r w:rsidRPr="00BF3211">
              <w:rPr>
                <w:rFonts w:ascii="Arial Narrow" w:hAnsi="Arial Narrow"/>
                <w:sz w:val="20"/>
                <w:lang w:eastAsia="es-ES"/>
              </w:rPr>
              <w:t>2.404.757,79</w:t>
            </w:r>
          </w:p>
        </w:tc>
        <w:tc>
          <w:tcPr>
            <w:tcW w:w="1897" w:type="dxa"/>
            <w:tcBorders>
              <w:top w:val="nil"/>
              <w:left w:val="nil"/>
              <w:bottom w:val="nil"/>
              <w:right w:val="nil"/>
            </w:tcBorders>
            <w:shd w:val="clear" w:color="auto" w:fill="auto"/>
            <w:vAlign w:val="center"/>
          </w:tcPr>
          <w:p w14:paraId="339DC44F" w14:textId="77777777" w:rsidR="006C0123"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4F8E705A" w14:textId="77777777" w:rsidTr="00AE4272">
        <w:trPr>
          <w:trHeight w:val="260"/>
          <w:jc w:val="center"/>
        </w:trPr>
        <w:tc>
          <w:tcPr>
            <w:tcW w:w="905" w:type="dxa"/>
            <w:tcBorders>
              <w:top w:val="nil"/>
              <w:left w:val="nil"/>
              <w:bottom w:val="nil"/>
              <w:right w:val="nil"/>
            </w:tcBorders>
            <w:shd w:val="clear" w:color="auto" w:fill="auto"/>
            <w:vAlign w:val="center"/>
            <w:hideMark/>
          </w:tcPr>
          <w:p w14:paraId="568AB94F" w14:textId="77777777" w:rsidR="008E749E" w:rsidRPr="00BF3211" w:rsidRDefault="008E749E" w:rsidP="00813F25">
            <w:pPr>
              <w:keepNext/>
              <w:keepLines/>
              <w:jc w:val="center"/>
              <w:rPr>
                <w:rFonts w:ascii="Arial Narrow" w:hAnsi="Arial Narrow"/>
                <w:sz w:val="20"/>
                <w:lang w:eastAsia="es-ES"/>
              </w:rPr>
            </w:pPr>
            <w:r w:rsidRPr="00BF3211">
              <w:rPr>
                <w:rFonts w:ascii="Arial Narrow" w:hAnsi="Arial Narrow"/>
                <w:sz w:val="20"/>
                <w:lang w:eastAsia="es-ES"/>
              </w:rPr>
              <w:t>2012</w:t>
            </w:r>
          </w:p>
        </w:tc>
        <w:tc>
          <w:tcPr>
            <w:tcW w:w="1410" w:type="dxa"/>
            <w:tcBorders>
              <w:top w:val="nil"/>
              <w:left w:val="nil"/>
              <w:bottom w:val="nil"/>
              <w:right w:val="nil"/>
            </w:tcBorders>
            <w:shd w:val="clear" w:color="auto" w:fill="auto"/>
            <w:noWrap/>
            <w:vAlign w:val="center"/>
            <w:hideMark/>
          </w:tcPr>
          <w:p w14:paraId="22F3EAEF" w14:textId="77777777" w:rsidR="008E749E" w:rsidRPr="00BF3211" w:rsidRDefault="008E749E" w:rsidP="00813F25">
            <w:pPr>
              <w:keepNext/>
              <w:keepLines/>
              <w:jc w:val="right"/>
              <w:rPr>
                <w:rFonts w:ascii="Arial Narrow" w:hAnsi="Arial Narrow"/>
                <w:sz w:val="20"/>
                <w:lang w:eastAsia="es-ES"/>
              </w:rPr>
            </w:pPr>
            <w:r w:rsidRPr="00BF3211">
              <w:rPr>
                <w:rFonts w:ascii="Arial Narrow" w:hAnsi="Arial Narrow"/>
                <w:sz w:val="20"/>
                <w:lang w:eastAsia="es-ES"/>
              </w:rPr>
              <w:t>837.063,28</w:t>
            </w:r>
          </w:p>
        </w:tc>
        <w:tc>
          <w:tcPr>
            <w:tcW w:w="1897" w:type="dxa"/>
            <w:tcBorders>
              <w:top w:val="nil"/>
              <w:left w:val="nil"/>
              <w:bottom w:val="nil"/>
              <w:right w:val="nil"/>
            </w:tcBorders>
            <w:shd w:val="clear" w:color="auto" w:fill="auto"/>
            <w:vAlign w:val="center"/>
          </w:tcPr>
          <w:p w14:paraId="0288A77F" w14:textId="77777777" w:rsidR="008E749E"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F56ADE" w:rsidRPr="00BF3211" w14:paraId="551D9A47" w14:textId="77777777" w:rsidTr="00AE4272">
        <w:trPr>
          <w:trHeight w:val="260"/>
          <w:jc w:val="center"/>
        </w:trPr>
        <w:tc>
          <w:tcPr>
            <w:tcW w:w="905" w:type="dxa"/>
            <w:tcBorders>
              <w:top w:val="nil"/>
              <w:left w:val="nil"/>
              <w:bottom w:val="nil"/>
              <w:right w:val="nil"/>
            </w:tcBorders>
            <w:shd w:val="clear" w:color="auto" w:fill="auto"/>
            <w:vAlign w:val="center"/>
            <w:hideMark/>
          </w:tcPr>
          <w:p w14:paraId="267915E6" w14:textId="77777777" w:rsidR="00460752" w:rsidRPr="00BF3211" w:rsidRDefault="00460752" w:rsidP="00813F25">
            <w:pPr>
              <w:keepNext/>
              <w:keepLines/>
              <w:jc w:val="center"/>
              <w:rPr>
                <w:rFonts w:ascii="Arial Narrow" w:hAnsi="Arial Narrow"/>
                <w:sz w:val="20"/>
                <w:lang w:eastAsia="es-ES"/>
              </w:rPr>
            </w:pPr>
            <w:r w:rsidRPr="00BF3211">
              <w:rPr>
                <w:rFonts w:ascii="Arial Narrow" w:hAnsi="Arial Narrow"/>
                <w:sz w:val="20"/>
                <w:lang w:eastAsia="es-ES"/>
              </w:rPr>
              <w:t>2013</w:t>
            </w:r>
          </w:p>
        </w:tc>
        <w:tc>
          <w:tcPr>
            <w:tcW w:w="1410" w:type="dxa"/>
            <w:tcBorders>
              <w:top w:val="nil"/>
              <w:left w:val="nil"/>
              <w:bottom w:val="nil"/>
              <w:right w:val="nil"/>
            </w:tcBorders>
            <w:shd w:val="clear" w:color="auto" w:fill="auto"/>
            <w:noWrap/>
            <w:vAlign w:val="center"/>
          </w:tcPr>
          <w:p w14:paraId="0E49E3F0" w14:textId="77777777" w:rsidR="00460752" w:rsidRPr="00BF3211" w:rsidRDefault="00460752" w:rsidP="00813F25">
            <w:pPr>
              <w:keepNext/>
              <w:keepLines/>
              <w:jc w:val="right"/>
              <w:rPr>
                <w:rFonts w:ascii="Arial Narrow" w:hAnsi="Arial Narrow"/>
                <w:sz w:val="20"/>
                <w:lang w:eastAsia="es-ES"/>
              </w:rPr>
            </w:pPr>
            <w:r w:rsidRPr="00BF3211">
              <w:rPr>
                <w:rFonts w:ascii="Arial Narrow" w:hAnsi="Arial Narrow"/>
                <w:sz w:val="20"/>
                <w:lang w:eastAsia="es-ES"/>
              </w:rPr>
              <w:t>323.603,94</w:t>
            </w:r>
          </w:p>
        </w:tc>
        <w:tc>
          <w:tcPr>
            <w:tcW w:w="1897" w:type="dxa"/>
            <w:tcBorders>
              <w:top w:val="nil"/>
              <w:left w:val="nil"/>
              <w:bottom w:val="nil"/>
              <w:right w:val="nil"/>
            </w:tcBorders>
            <w:shd w:val="clear" w:color="auto" w:fill="auto"/>
            <w:vAlign w:val="center"/>
          </w:tcPr>
          <w:p w14:paraId="43BA1753" w14:textId="77777777" w:rsidR="00460752" w:rsidRPr="00BF3211" w:rsidRDefault="00C669ED"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0A65EF" w:rsidRPr="00BF3211" w14:paraId="45D7A60B" w14:textId="77777777" w:rsidTr="00AE4272">
        <w:trPr>
          <w:trHeight w:val="260"/>
          <w:jc w:val="center"/>
        </w:trPr>
        <w:tc>
          <w:tcPr>
            <w:tcW w:w="905" w:type="dxa"/>
            <w:tcBorders>
              <w:top w:val="nil"/>
              <w:left w:val="nil"/>
              <w:bottom w:val="nil"/>
              <w:right w:val="nil"/>
            </w:tcBorders>
            <w:shd w:val="clear" w:color="auto" w:fill="auto"/>
            <w:vAlign w:val="center"/>
          </w:tcPr>
          <w:p w14:paraId="6BB46870" w14:textId="77777777" w:rsidR="000A65EF" w:rsidRPr="00BF3211" w:rsidRDefault="000A65EF" w:rsidP="00813F25">
            <w:pPr>
              <w:keepNext/>
              <w:keepLines/>
              <w:jc w:val="center"/>
              <w:rPr>
                <w:rFonts w:ascii="Arial Narrow" w:hAnsi="Arial Narrow"/>
                <w:sz w:val="20"/>
                <w:lang w:eastAsia="es-ES"/>
              </w:rPr>
            </w:pPr>
            <w:r w:rsidRPr="00BF3211">
              <w:rPr>
                <w:rFonts w:ascii="Arial Narrow" w:hAnsi="Arial Narrow"/>
                <w:sz w:val="20"/>
                <w:lang w:eastAsia="es-ES"/>
              </w:rPr>
              <w:t>2015</w:t>
            </w:r>
          </w:p>
        </w:tc>
        <w:tc>
          <w:tcPr>
            <w:tcW w:w="1410" w:type="dxa"/>
            <w:tcBorders>
              <w:top w:val="nil"/>
              <w:left w:val="nil"/>
              <w:bottom w:val="nil"/>
              <w:right w:val="nil"/>
            </w:tcBorders>
            <w:shd w:val="clear" w:color="auto" w:fill="auto"/>
            <w:noWrap/>
            <w:vAlign w:val="center"/>
          </w:tcPr>
          <w:p w14:paraId="031777F1" w14:textId="77777777" w:rsidR="000A65EF" w:rsidRPr="00BF3211" w:rsidRDefault="007A44EA" w:rsidP="00813F25">
            <w:pPr>
              <w:keepNext/>
              <w:keepLines/>
              <w:jc w:val="right"/>
              <w:rPr>
                <w:rFonts w:ascii="Arial Narrow" w:hAnsi="Arial Narrow"/>
                <w:sz w:val="20"/>
                <w:lang w:eastAsia="es-ES"/>
              </w:rPr>
            </w:pPr>
            <w:r w:rsidRPr="00BF3211">
              <w:rPr>
                <w:rFonts w:ascii="Arial Narrow" w:hAnsi="Arial Narrow"/>
                <w:sz w:val="20"/>
                <w:lang w:eastAsia="es-ES"/>
              </w:rPr>
              <w:t>1.349.126,21</w:t>
            </w:r>
          </w:p>
        </w:tc>
        <w:tc>
          <w:tcPr>
            <w:tcW w:w="1897" w:type="dxa"/>
            <w:tcBorders>
              <w:top w:val="nil"/>
              <w:left w:val="nil"/>
              <w:bottom w:val="nil"/>
              <w:right w:val="nil"/>
            </w:tcBorders>
            <w:shd w:val="clear" w:color="auto" w:fill="auto"/>
            <w:vAlign w:val="center"/>
          </w:tcPr>
          <w:p w14:paraId="366117B7" w14:textId="77777777" w:rsidR="000A65EF" w:rsidRPr="00BF3211" w:rsidRDefault="007A44EA" w:rsidP="00813F25">
            <w:pPr>
              <w:keepNext/>
              <w:keepLines/>
              <w:jc w:val="center"/>
              <w:rPr>
                <w:rFonts w:ascii="Arial Narrow" w:hAnsi="Arial Narrow"/>
                <w:sz w:val="20"/>
                <w:lang w:eastAsia="es-ES"/>
              </w:rPr>
            </w:pPr>
            <w:r w:rsidRPr="00BF3211">
              <w:rPr>
                <w:rFonts w:ascii="Arial Narrow" w:hAnsi="Arial Narrow"/>
                <w:sz w:val="20"/>
                <w:lang w:eastAsia="es-ES"/>
              </w:rPr>
              <w:t>“</w:t>
            </w:r>
          </w:p>
        </w:tc>
      </w:tr>
      <w:tr w:rsidR="00570EE4" w:rsidRPr="00BF3211" w14:paraId="00A30F17" w14:textId="77777777" w:rsidTr="00AE4272">
        <w:trPr>
          <w:trHeight w:val="260"/>
          <w:jc w:val="center"/>
        </w:trPr>
        <w:tc>
          <w:tcPr>
            <w:tcW w:w="905" w:type="dxa"/>
            <w:tcBorders>
              <w:top w:val="nil"/>
              <w:left w:val="nil"/>
              <w:bottom w:val="nil"/>
              <w:right w:val="nil"/>
            </w:tcBorders>
            <w:shd w:val="clear" w:color="auto" w:fill="auto"/>
            <w:vAlign w:val="center"/>
          </w:tcPr>
          <w:p w14:paraId="7D09C750" w14:textId="77777777" w:rsidR="00570EE4" w:rsidRPr="00BF3211" w:rsidRDefault="00570EE4" w:rsidP="00570EE4">
            <w:pPr>
              <w:keepNext/>
              <w:keepLines/>
              <w:jc w:val="center"/>
              <w:rPr>
                <w:rFonts w:ascii="Arial Narrow" w:hAnsi="Arial Narrow"/>
                <w:sz w:val="20"/>
                <w:lang w:eastAsia="es-ES"/>
              </w:rPr>
            </w:pPr>
            <w:r w:rsidRPr="00BF3211">
              <w:rPr>
                <w:rFonts w:ascii="Arial Narrow" w:hAnsi="Arial Narrow"/>
                <w:sz w:val="20"/>
                <w:lang w:eastAsia="es-ES"/>
              </w:rPr>
              <w:t>2016</w:t>
            </w:r>
          </w:p>
        </w:tc>
        <w:tc>
          <w:tcPr>
            <w:tcW w:w="1410" w:type="dxa"/>
            <w:tcBorders>
              <w:top w:val="nil"/>
              <w:left w:val="nil"/>
              <w:bottom w:val="nil"/>
              <w:right w:val="nil"/>
            </w:tcBorders>
            <w:shd w:val="clear" w:color="auto" w:fill="auto"/>
            <w:noWrap/>
          </w:tcPr>
          <w:p w14:paraId="7B3047A9" w14:textId="77777777" w:rsidR="00570EE4" w:rsidRPr="00BF3211" w:rsidRDefault="00570EE4" w:rsidP="00570EE4">
            <w:pPr>
              <w:keepNext/>
              <w:keepLines/>
              <w:jc w:val="right"/>
              <w:rPr>
                <w:rFonts w:ascii="Arial Narrow" w:hAnsi="Arial Narrow"/>
                <w:sz w:val="20"/>
                <w:lang w:eastAsia="es-ES"/>
              </w:rPr>
            </w:pPr>
            <w:r w:rsidRPr="00BF3211">
              <w:rPr>
                <w:rFonts w:ascii="Arial Narrow" w:hAnsi="Arial Narrow"/>
                <w:sz w:val="20"/>
                <w:lang w:eastAsia="es-ES"/>
              </w:rPr>
              <w:t>3.283.680,13</w:t>
            </w:r>
          </w:p>
        </w:tc>
        <w:tc>
          <w:tcPr>
            <w:tcW w:w="1897" w:type="dxa"/>
            <w:tcBorders>
              <w:top w:val="nil"/>
              <w:left w:val="nil"/>
              <w:bottom w:val="nil"/>
              <w:right w:val="nil"/>
            </w:tcBorders>
            <w:shd w:val="clear" w:color="auto" w:fill="auto"/>
            <w:vAlign w:val="center"/>
          </w:tcPr>
          <w:p w14:paraId="063A2B7D" w14:textId="77777777" w:rsidR="00570EE4" w:rsidRPr="00BF3211" w:rsidRDefault="00BF3211" w:rsidP="00570EE4">
            <w:pPr>
              <w:keepNext/>
              <w:keepLines/>
              <w:jc w:val="center"/>
              <w:rPr>
                <w:rFonts w:ascii="Arial Narrow" w:hAnsi="Arial Narrow"/>
                <w:sz w:val="20"/>
                <w:lang w:eastAsia="es-ES"/>
              </w:rPr>
            </w:pPr>
            <w:r>
              <w:rPr>
                <w:rFonts w:ascii="Arial Narrow" w:hAnsi="Arial Narrow"/>
                <w:sz w:val="20"/>
                <w:lang w:eastAsia="es-ES"/>
              </w:rPr>
              <w:t>“</w:t>
            </w:r>
          </w:p>
        </w:tc>
      </w:tr>
      <w:tr w:rsidR="00570EE4" w:rsidRPr="00F56ADE" w14:paraId="21AFAC0A" w14:textId="77777777" w:rsidTr="00AE4272">
        <w:trPr>
          <w:trHeight w:val="260"/>
          <w:jc w:val="center"/>
        </w:trPr>
        <w:tc>
          <w:tcPr>
            <w:tcW w:w="905" w:type="dxa"/>
            <w:tcBorders>
              <w:top w:val="nil"/>
              <w:left w:val="nil"/>
              <w:bottom w:val="nil"/>
              <w:right w:val="nil"/>
            </w:tcBorders>
            <w:shd w:val="clear" w:color="auto" w:fill="auto"/>
            <w:vAlign w:val="center"/>
          </w:tcPr>
          <w:p w14:paraId="0A868D12" w14:textId="77777777" w:rsidR="00570EE4" w:rsidRPr="00BF3211" w:rsidRDefault="00570EE4" w:rsidP="00570EE4">
            <w:pPr>
              <w:keepNext/>
              <w:keepLines/>
              <w:jc w:val="center"/>
              <w:rPr>
                <w:rFonts w:ascii="Arial Narrow" w:hAnsi="Arial Narrow"/>
                <w:sz w:val="20"/>
                <w:lang w:eastAsia="es-ES"/>
              </w:rPr>
            </w:pPr>
            <w:r w:rsidRPr="00BF3211">
              <w:rPr>
                <w:rFonts w:ascii="Arial Narrow" w:hAnsi="Arial Narrow"/>
                <w:sz w:val="20"/>
                <w:lang w:eastAsia="es-ES"/>
              </w:rPr>
              <w:t>2017</w:t>
            </w:r>
          </w:p>
        </w:tc>
        <w:tc>
          <w:tcPr>
            <w:tcW w:w="1410" w:type="dxa"/>
            <w:tcBorders>
              <w:top w:val="nil"/>
              <w:left w:val="nil"/>
              <w:bottom w:val="nil"/>
              <w:right w:val="nil"/>
            </w:tcBorders>
            <w:shd w:val="clear" w:color="auto" w:fill="auto"/>
            <w:noWrap/>
          </w:tcPr>
          <w:p w14:paraId="66DEA95B" w14:textId="77777777" w:rsidR="00570EE4" w:rsidRPr="00850B72" w:rsidRDefault="00570EE4" w:rsidP="00570EE4">
            <w:pPr>
              <w:keepNext/>
              <w:keepLines/>
              <w:jc w:val="right"/>
              <w:rPr>
                <w:rFonts w:ascii="Arial Narrow" w:hAnsi="Arial Narrow"/>
                <w:sz w:val="20"/>
                <w:lang w:eastAsia="es-ES"/>
              </w:rPr>
            </w:pPr>
            <w:r w:rsidRPr="00BF3211">
              <w:rPr>
                <w:rFonts w:ascii="Arial Narrow" w:hAnsi="Arial Narrow"/>
                <w:sz w:val="20"/>
                <w:lang w:eastAsia="es-ES"/>
              </w:rPr>
              <w:t>1.785.947,62</w:t>
            </w:r>
          </w:p>
        </w:tc>
        <w:tc>
          <w:tcPr>
            <w:tcW w:w="1897" w:type="dxa"/>
            <w:tcBorders>
              <w:top w:val="nil"/>
              <w:left w:val="nil"/>
              <w:bottom w:val="nil"/>
              <w:right w:val="nil"/>
            </w:tcBorders>
            <w:shd w:val="clear" w:color="auto" w:fill="auto"/>
            <w:vAlign w:val="center"/>
          </w:tcPr>
          <w:p w14:paraId="0713E7C9" w14:textId="77777777" w:rsidR="00570EE4" w:rsidRPr="00850B72" w:rsidRDefault="00BF3211" w:rsidP="00570EE4">
            <w:pPr>
              <w:keepNext/>
              <w:keepLines/>
              <w:jc w:val="center"/>
              <w:rPr>
                <w:rFonts w:ascii="Arial Narrow" w:hAnsi="Arial Narrow"/>
                <w:sz w:val="20"/>
                <w:lang w:eastAsia="es-ES"/>
              </w:rPr>
            </w:pPr>
            <w:r>
              <w:rPr>
                <w:rFonts w:ascii="Arial Narrow" w:hAnsi="Arial Narrow"/>
                <w:sz w:val="20"/>
                <w:lang w:eastAsia="es-ES"/>
              </w:rPr>
              <w:t>“</w:t>
            </w:r>
          </w:p>
        </w:tc>
      </w:tr>
      <w:tr w:rsidR="00BF3211" w:rsidRPr="00F56ADE" w14:paraId="25081768" w14:textId="77777777" w:rsidTr="00AE4272">
        <w:trPr>
          <w:trHeight w:val="260"/>
          <w:jc w:val="center"/>
        </w:trPr>
        <w:tc>
          <w:tcPr>
            <w:tcW w:w="905" w:type="dxa"/>
            <w:tcBorders>
              <w:top w:val="nil"/>
              <w:left w:val="nil"/>
              <w:bottom w:val="nil"/>
              <w:right w:val="nil"/>
            </w:tcBorders>
            <w:shd w:val="clear" w:color="auto" w:fill="auto"/>
            <w:vAlign w:val="center"/>
          </w:tcPr>
          <w:p w14:paraId="6B67C0F0" w14:textId="77777777" w:rsidR="00BF3211" w:rsidRPr="00BF3211" w:rsidRDefault="00BF3211" w:rsidP="00570EE4">
            <w:pPr>
              <w:keepNext/>
              <w:keepLines/>
              <w:jc w:val="center"/>
              <w:rPr>
                <w:rFonts w:ascii="Arial Narrow" w:hAnsi="Arial Narrow"/>
                <w:sz w:val="20"/>
                <w:lang w:eastAsia="es-ES"/>
              </w:rPr>
            </w:pPr>
            <w:r w:rsidRPr="00BF3211">
              <w:rPr>
                <w:rFonts w:ascii="Arial Narrow" w:hAnsi="Arial Narrow"/>
                <w:sz w:val="20"/>
                <w:lang w:eastAsia="es-ES"/>
              </w:rPr>
              <w:t>2018</w:t>
            </w:r>
          </w:p>
        </w:tc>
        <w:tc>
          <w:tcPr>
            <w:tcW w:w="1410" w:type="dxa"/>
            <w:tcBorders>
              <w:top w:val="nil"/>
              <w:left w:val="nil"/>
              <w:bottom w:val="nil"/>
              <w:right w:val="nil"/>
            </w:tcBorders>
            <w:shd w:val="clear" w:color="auto" w:fill="auto"/>
            <w:noWrap/>
          </w:tcPr>
          <w:p w14:paraId="0661B811" w14:textId="77777777" w:rsidR="00BF3211" w:rsidRPr="00BF3211" w:rsidRDefault="00BF3211" w:rsidP="00570EE4">
            <w:pPr>
              <w:keepNext/>
              <w:keepLines/>
              <w:jc w:val="right"/>
              <w:rPr>
                <w:rFonts w:ascii="Arial Narrow" w:hAnsi="Arial Narrow"/>
                <w:sz w:val="20"/>
                <w:lang w:eastAsia="es-ES"/>
              </w:rPr>
            </w:pPr>
            <w:r w:rsidRPr="00BF3211">
              <w:rPr>
                <w:rFonts w:ascii="Arial Narrow" w:hAnsi="Arial Narrow"/>
                <w:sz w:val="20"/>
                <w:lang w:eastAsia="es-ES"/>
              </w:rPr>
              <w:t>749.828,08</w:t>
            </w:r>
          </w:p>
        </w:tc>
        <w:tc>
          <w:tcPr>
            <w:tcW w:w="1897" w:type="dxa"/>
            <w:tcBorders>
              <w:top w:val="nil"/>
              <w:left w:val="nil"/>
              <w:bottom w:val="nil"/>
              <w:right w:val="nil"/>
            </w:tcBorders>
            <w:shd w:val="clear" w:color="auto" w:fill="auto"/>
            <w:vAlign w:val="center"/>
          </w:tcPr>
          <w:p w14:paraId="6DDF27D5" w14:textId="77777777" w:rsidR="00BF3211" w:rsidRPr="00850B72" w:rsidRDefault="00BF3211" w:rsidP="00570EE4">
            <w:pPr>
              <w:keepNext/>
              <w:keepLines/>
              <w:jc w:val="center"/>
              <w:rPr>
                <w:rFonts w:ascii="Arial Narrow" w:hAnsi="Arial Narrow"/>
                <w:sz w:val="20"/>
                <w:lang w:eastAsia="es-ES"/>
              </w:rPr>
            </w:pPr>
            <w:r>
              <w:rPr>
                <w:rFonts w:ascii="Arial Narrow" w:hAnsi="Arial Narrow"/>
                <w:sz w:val="20"/>
                <w:lang w:eastAsia="es-ES"/>
              </w:rPr>
              <w:t>“</w:t>
            </w:r>
          </w:p>
        </w:tc>
      </w:tr>
      <w:tr w:rsidR="0030678B" w:rsidRPr="00F56ADE" w14:paraId="01A692D0" w14:textId="77777777" w:rsidTr="0030678B">
        <w:trPr>
          <w:trHeight w:val="260"/>
          <w:jc w:val="center"/>
        </w:trPr>
        <w:tc>
          <w:tcPr>
            <w:tcW w:w="905" w:type="dxa"/>
            <w:tcBorders>
              <w:top w:val="nil"/>
              <w:left w:val="nil"/>
              <w:bottom w:val="nil"/>
              <w:right w:val="nil"/>
            </w:tcBorders>
            <w:shd w:val="clear" w:color="auto" w:fill="auto"/>
            <w:vAlign w:val="center"/>
          </w:tcPr>
          <w:p w14:paraId="4276C287" w14:textId="77777777" w:rsidR="0030678B" w:rsidRPr="00BF3211" w:rsidRDefault="0030678B" w:rsidP="0030678B">
            <w:pPr>
              <w:keepNext/>
              <w:keepLines/>
              <w:jc w:val="center"/>
              <w:rPr>
                <w:rFonts w:ascii="Arial Narrow" w:hAnsi="Arial Narrow"/>
                <w:sz w:val="20"/>
                <w:lang w:eastAsia="es-ES"/>
              </w:rPr>
            </w:pPr>
            <w:r w:rsidRPr="00BF3211">
              <w:rPr>
                <w:rFonts w:ascii="Arial Narrow" w:hAnsi="Arial Narrow"/>
                <w:sz w:val="20"/>
                <w:lang w:eastAsia="es-ES"/>
              </w:rPr>
              <w:t>201</w:t>
            </w:r>
            <w:r>
              <w:rPr>
                <w:rFonts w:ascii="Arial Narrow" w:hAnsi="Arial Narrow"/>
                <w:sz w:val="20"/>
                <w:lang w:eastAsia="es-ES"/>
              </w:rPr>
              <w:t>9</w:t>
            </w:r>
          </w:p>
        </w:tc>
        <w:tc>
          <w:tcPr>
            <w:tcW w:w="1410" w:type="dxa"/>
            <w:tcBorders>
              <w:top w:val="nil"/>
              <w:left w:val="nil"/>
              <w:bottom w:val="nil"/>
              <w:right w:val="nil"/>
            </w:tcBorders>
            <w:shd w:val="clear" w:color="auto" w:fill="auto"/>
            <w:noWrap/>
          </w:tcPr>
          <w:p w14:paraId="61119566" w14:textId="77777777" w:rsidR="0030678B" w:rsidRPr="00BF3211" w:rsidRDefault="0030678B" w:rsidP="0030678B">
            <w:pPr>
              <w:keepNext/>
              <w:keepLines/>
              <w:jc w:val="right"/>
              <w:rPr>
                <w:rFonts w:ascii="Arial Narrow" w:hAnsi="Arial Narrow"/>
                <w:sz w:val="20"/>
                <w:lang w:eastAsia="es-ES"/>
              </w:rPr>
            </w:pPr>
            <w:r>
              <w:rPr>
                <w:rFonts w:ascii="Arial Narrow" w:hAnsi="Arial Narrow"/>
                <w:sz w:val="20"/>
                <w:lang w:eastAsia="es-ES"/>
              </w:rPr>
              <w:t>652.203,68</w:t>
            </w:r>
          </w:p>
        </w:tc>
        <w:tc>
          <w:tcPr>
            <w:tcW w:w="1897" w:type="dxa"/>
            <w:tcBorders>
              <w:top w:val="nil"/>
              <w:left w:val="nil"/>
              <w:bottom w:val="nil"/>
              <w:right w:val="nil"/>
            </w:tcBorders>
            <w:shd w:val="clear" w:color="auto" w:fill="auto"/>
            <w:vAlign w:val="center"/>
          </w:tcPr>
          <w:p w14:paraId="7A9D5A85" w14:textId="77777777" w:rsidR="0030678B" w:rsidRPr="00850B72" w:rsidRDefault="0030678B" w:rsidP="0030678B">
            <w:pPr>
              <w:keepNext/>
              <w:keepLines/>
              <w:jc w:val="center"/>
              <w:rPr>
                <w:rFonts w:ascii="Arial Narrow" w:hAnsi="Arial Narrow"/>
                <w:sz w:val="20"/>
                <w:lang w:eastAsia="es-ES"/>
              </w:rPr>
            </w:pPr>
            <w:r>
              <w:rPr>
                <w:rFonts w:ascii="Arial Narrow" w:hAnsi="Arial Narrow"/>
                <w:sz w:val="20"/>
                <w:lang w:eastAsia="es-ES"/>
              </w:rPr>
              <w:t>“</w:t>
            </w:r>
          </w:p>
        </w:tc>
      </w:tr>
    </w:tbl>
    <w:p w14:paraId="37281B6B" w14:textId="77777777" w:rsidR="00DD368E" w:rsidRPr="00CB7C7A" w:rsidRDefault="00DD368E" w:rsidP="00A06FC1">
      <w:pPr>
        <w:spacing w:before="240" w:after="120"/>
        <w:jc w:val="both"/>
        <w:rPr>
          <w:rFonts w:ascii="Arial Narrow" w:hAnsi="Arial Narrow" w:cs="Arial"/>
          <w:sz w:val="24"/>
          <w:szCs w:val="24"/>
        </w:rPr>
      </w:pPr>
      <w:r w:rsidRPr="00CB7C7A">
        <w:rPr>
          <w:rFonts w:ascii="Arial Narrow" w:hAnsi="Arial Narrow" w:cs="Arial"/>
          <w:sz w:val="24"/>
          <w:szCs w:val="24"/>
        </w:rPr>
        <w:t>Los activos por impuestos diferidos por bases imponibles negativas pendientes de compensación se reconocen en la medida en que es probable que la Sociedad obtenga ganancias fiscales futuras que permitan su aplicación.</w:t>
      </w:r>
    </w:p>
    <w:p w14:paraId="18B0A832" w14:textId="77777777" w:rsidR="00DD368E" w:rsidRDefault="00DD368E" w:rsidP="00435439">
      <w:pPr>
        <w:spacing w:before="120" w:after="120"/>
        <w:jc w:val="both"/>
        <w:rPr>
          <w:rFonts w:ascii="Arial Narrow" w:hAnsi="Arial Narrow" w:cs="Arial"/>
          <w:sz w:val="24"/>
          <w:szCs w:val="24"/>
        </w:rPr>
      </w:pPr>
      <w:r w:rsidRPr="00CB7C7A">
        <w:rPr>
          <w:rFonts w:ascii="Arial Narrow" w:hAnsi="Arial Narrow" w:cs="Arial"/>
          <w:sz w:val="24"/>
          <w:szCs w:val="24"/>
        </w:rPr>
        <w:t>La Sociedad tiene deducciones pendientes de aplicar por inversiones en activos fijos materiales para las que no se han registrado los correspondientes activos por impuesto diferido. El detalle de estas deducciones es el siguiente:</w:t>
      </w:r>
    </w:p>
    <w:p w14:paraId="3C6969D5" w14:textId="77777777" w:rsidR="00DF4FF4" w:rsidRPr="00CB7C7A" w:rsidRDefault="00DF4FF4" w:rsidP="00435439">
      <w:pPr>
        <w:spacing w:before="120" w:after="120"/>
        <w:jc w:val="both"/>
        <w:rPr>
          <w:rFonts w:ascii="Arial Narrow" w:hAnsi="Arial Narrow" w:cs="Arial"/>
          <w:sz w:val="24"/>
          <w:szCs w:val="24"/>
        </w:rPr>
      </w:pPr>
    </w:p>
    <w:tbl>
      <w:tblPr>
        <w:tblW w:w="5330" w:type="dxa"/>
        <w:jc w:val="center"/>
        <w:tblCellMar>
          <w:left w:w="70" w:type="dxa"/>
          <w:right w:w="70" w:type="dxa"/>
        </w:tblCellMar>
        <w:tblLook w:val="04A0" w:firstRow="1" w:lastRow="0" w:firstColumn="1" w:lastColumn="0" w:noHBand="0" w:noVBand="1"/>
      </w:tblPr>
      <w:tblGrid>
        <w:gridCol w:w="824"/>
        <w:gridCol w:w="1799"/>
        <w:gridCol w:w="2707"/>
      </w:tblGrid>
      <w:tr w:rsidR="00CB7C7A" w:rsidRPr="00E41BB3" w14:paraId="380AC66C" w14:textId="77777777" w:rsidTr="00850B72">
        <w:trPr>
          <w:trHeight w:val="340"/>
          <w:jc w:val="center"/>
        </w:trPr>
        <w:tc>
          <w:tcPr>
            <w:tcW w:w="773" w:type="pct"/>
            <w:tcBorders>
              <w:top w:val="nil"/>
              <w:left w:val="nil"/>
              <w:bottom w:val="nil"/>
              <w:right w:val="nil"/>
            </w:tcBorders>
            <w:shd w:val="clear" w:color="auto" w:fill="D9D9D9" w:themeFill="background1" w:themeFillShade="D9"/>
            <w:noWrap/>
            <w:vAlign w:val="center"/>
            <w:hideMark/>
          </w:tcPr>
          <w:p w14:paraId="4C315537" w14:textId="77777777" w:rsidR="00601C6D" w:rsidRPr="009C6C56" w:rsidRDefault="00CB7C7A" w:rsidP="00CB7C7A">
            <w:pPr>
              <w:keepNext/>
              <w:keepLines/>
              <w:jc w:val="center"/>
              <w:rPr>
                <w:rFonts w:ascii="Arial Narrow" w:hAnsi="Arial Narrow"/>
                <w:b/>
                <w:bCs/>
                <w:sz w:val="20"/>
                <w:lang w:eastAsia="es-ES"/>
              </w:rPr>
            </w:pPr>
            <w:r w:rsidRPr="009C6C56">
              <w:rPr>
                <w:rFonts w:ascii="Arial Narrow" w:hAnsi="Arial Narrow"/>
                <w:b/>
                <w:bCs/>
                <w:sz w:val="20"/>
                <w:lang w:eastAsia="es-ES"/>
              </w:rPr>
              <w:t>Ejercicio</w:t>
            </w:r>
          </w:p>
        </w:tc>
        <w:tc>
          <w:tcPr>
            <w:tcW w:w="1688" w:type="pct"/>
            <w:tcBorders>
              <w:top w:val="nil"/>
              <w:left w:val="nil"/>
              <w:bottom w:val="nil"/>
              <w:right w:val="nil"/>
            </w:tcBorders>
            <w:shd w:val="clear" w:color="auto" w:fill="D9D9D9" w:themeFill="background1" w:themeFillShade="D9"/>
            <w:noWrap/>
            <w:vAlign w:val="center"/>
            <w:hideMark/>
          </w:tcPr>
          <w:p w14:paraId="1B9EEAA9" w14:textId="77777777" w:rsidR="00601C6D" w:rsidRPr="009C6C56" w:rsidRDefault="00601C6D" w:rsidP="00CB7C7A">
            <w:pPr>
              <w:keepNext/>
              <w:keepLines/>
              <w:jc w:val="center"/>
              <w:rPr>
                <w:rFonts w:ascii="Arial Narrow" w:hAnsi="Arial Narrow"/>
                <w:b/>
                <w:bCs/>
                <w:sz w:val="20"/>
                <w:lang w:eastAsia="es-ES"/>
              </w:rPr>
            </w:pPr>
            <w:r w:rsidRPr="009C6C56">
              <w:rPr>
                <w:rFonts w:ascii="Arial Narrow" w:hAnsi="Arial Narrow"/>
                <w:b/>
                <w:bCs/>
                <w:sz w:val="20"/>
                <w:lang w:eastAsia="es-ES"/>
              </w:rPr>
              <w:t>Deducción pendiente</w:t>
            </w:r>
          </w:p>
        </w:tc>
        <w:tc>
          <w:tcPr>
            <w:tcW w:w="2539" w:type="pct"/>
            <w:tcBorders>
              <w:top w:val="nil"/>
              <w:left w:val="nil"/>
              <w:bottom w:val="nil"/>
              <w:right w:val="nil"/>
            </w:tcBorders>
            <w:shd w:val="clear" w:color="auto" w:fill="D9D9D9" w:themeFill="background1" w:themeFillShade="D9"/>
            <w:noWrap/>
            <w:vAlign w:val="center"/>
            <w:hideMark/>
          </w:tcPr>
          <w:p w14:paraId="3A9D1A67" w14:textId="77777777" w:rsidR="00601C6D" w:rsidRPr="009C6C56" w:rsidRDefault="00601C6D" w:rsidP="00CB7C7A">
            <w:pPr>
              <w:keepNext/>
              <w:keepLines/>
              <w:jc w:val="center"/>
              <w:rPr>
                <w:rFonts w:ascii="Arial Narrow" w:hAnsi="Arial Narrow"/>
                <w:b/>
                <w:bCs/>
                <w:sz w:val="20"/>
                <w:lang w:eastAsia="es-ES"/>
              </w:rPr>
            </w:pPr>
            <w:r w:rsidRPr="009C6C56">
              <w:rPr>
                <w:rFonts w:ascii="Arial Narrow" w:hAnsi="Arial Narrow"/>
                <w:b/>
                <w:bCs/>
                <w:sz w:val="20"/>
                <w:lang w:eastAsia="es-ES"/>
              </w:rPr>
              <w:t>Último año compensación</w:t>
            </w:r>
          </w:p>
        </w:tc>
      </w:tr>
      <w:tr w:rsidR="00DA2ADA" w:rsidRPr="00E41BB3" w14:paraId="474C17A3" w14:textId="77777777" w:rsidTr="00850B72">
        <w:trPr>
          <w:trHeight w:val="272"/>
          <w:jc w:val="center"/>
        </w:trPr>
        <w:tc>
          <w:tcPr>
            <w:tcW w:w="773" w:type="pct"/>
            <w:tcBorders>
              <w:top w:val="nil"/>
              <w:left w:val="nil"/>
              <w:bottom w:val="nil"/>
              <w:right w:val="nil"/>
            </w:tcBorders>
            <w:shd w:val="clear" w:color="auto" w:fill="auto"/>
            <w:vAlign w:val="center"/>
            <w:hideMark/>
          </w:tcPr>
          <w:p w14:paraId="106AF162"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2010</w:t>
            </w:r>
          </w:p>
        </w:tc>
        <w:tc>
          <w:tcPr>
            <w:tcW w:w="1688" w:type="pct"/>
            <w:tcBorders>
              <w:top w:val="nil"/>
              <w:left w:val="nil"/>
              <w:bottom w:val="nil"/>
              <w:right w:val="nil"/>
            </w:tcBorders>
            <w:shd w:val="clear" w:color="auto" w:fill="auto"/>
            <w:vAlign w:val="center"/>
            <w:hideMark/>
          </w:tcPr>
          <w:p w14:paraId="71BAEF66"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308.132,60</w:t>
            </w:r>
          </w:p>
        </w:tc>
        <w:tc>
          <w:tcPr>
            <w:tcW w:w="2539" w:type="pct"/>
            <w:tcBorders>
              <w:top w:val="nil"/>
              <w:left w:val="nil"/>
              <w:bottom w:val="nil"/>
              <w:right w:val="nil"/>
            </w:tcBorders>
            <w:shd w:val="clear" w:color="auto" w:fill="auto"/>
            <w:vAlign w:val="center"/>
            <w:hideMark/>
          </w:tcPr>
          <w:p w14:paraId="2B7F221A"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2025</w:t>
            </w:r>
          </w:p>
        </w:tc>
      </w:tr>
      <w:tr w:rsidR="00DA2ADA" w:rsidRPr="00E41BB3" w14:paraId="076ED02E" w14:textId="77777777" w:rsidTr="00850B72">
        <w:trPr>
          <w:trHeight w:val="272"/>
          <w:jc w:val="center"/>
        </w:trPr>
        <w:tc>
          <w:tcPr>
            <w:tcW w:w="773" w:type="pct"/>
            <w:tcBorders>
              <w:top w:val="nil"/>
              <w:left w:val="nil"/>
              <w:bottom w:val="nil"/>
              <w:right w:val="nil"/>
            </w:tcBorders>
            <w:shd w:val="clear" w:color="auto" w:fill="auto"/>
            <w:vAlign w:val="center"/>
            <w:hideMark/>
          </w:tcPr>
          <w:p w14:paraId="4D339A09"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2011</w:t>
            </w:r>
          </w:p>
        </w:tc>
        <w:tc>
          <w:tcPr>
            <w:tcW w:w="1688" w:type="pct"/>
            <w:tcBorders>
              <w:top w:val="nil"/>
              <w:left w:val="nil"/>
              <w:bottom w:val="nil"/>
              <w:right w:val="nil"/>
            </w:tcBorders>
            <w:shd w:val="clear" w:color="auto" w:fill="auto"/>
            <w:vAlign w:val="center"/>
            <w:hideMark/>
          </w:tcPr>
          <w:p w14:paraId="4FA93298"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202.243,50</w:t>
            </w:r>
          </w:p>
        </w:tc>
        <w:tc>
          <w:tcPr>
            <w:tcW w:w="2539" w:type="pct"/>
            <w:tcBorders>
              <w:top w:val="nil"/>
              <w:left w:val="nil"/>
              <w:bottom w:val="nil"/>
              <w:right w:val="nil"/>
            </w:tcBorders>
            <w:shd w:val="clear" w:color="auto" w:fill="auto"/>
            <w:vAlign w:val="center"/>
            <w:hideMark/>
          </w:tcPr>
          <w:p w14:paraId="2906DD91"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2026</w:t>
            </w:r>
          </w:p>
        </w:tc>
      </w:tr>
      <w:tr w:rsidR="00DA2ADA" w:rsidRPr="00E41BB3" w14:paraId="03A183C9" w14:textId="77777777" w:rsidTr="00850B72">
        <w:trPr>
          <w:trHeight w:val="272"/>
          <w:jc w:val="center"/>
        </w:trPr>
        <w:tc>
          <w:tcPr>
            <w:tcW w:w="773" w:type="pct"/>
            <w:tcBorders>
              <w:top w:val="nil"/>
              <w:left w:val="nil"/>
              <w:bottom w:val="nil"/>
              <w:right w:val="nil"/>
            </w:tcBorders>
            <w:shd w:val="clear" w:color="auto" w:fill="auto"/>
            <w:vAlign w:val="center"/>
            <w:hideMark/>
          </w:tcPr>
          <w:p w14:paraId="413539A5"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2012</w:t>
            </w:r>
          </w:p>
        </w:tc>
        <w:tc>
          <w:tcPr>
            <w:tcW w:w="1688" w:type="pct"/>
            <w:tcBorders>
              <w:top w:val="nil"/>
              <w:left w:val="nil"/>
              <w:bottom w:val="nil"/>
              <w:right w:val="nil"/>
            </w:tcBorders>
            <w:shd w:val="clear" w:color="auto" w:fill="auto"/>
            <w:vAlign w:val="center"/>
            <w:hideMark/>
          </w:tcPr>
          <w:p w14:paraId="31F14CFA"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92.763,50</w:t>
            </w:r>
          </w:p>
        </w:tc>
        <w:tc>
          <w:tcPr>
            <w:tcW w:w="2539" w:type="pct"/>
            <w:tcBorders>
              <w:top w:val="nil"/>
              <w:left w:val="nil"/>
              <w:bottom w:val="nil"/>
              <w:right w:val="nil"/>
            </w:tcBorders>
            <w:shd w:val="clear" w:color="auto" w:fill="auto"/>
            <w:vAlign w:val="center"/>
            <w:hideMark/>
          </w:tcPr>
          <w:p w14:paraId="1122EB17" w14:textId="77777777" w:rsidR="00DA2ADA" w:rsidRPr="009C6C56" w:rsidRDefault="00DA2ADA" w:rsidP="00CB7C7A">
            <w:pPr>
              <w:keepNext/>
              <w:keepLines/>
              <w:jc w:val="center"/>
              <w:rPr>
                <w:rFonts w:ascii="Arial Narrow" w:hAnsi="Arial Narrow"/>
                <w:color w:val="000000" w:themeColor="text1"/>
                <w:sz w:val="20"/>
                <w:lang w:eastAsia="es-ES"/>
              </w:rPr>
            </w:pPr>
            <w:r w:rsidRPr="009C6C56">
              <w:rPr>
                <w:rFonts w:ascii="Arial Narrow" w:hAnsi="Arial Narrow"/>
                <w:sz w:val="20"/>
                <w:lang w:eastAsia="es-ES"/>
              </w:rPr>
              <w:t>2027</w:t>
            </w:r>
          </w:p>
        </w:tc>
      </w:tr>
      <w:tr w:rsidR="00DA2ADA" w:rsidRPr="00E41BB3" w14:paraId="33F7AC6D" w14:textId="77777777" w:rsidTr="00850B72">
        <w:trPr>
          <w:trHeight w:val="272"/>
          <w:jc w:val="center"/>
        </w:trPr>
        <w:tc>
          <w:tcPr>
            <w:tcW w:w="773" w:type="pct"/>
            <w:tcBorders>
              <w:top w:val="nil"/>
              <w:left w:val="nil"/>
              <w:bottom w:val="nil"/>
              <w:right w:val="nil"/>
            </w:tcBorders>
            <w:shd w:val="clear" w:color="auto" w:fill="auto"/>
            <w:vAlign w:val="center"/>
            <w:hideMark/>
          </w:tcPr>
          <w:p w14:paraId="664972DC" w14:textId="77777777" w:rsidR="00DA2ADA" w:rsidRPr="009C6C56" w:rsidRDefault="00DA2ADA" w:rsidP="00CB7C7A">
            <w:pPr>
              <w:keepNext/>
              <w:keepLines/>
              <w:jc w:val="center"/>
              <w:rPr>
                <w:rFonts w:ascii="Arial Narrow" w:hAnsi="Arial Narrow"/>
                <w:sz w:val="20"/>
                <w:lang w:eastAsia="es-ES"/>
              </w:rPr>
            </w:pPr>
            <w:r w:rsidRPr="009C6C56">
              <w:rPr>
                <w:rFonts w:ascii="Arial Narrow" w:hAnsi="Arial Narrow"/>
                <w:sz w:val="20"/>
                <w:lang w:eastAsia="es-ES"/>
              </w:rPr>
              <w:t>2013</w:t>
            </w:r>
          </w:p>
        </w:tc>
        <w:tc>
          <w:tcPr>
            <w:tcW w:w="1688" w:type="pct"/>
            <w:tcBorders>
              <w:top w:val="nil"/>
              <w:left w:val="nil"/>
              <w:bottom w:val="nil"/>
              <w:right w:val="nil"/>
            </w:tcBorders>
            <w:shd w:val="clear" w:color="auto" w:fill="auto"/>
            <w:vAlign w:val="center"/>
            <w:hideMark/>
          </w:tcPr>
          <w:p w14:paraId="2AC84EA5" w14:textId="77777777" w:rsidR="00DA2ADA" w:rsidRPr="009C6C56" w:rsidRDefault="00DA2ADA" w:rsidP="00CB7C7A">
            <w:pPr>
              <w:keepNext/>
              <w:keepLines/>
              <w:jc w:val="center"/>
              <w:rPr>
                <w:rFonts w:ascii="Arial Narrow" w:hAnsi="Arial Narrow"/>
                <w:sz w:val="20"/>
                <w:lang w:eastAsia="es-ES"/>
              </w:rPr>
            </w:pPr>
            <w:r w:rsidRPr="009C6C56">
              <w:rPr>
                <w:rFonts w:ascii="Arial Narrow" w:hAnsi="Arial Narrow"/>
                <w:sz w:val="20"/>
                <w:lang w:eastAsia="es-ES"/>
              </w:rPr>
              <w:t>99.045,94</w:t>
            </w:r>
          </w:p>
        </w:tc>
        <w:tc>
          <w:tcPr>
            <w:tcW w:w="2539" w:type="pct"/>
            <w:tcBorders>
              <w:top w:val="nil"/>
              <w:left w:val="nil"/>
              <w:bottom w:val="nil"/>
              <w:right w:val="nil"/>
            </w:tcBorders>
            <w:shd w:val="clear" w:color="auto" w:fill="auto"/>
            <w:vAlign w:val="center"/>
            <w:hideMark/>
          </w:tcPr>
          <w:p w14:paraId="617DD8EB" w14:textId="77777777" w:rsidR="00DA2ADA" w:rsidRPr="009C6C56" w:rsidRDefault="00DA2ADA" w:rsidP="000B688E">
            <w:pPr>
              <w:keepNext/>
              <w:keepLines/>
              <w:jc w:val="center"/>
              <w:rPr>
                <w:rFonts w:ascii="Arial Narrow" w:hAnsi="Arial Narrow"/>
                <w:sz w:val="20"/>
                <w:lang w:eastAsia="es-ES"/>
              </w:rPr>
            </w:pPr>
            <w:r w:rsidRPr="009C6C56">
              <w:rPr>
                <w:rFonts w:ascii="Arial Narrow" w:hAnsi="Arial Narrow"/>
                <w:sz w:val="20"/>
                <w:lang w:eastAsia="es-ES"/>
              </w:rPr>
              <w:t>2028</w:t>
            </w:r>
          </w:p>
        </w:tc>
      </w:tr>
      <w:tr w:rsidR="00DA2ADA" w:rsidRPr="00F56ADE" w14:paraId="22AB7537" w14:textId="77777777" w:rsidTr="00850B72">
        <w:trPr>
          <w:trHeight w:val="272"/>
          <w:jc w:val="center"/>
        </w:trPr>
        <w:tc>
          <w:tcPr>
            <w:tcW w:w="773" w:type="pct"/>
            <w:tcBorders>
              <w:top w:val="nil"/>
              <w:left w:val="nil"/>
              <w:bottom w:val="nil"/>
              <w:right w:val="nil"/>
            </w:tcBorders>
            <w:shd w:val="clear" w:color="auto" w:fill="auto"/>
            <w:vAlign w:val="center"/>
            <w:hideMark/>
          </w:tcPr>
          <w:p w14:paraId="3F9EB182" w14:textId="77777777" w:rsidR="00DA2ADA" w:rsidRPr="009C6C56" w:rsidRDefault="00DA2ADA" w:rsidP="00CB7C7A">
            <w:pPr>
              <w:keepNext/>
              <w:keepLines/>
              <w:jc w:val="center"/>
              <w:rPr>
                <w:rFonts w:ascii="Arial Narrow" w:hAnsi="Arial Narrow"/>
                <w:sz w:val="20"/>
                <w:lang w:eastAsia="es-ES"/>
              </w:rPr>
            </w:pPr>
            <w:r w:rsidRPr="009C6C56">
              <w:rPr>
                <w:rFonts w:ascii="Arial Narrow" w:hAnsi="Arial Narrow"/>
                <w:sz w:val="20"/>
                <w:lang w:eastAsia="es-ES"/>
              </w:rPr>
              <w:t>2014</w:t>
            </w:r>
          </w:p>
        </w:tc>
        <w:tc>
          <w:tcPr>
            <w:tcW w:w="1688" w:type="pct"/>
            <w:tcBorders>
              <w:top w:val="nil"/>
              <w:left w:val="nil"/>
              <w:bottom w:val="nil"/>
              <w:right w:val="nil"/>
            </w:tcBorders>
            <w:shd w:val="clear" w:color="auto" w:fill="auto"/>
            <w:vAlign w:val="center"/>
            <w:hideMark/>
          </w:tcPr>
          <w:p w14:paraId="460C8EE2" w14:textId="77777777" w:rsidR="00DA2ADA" w:rsidRPr="009C6C56" w:rsidRDefault="00DA2ADA" w:rsidP="00CB7C7A">
            <w:pPr>
              <w:keepNext/>
              <w:keepLines/>
              <w:jc w:val="center"/>
              <w:rPr>
                <w:rFonts w:ascii="Arial Narrow" w:hAnsi="Arial Narrow"/>
                <w:sz w:val="20"/>
                <w:lang w:eastAsia="es-ES"/>
              </w:rPr>
            </w:pPr>
            <w:r w:rsidRPr="009C6C56">
              <w:rPr>
                <w:rFonts w:ascii="Arial Narrow" w:hAnsi="Arial Narrow"/>
                <w:sz w:val="20"/>
                <w:lang w:eastAsia="es-ES"/>
              </w:rPr>
              <w:t>41.700,05</w:t>
            </w:r>
          </w:p>
        </w:tc>
        <w:tc>
          <w:tcPr>
            <w:tcW w:w="2539" w:type="pct"/>
            <w:tcBorders>
              <w:top w:val="nil"/>
              <w:left w:val="nil"/>
              <w:bottom w:val="nil"/>
              <w:right w:val="nil"/>
            </w:tcBorders>
            <w:shd w:val="clear" w:color="auto" w:fill="auto"/>
            <w:vAlign w:val="center"/>
            <w:hideMark/>
          </w:tcPr>
          <w:p w14:paraId="6AD258F4" w14:textId="77777777" w:rsidR="00DA2ADA" w:rsidRPr="009C6C56" w:rsidRDefault="00DA2ADA" w:rsidP="000B688E">
            <w:pPr>
              <w:keepNext/>
              <w:keepLines/>
              <w:jc w:val="center"/>
              <w:rPr>
                <w:rFonts w:ascii="Arial Narrow" w:hAnsi="Arial Narrow"/>
                <w:sz w:val="20"/>
                <w:lang w:eastAsia="es-ES"/>
              </w:rPr>
            </w:pPr>
            <w:r w:rsidRPr="009C6C56">
              <w:rPr>
                <w:rFonts w:ascii="Arial Narrow" w:hAnsi="Arial Narrow"/>
                <w:sz w:val="20"/>
                <w:lang w:eastAsia="es-ES"/>
              </w:rPr>
              <w:t>2029</w:t>
            </w:r>
          </w:p>
        </w:tc>
      </w:tr>
    </w:tbl>
    <w:p w14:paraId="0FC2BA15" w14:textId="77777777" w:rsidR="00DF4FF4" w:rsidRDefault="00DF4FF4" w:rsidP="00435439">
      <w:pPr>
        <w:spacing w:before="120" w:after="120"/>
        <w:jc w:val="both"/>
        <w:rPr>
          <w:rFonts w:ascii="Arial Narrow" w:hAnsi="Arial Narrow" w:cs="Arial"/>
          <w:sz w:val="24"/>
          <w:szCs w:val="24"/>
        </w:rPr>
      </w:pPr>
    </w:p>
    <w:p w14:paraId="26BC7A1A" w14:textId="77777777" w:rsidR="00DD368E" w:rsidRPr="00CB7C7A" w:rsidRDefault="00DD368E" w:rsidP="00435439">
      <w:pPr>
        <w:spacing w:before="120" w:after="120"/>
        <w:jc w:val="both"/>
        <w:rPr>
          <w:rFonts w:ascii="Arial Narrow" w:hAnsi="Arial Narrow" w:cs="Arial"/>
          <w:sz w:val="24"/>
          <w:szCs w:val="24"/>
        </w:rPr>
      </w:pPr>
      <w:r w:rsidRPr="00CB7C7A">
        <w:rPr>
          <w:rFonts w:ascii="Arial Narrow" w:hAnsi="Arial Narrow" w:cs="Arial"/>
          <w:sz w:val="24"/>
          <w:szCs w:val="24"/>
        </w:rPr>
        <w:t>Estos activos han de permanecer en funcionamiento durante 5 años salvo que su vida útil conforme a su amortización fiscal sea inferior.</w:t>
      </w:r>
    </w:p>
    <w:p w14:paraId="27A4F6FC" w14:textId="77777777" w:rsidR="00301F53" w:rsidRPr="002926B4" w:rsidRDefault="00301F53" w:rsidP="00301F53">
      <w:pPr>
        <w:jc w:val="both"/>
        <w:rPr>
          <w:rFonts w:ascii="Arial Narrow" w:hAnsi="Arial Narrow"/>
          <w:sz w:val="24"/>
          <w:szCs w:val="24"/>
          <w:lang w:eastAsia="es-ES"/>
        </w:rPr>
      </w:pPr>
      <w:r w:rsidRPr="002926B4">
        <w:rPr>
          <w:rFonts w:ascii="Arial Narrow" w:hAnsi="Arial Narrow"/>
          <w:sz w:val="24"/>
          <w:szCs w:val="24"/>
        </w:rPr>
        <w:t>Por los dividendos percibidos de la Entidad Parques Eólicos Gaviota S.A. en los ejercicios 2010 al 2012, la Compañía ha generado una deducción para evitar la doble imposición interna por un importe de 54.905,84 euros calculada al tipo de gravamen del 25%, aplicable sin limitación temporal.</w:t>
      </w:r>
    </w:p>
    <w:p w14:paraId="7EA3FC95" w14:textId="77777777" w:rsidR="00301F53" w:rsidRPr="002926B4" w:rsidRDefault="00301F53" w:rsidP="00301F53">
      <w:pPr>
        <w:jc w:val="both"/>
        <w:rPr>
          <w:rFonts w:ascii="Arial Narrow" w:hAnsi="Arial Narrow"/>
          <w:sz w:val="24"/>
          <w:szCs w:val="24"/>
        </w:rPr>
      </w:pPr>
    </w:p>
    <w:p w14:paraId="741DD491" w14:textId="77777777" w:rsidR="00301F53" w:rsidRPr="002926B4" w:rsidRDefault="00301F53" w:rsidP="00301F53">
      <w:pPr>
        <w:jc w:val="both"/>
        <w:rPr>
          <w:rFonts w:ascii="Arial Narrow" w:hAnsi="Arial Narrow"/>
          <w:sz w:val="24"/>
          <w:szCs w:val="24"/>
        </w:rPr>
      </w:pPr>
      <w:r w:rsidRPr="002926B4">
        <w:rPr>
          <w:rFonts w:ascii="Arial Narrow" w:hAnsi="Arial Narrow"/>
          <w:sz w:val="24"/>
          <w:szCs w:val="24"/>
        </w:rPr>
        <w:t>Por los dividendos percibidos de la Entidad Desarrollos Eólicos de Canarias S.A. en los ejercicios 2010 al 2014, la Compañía ha generado una deducción para evitar la doble imposición interna por un importe de 141.868,62 euros calculada al tipo de gravamen del 25%, aplicable sin limitación temporal.</w:t>
      </w:r>
    </w:p>
    <w:p w14:paraId="3770A301" w14:textId="77777777" w:rsidR="00301F53" w:rsidRPr="002926B4" w:rsidRDefault="00301F53" w:rsidP="00301F53">
      <w:pPr>
        <w:jc w:val="both"/>
        <w:rPr>
          <w:rFonts w:ascii="Arial Narrow" w:hAnsi="Arial Narrow"/>
          <w:sz w:val="24"/>
          <w:szCs w:val="24"/>
        </w:rPr>
      </w:pPr>
      <w:r w:rsidRPr="002926B4">
        <w:rPr>
          <w:rFonts w:ascii="Arial Narrow" w:hAnsi="Arial Narrow"/>
          <w:sz w:val="24"/>
          <w:szCs w:val="24"/>
        </w:rPr>
        <w:t>Por los dividendos percibidos de la Entidad Parque Eólico de Santa Lucía S.A. en los ejercicios 2012 al 2014, la Compañía ha generado una deducción para evitar la doble imposición interna por un importe de 44.291,38 euros calculada al tipo de gravamen del 25%, aplicable sin limitación temporal.</w:t>
      </w:r>
    </w:p>
    <w:p w14:paraId="772A3F97" w14:textId="77777777" w:rsidR="00301F53" w:rsidRPr="002926B4" w:rsidRDefault="00301F53" w:rsidP="00301F53">
      <w:pPr>
        <w:jc w:val="both"/>
        <w:rPr>
          <w:rFonts w:ascii="Arial Narrow" w:hAnsi="Arial Narrow"/>
          <w:sz w:val="24"/>
          <w:szCs w:val="24"/>
        </w:rPr>
      </w:pPr>
    </w:p>
    <w:p w14:paraId="03559C9C" w14:textId="0E37CC20" w:rsidR="002926B4" w:rsidRPr="002926B4" w:rsidRDefault="00301F53" w:rsidP="00301F53">
      <w:pPr>
        <w:jc w:val="both"/>
        <w:rPr>
          <w:rFonts w:ascii="Arial Narrow" w:hAnsi="Arial Narrow"/>
          <w:sz w:val="24"/>
          <w:szCs w:val="24"/>
        </w:rPr>
      </w:pPr>
      <w:r w:rsidRPr="002926B4">
        <w:rPr>
          <w:rFonts w:ascii="Arial Narrow" w:hAnsi="Arial Narrow"/>
          <w:sz w:val="24"/>
          <w:szCs w:val="24"/>
        </w:rPr>
        <w:t>La donación de un inmueble al Cabildo de La Palma en el ejercicio 2008 ha generado una deducción del 35% del valor neto contable del mismo, ascendiendo la deducción a un importe de 466.994,27 euros, aplicable en los diez ejercicios siguientes.</w:t>
      </w:r>
    </w:p>
    <w:p w14:paraId="096C5943" w14:textId="77777777" w:rsidR="00150E0E" w:rsidRPr="003F227B" w:rsidRDefault="00150E0E" w:rsidP="00F90DA2">
      <w:pPr>
        <w:keepNext/>
        <w:keepLines/>
        <w:spacing w:before="240" w:after="120"/>
        <w:jc w:val="both"/>
        <w:rPr>
          <w:rFonts w:ascii="Arial Narrow" w:hAnsi="Arial Narrow" w:cs="Arial"/>
          <w:b/>
          <w:sz w:val="24"/>
          <w:szCs w:val="24"/>
        </w:rPr>
      </w:pPr>
      <w:r w:rsidRPr="003F227B">
        <w:rPr>
          <w:rFonts w:ascii="Arial Narrow" w:hAnsi="Arial Narrow" w:cs="Arial"/>
          <w:b/>
          <w:sz w:val="24"/>
          <w:szCs w:val="24"/>
        </w:rPr>
        <w:t xml:space="preserve">c) </w:t>
      </w:r>
      <w:r w:rsidRPr="003F227B">
        <w:rPr>
          <w:rFonts w:ascii="Arial Narrow" w:hAnsi="Arial Narrow" w:cs="Arial"/>
          <w:b/>
          <w:sz w:val="24"/>
          <w:szCs w:val="24"/>
          <w:u w:val="single"/>
        </w:rPr>
        <w:t>Otra información</w:t>
      </w:r>
    </w:p>
    <w:p w14:paraId="1CA92613" w14:textId="77777777" w:rsidR="008306A9" w:rsidRPr="003F227B" w:rsidRDefault="0085215A" w:rsidP="00DD368E">
      <w:pPr>
        <w:jc w:val="both"/>
        <w:rPr>
          <w:rFonts w:ascii="Arial Narrow" w:hAnsi="Arial Narrow" w:cs="Arial"/>
          <w:spacing w:val="-2"/>
          <w:sz w:val="24"/>
          <w:szCs w:val="24"/>
        </w:rPr>
      </w:pPr>
      <w:r w:rsidRPr="003F227B">
        <w:rPr>
          <w:rFonts w:ascii="Arial Narrow" w:hAnsi="Arial Narrow" w:cs="Arial"/>
          <w:spacing w:val="-2"/>
          <w:sz w:val="24"/>
          <w:szCs w:val="24"/>
        </w:rPr>
        <w:t>En la memoria de las cuentas anuales de la Sociedad correspondientes al ejercicio 2002 figura toda la información requerida en el artículo 86 de la Ley 27/2014, de 27 de noviembre, del Impuesto sobre Sociedades, tanto la que se refiere al ejercicio en el que la entidad transmitente (Instituto Canario de Investigación y Desarrollo S.A.) adquirió los bienes susceptibles de amortización por la entidad adquirente (Instituto Tecnológico de Canarias S.A.), como la relativa al último balance cerrado por la entidad transmitente.</w:t>
      </w:r>
    </w:p>
    <w:p w14:paraId="20266C5D" w14:textId="77777777" w:rsidR="00A94629" w:rsidRPr="003F227B" w:rsidRDefault="00A94629" w:rsidP="00DD368E">
      <w:pPr>
        <w:jc w:val="both"/>
        <w:rPr>
          <w:rFonts w:ascii="Arial Narrow" w:hAnsi="Arial Narrow" w:cs="Arial"/>
          <w:spacing w:val="-2"/>
          <w:sz w:val="24"/>
          <w:szCs w:val="24"/>
        </w:rPr>
      </w:pPr>
    </w:p>
    <w:p w14:paraId="7D17EDDE" w14:textId="77777777" w:rsidR="009D0996" w:rsidRDefault="009D0996" w:rsidP="00DD368E">
      <w:pPr>
        <w:jc w:val="both"/>
        <w:rPr>
          <w:rFonts w:ascii="Arial Narrow" w:hAnsi="Arial Narrow" w:cs="Arial"/>
          <w:spacing w:val="-2"/>
          <w:sz w:val="24"/>
          <w:szCs w:val="24"/>
        </w:rPr>
      </w:pPr>
      <w:r w:rsidRPr="003F227B">
        <w:rPr>
          <w:rFonts w:ascii="Arial Narrow" w:hAnsi="Arial Narrow" w:cs="Arial"/>
          <w:spacing w:val="-2"/>
          <w:sz w:val="24"/>
          <w:szCs w:val="24"/>
        </w:rPr>
        <w:t>Por la razón expuesta, el ITC deberá conservar la memoria del ejercicio 2002 mientras permanezcan en el inventario los elementos patrimoniales adquiridos del ICID, así como durante los cinco años siguientes a la finalización de dicha permanencia, a efectos de la prescripción del Impuesto sobre Sociedades.</w:t>
      </w:r>
    </w:p>
    <w:p w14:paraId="1A0D65CC" w14:textId="77777777" w:rsidR="004F21E1" w:rsidRDefault="004F21E1" w:rsidP="004F21E1">
      <w:pPr>
        <w:jc w:val="both"/>
        <w:rPr>
          <w:rFonts w:ascii="Arial Narrow" w:hAnsi="Arial Narrow" w:cs="Arial"/>
          <w:spacing w:val="-2"/>
          <w:sz w:val="24"/>
          <w:szCs w:val="24"/>
        </w:rPr>
      </w:pPr>
    </w:p>
    <w:p w14:paraId="0F06F83D" w14:textId="77777777" w:rsidR="004F21E1" w:rsidRPr="004F21E1" w:rsidRDefault="004F21E1" w:rsidP="004F21E1">
      <w:pPr>
        <w:jc w:val="both"/>
        <w:rPr>
          <w:rFonts w:ascii="Arial Narrow" w:hAnsi="Arial Narrow" w:cs="Arial"/>
          <w:spacing w:val="-2"/>
          <w:sz w:val="24"/>
          <w:szCs w:val="24"/>
        </w:rPr>
      </w:pPr>
      <w:r w:rsidRPr="004F21E1">
        <w:rPr>
          <w:rFonts w:ascii="Arial Narrow" w:hAnsi="Arial Narrow" w:cs="Arial"/>
          <w:spacing w:val="-2"/>
          <w:sz w:val="24"/>
          <w:szCs w:val="24"/>
        </w:rPr>
        <w:t>APLICACIÓN DEL RÉGIMEN FISCAL ESPECIAL PREVISTO EN EL CAPÍTULO VIII DEL TÍTULO VII DE LA LEY DEL IMPUESTO SOBRE SOCIEDADES.</w:t>
      </w:r>
    </w:p>
    <w:p w14:paraId="196DE752" w14:textId="77777777" w:rsidR="004F21E1" w:rsidRPr="004F21E1" w:rsidRDefault="004F21E1" w:rsidP="004F21E1">
      <w:pPr>
        <w:jc w:val="both"/>
        <w:rPr>
          <w:rFonts w:ascii="Arial Narrow" w:hAnsi="Arial Narrow" w:cs="Arial"/>
          <w:spacing w:val="-2"/>
          <w:sz w:val="24"/>
          <w:szCs w:val="24"/>
        </w:rPr>
      </w:pPr>
    </w:p>
    <w:p w14:paraId="2850003E" w14:textId="77777777" w:rsidR="004F21E1" w:rsidRPr="003F227B" w:rsidRDefault="004F21E1" w:rsidP="004F21E1">
      <w:pPr>
        <w:jc w:val="both"/>
        <w:rPr>
          <w:rFonts w:ascii="Arial Narrow" w:hAnsi="Arial Narrow" w:cs="Arial"/>
          <w:spacing w:val="-2"/>
          <w:sz w:val="24"/>
          <w:szCs w:val="24"/>
        </w:rPr>
      </w:pPr>
      <w:r w:rsidRPr="004F21E1">
        <w:rPr>
          <w:rFonts w:ascii="Arial Narrow" w:hAnsi="Arial Narrow" w:cs="Arial"/>
          <w:spacing w:val="-2"/>
          <w:sz w:val="24"/>
          <w:szCs w:val="24"/>
        </w:rPr>
        <w:t>A la operación de fusión por la que la entidad Instituto Tecnológico de Canarias S.A. absorbió a la entidad Instituto Canario de Investigación y Desarrollo S.A., le es de aplicación el régimen fiscal especial por haberse cumplido los requisitos previstos en el artículo 96 del anterior Texto Refundido de la Ley del Impuesto sobre Sociedades.</w:t>
      </w:r>
    </w:p>
    <w:p w14:paraId="202620FE" w14:textId="77777777" w:rsidR="00CE2405" w:rsidRPr="00F56ADE" w:rsidRDefault="00CE2405" w:rsidP="00DD368E">
      <w:pPr>
        <w:jc w:val="both"/>
        <w:rPr>
          <w:rFonts w:ascii="Arial Narrow" w:hAnsi="Arial Narrow" w:cs="Arial"/>
          <w:color w:val="FF0000"/>
          <w:spacing w:val="-2"/>
          <w:sz w:val="24"/>
          <w:szCs w:val="24"/>
        </w:rPr>
      </w:pPr>
    </w:p>
    <w:p w14:paraId="71CC7B46" w14:textId="77777777" w:rsidR="00DD368E" w:rsidRPr="005C0BAB" w:rsidRDefault="00D6097D" w:rsidP="00D6097D">
      <w:pPr>
        <w:widowControl w:val="0"/>
        <w:spacing w:before="120" w:after="120"/>
        <w:rPr>
          <w:rFonts w:ascii="Arial Narrow" w:hAnsi="Arial Narrow" w:cs="Arial"/>
          <w:b/>
          <w:caps/>
          <w:snapToGrid w:val="0"/>
          <w:sz w:val="24"/>
          <w:szCs w:val="24"/>
          <w:u w:val="single"/>
          <w:lang w:eastAsia="es-ES"/>
        </w:rPr>
      </w:pPr>
      <w:bookmarkStart w:id="13" w:name="_Hlk34905359"/>
      <w:r w:rsidRPr="005C0BAB">
        <w:rPr>
          <w:rFonts w:ascii="Arial Narrow" w:hAnsi="Arial Narrow" w:cs="Arial"/>
          <w:b/>
          <w:caps/>
          <w:snapToGrid w:val="0"/>
          <w:sz w:val="24"/>
          <w:szCs w:val="24"/>
          <w:lang w:eastAsia="es-ES"/>
        </w:rPr>
        <w:t>Nota 1</w:t>
      </w:r>
      <w:r w:rsidR="00230948" w:rsidRPr="005C0BAB">
        <w:rPr>
          <w:rFonts w:ascii="Arial Narrow" w:hAnsi="Arial Narrow" w:cs="Arial"/>
          <w:b/>
          <w:caps/>
          <w:snapToGrid w:val="0"/>
          <w:sz w:val="24"/>
          <w:szCs w:val="24"/>
          <w:lang w:eastAsia="es-ES"/>
        </w:rPr>
        <w:t>1</w:t>
      </w:r>
      <w:r w:rsidRPr="005C0BAB">
        <w:rPr>
          <w:rFonts w:ascii="Arial Narrow" w:hAnsi="Arial Narrow" w:cs="Arial"/>
          <w:b/>
          <w:caps/>
          <w:snapToGrid w:val="0"/>
          <w:sz w:val="24"/>
          <w:szCs w:val="24"/>
          <w:lang w:eastAsia="es-ES"/>
        </w:rPr>
        <w:t xml:space="preserve">. </w:t>
      </w:r>
      <w:r w:rsidR="00DD368E" w:rsidRPr="005C0BAB">
        <w:rPr>
          <w:rFonts w:ascii="Arial Narrow" w:hAnsi="Arial Narrow" w:cs="Arial"/>
          <w:b/>
          <w:caps/>
          <w:snapToGrid w:val="0"/>
          <w:sz w:val="24"/>
          <w:szCs w:val="24"/>
          <w:u w:val="single"/>
          <w:lang w:eastAsia="es-ES"/>
        </w:rPr>
        <w:t>Ingresos y gastos</w:t>
      </w:r>
    </w:p>
    <w:bookmarkEnd w:id="13"/>
    <w:p w14:paraId="0391804C" w14:textId="77777777" w:rsidR="00F92671" w:rsidRDefault="00F92671" w:rsidP="00F92671">
      <w:pPr>
        <w:spacing w:before="120" w:after="120"/>
        <w:jc w:val="both"/>
        <w:rPr>
          <w:rFonts w:ascii="Arial Narrow" w:hAnsi="Arial Narrow" w:cs="Arial"/>
          <w:sz w:val="24"/>
          <w:szCs w:val="24"/>
        </w:rPr>
      </w:pPr>
      <w:r w:rsidRPr="00D55A4F">
        <w:rPr>
          <w:rFonts w:ascii="Arial Narrow" w:hAnsi="Arial Narrow" w:cs="Arial"/>
          <w:sz w:val="24"/>
          <w:szCs w:val="24"/>
        </w:rPr>
        <w:t>La distribución de la cifra de negocios de la Sociedad correspondiente a sus operaciones continuadas por categorías de actividades, se detalla en el siguiente cuadro:</w:t>
      </w:r>
    </w:p>
    <w:p w14:paraId="0D9EB1BC" w14:textId="77777777" w:rsidR="00DF4FF4" w:rsidRDefault="00DF4FF4" w:rsidP="00F92671">
      <w:pPr>
        <w:spacing w:before="120" w:after="120"/>
        <w:jc w:val="both"/>
        <w:rPr>
          <w:rFonts w:ascii="Arial Narrow" w:hAnsi="Arial Narrow" w:cs="Arial"/>
          <w:sz w:val="24"/>
          <w:szCs w:val="24"/>
        </w:rPr>
      </w:pPr>
    </w:p>
    <w:p w14:paraId="7FF38E04" w14:textId="77777777" w:rsidR="009E2C24" w:rsidRDefault="00F6203C" w:rsidP="004F21E1">
      <w:pPr>
        <w:spacing w:before="120" w:after="120"/>
        <w:jc w:val="center"/>
        <w:rPr>
          <w:rFonts w:ascii="Arial Narrow" w:hAnsi="Arial Narrow" w:cs="Arial"/>
          <w:sz w:val="24"/>
          <w:szCs w:val="24"/>
        </w:rPr>
      </w:pPr>
      <w:r w:rsidRPr="00F6203C">
        <w:rPr>
          <w:noProof/>
          <w:lang w:val="es-ES" w:eastAsia="es-ES"/>
        </w:rPr>
        <w:drawing>
          <wp:inline distT="0" distB="0" distL="0" distR="0" wp14:anchorId="238472FA" wp14:editId="2B3BA322">
            <wp:extent cx="3321050" cy="1155700"/>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21050" cy="1155700"/>
                    </a:xfrm>
                    <a:prstGeom prst="rect">
                      <a:avLst/>
                    </a:prstGeom>
                    <a:noFill/>
                    <a:ln>
                      <a:noFill/>
                    </a:ln>
                  </pic:spPr>
                </pic:pic>
              </a:graphicData>
            </a:graphic>
          </wp:inline>
        </w:drawing>
      </w:r>
    </w:p>
    <w:p w14:paraId="1C151F10" w14:textId="77777777" w:rsidR="00DF4FF4" w:rsidRDefault="00DF4FF4" w:rsidP="00F92671">
      <w:pPr>
        <w:spacing w:before="120" w:after="120"/>
        <w:jc w:val="both"/>
        <w:rPr>
          <w:rFonts w:ascii="Arial Narrow" w:hAnsi="Arial Narrow" w:cs="Arial"/>
          <w:sz w:val="24"/>
          <w:szCs w:val="24"/>
        </w:rPr>
      </w:pPr>
    </w:p>
    <w:p w14:paraId="3D9C2850" w14:textId="77777777" w:rsidR="00F92671" w:rsidRDefault="00F92671" w:rsidP="00F92671">
      <w:pPr>
        <w:spacing w:before="120" w:after="120"/>
        <w:jc w:val="both"/>
        <w:rPr>
          <w:rFonts w:ascii="Arial Narrow" w:hAnsi="Arial Narrow" w:cs="Arial"/>
          <w:sz w:val="24"/>
          <w:szCs w:val="24"/>
        </w:rPr>
      </w:pPr>
      <w:r w:rsidRPr="00107D67">
        <w:rPr>
          <w:rFonts w:ascii="Arial Narrow" w:hAnsi="Arial Narrow" w:cs="Arial"/>
          <w:sz w:val="24"/>
          <w:szCs w:val="24"/>
        </w:rPr>
        <w:t>Por la actividad de la Sociedad la cifra de negocios se obtiene en su mayor parte dentro de la Comunidad Autónoma de Canarias.</w:t>
      </w:r>
    </w:p>
    <w:p w14:paraId="364537FC" w14:textId="77777777" w:rsidR="00C60DD6" w:rsidRDefault="00C60DD6" w:rsidP="00F92671">
      <w:pPr>
        <w:spacing w:before="120" w:after="120"/>
        <w:jc w:val="both"/>
        <w:rPr>
          <w:rFonts w:ascii="Arial Narrow" w:hAnsi="Arial Narrow" w:cs="Arial"/>
          <w:sz w:val="24"/>
          <w:szCs w:val="24"/>
        </w:rPr>
      </w:pPr>
    </w:p>
    <w:p w14:paraId="759EAE12" w14:textId="77777777" w:rsidR="00E13F8A" w:rsidRDefault="00E13F8A" w:rsidP="004253AD">
      <w:pPr>
        <w:ind w:left="426" w:hanging="426"/>
        <w:rPr>
          <w:rFonts w:ascii="Arial Narrow" w:hAnsi="Arial Narrow" w:cs="Arial"/>
          <w:color w:val="000000" w:themeColor="text1"/>
          <w:sz w:val="24"/>
          <w:szCs w:val="24"/>
        </w:rPr>
      </w:pPr>
      <w:r w:rsidRPr="0023126E">
        <w:rPr>
          <w:rFonts w:ascii="Arial Narrow" w:hAnsi="Arial Narrow" w:cs="Arial"/>
          <w:color w:val="000000" w:themeColor="text1"/>
          <w:sz w:val="24"/>
          <w:szCs w:val="24"/>
        </w:rPr>
        <w:t xml:space="preserve">El detalle de </w:t>
      </w:r>
      <w:r w:rsidR="00F92671">
        <w:rPr>
          <w:rFonts w:ascii="Arial Narrow" w:hAnsi="Arial Narrow" w:cs="Arial"/>
          <w:color w:val="000000" w:themeColor="text1"/>
          <w:sz w:val="24"/>
          <w:szCs w:val="24"/>
        </w:rPr>
        <w:t xml:space="preserve">Gastos de </w:t>
      </w:r>
      <w:r w:rsidRPr="0023126E">
        <w:rPr>
          <w:rFonts w:ascii="Arial Narrow" w:hAnsi="Arial Narrow" w:cs="Arial"/>
          <w:color w:val="000000" w:themeColor="text1"/>
          <w:sz w:val="24"/>
          <w:szCs w:val="24"/>
        </w:rPr>
        <w:t>la cuenta de pérdidas y ganancias adjunta es el siguiente</w:t>
      </w:r>
      <w:r w:rsidR="00684C19" w:rsidRPr="0023126E">
        <w:rPr>
          <w:rFonts w:ascii="Arial Narrow" w:hAnsi="Arial Narrow" w:cs="Arial"/>
          <w:color w:val="000000" w:themeColor="text1"/>
          <w:sz w:val="24"/>
          <w:szCs w:val="24"/>
        </w:rPr>
        <w:t>:</w:t>
      </w:r>
    </w:p>
    <w:p w14:paraId="6388E36B" w14:textId="77777777" w:rsidR="002926B4" w:rsidRDefault="002926B4" w:rsidP="004253AD">
      <w:pPr>
        <w:ind w:left="426" w:hanging="426"/>
        <w:rPr>
          <w:rFonts w:ascii="Arial Narrow" w:hAnsi="Arial Narrow" w:cs="Arial"/>
          <w:color w:val="000000" w:themeColor="text1"/>
          <w:sz w:val="24"/>
          <w:szCs w:val="24"/>
        </w:rPr>
      </w:pPr>
    </w:p>
    <w:p w14:paraId="15897BE1" w14:textId="7D346A67" w:rsidR="00F90B9C" w:rsidRDefault="004F21E1" w:rsidP="004F21E1">
      <w:pPr>
        <w:tabs>
          <w:tab w:val="left" w:pos="555"/>
        </w:tabs>
        <w:ind w:left="426" w:hanging="426"/>
        <w:jc w:val="center"/>
        <w:rPr>
          <w:rFonts w:ascii="Arial Narrow" w:hAnsi="Arial Narrow" w:cs="Arial"/>
          <w:color w:val="FF0000"/>
          <w:sz w:val="24"/>
          <w:szCs w:val="24"/>
        </w:rPr>
      </w:pPr>
      <w:r w:rsidRPr="004F21E1">
        <w:rPr>
          <w:noProof/>
          <w:lang w:val="es-ES" w:eastAsia="es-ES"/>
        </w:rPr>
        <w:drawing>
          <wp:inline distT="0" distB="0" distL="0" distR="0" wp14:anchorId="29EE1FAD" wp14:editId="2F41FEE6">
            <wp:extent cx="4819658" cy="35282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21049" cy="3529282"/>
                    </a:xfrm>
                    <a:prstGeom prst="rect">
                      <a:avLst/>
                    </a:prstGeom>
                    <a:noFill/>
                    <a:ln>
                      <a:noFill/>
                    </a:ln>
                  </pic:spPr>
                </pic:pic>
              </a:graphicData>
            </a:graphic>
          </wp:inline>
        </w:drawing>
      </w:r>
    </w:p>
    <w:p w14:paraId="1881982B" w14:textId="77777777" w:rsidR="00C60DD6" w:rsidRDefault="00C60DD6" w:rsidP="004F21E1">
      <w:pPr>
        <w:tabs>
          <w:tab w:val="left" w:pos="555"/>
        </w:tabs>
        <w:ind w:left="426" w:hanging="426"/>
        <w:jc w:val="center"/>
        <w:rPr>
          <w:rFonts w:ascii="Arial Narrow" w:hAnsi="Arial Narrow" w:cs="Arial"/>
          <w:color w:val="FF0000"/>
          <w:sz w:val="24"/>
          <w:szCs w:val="24"/>
        </w:rPr>
      </w:pPr>
    </w:p>
    <w:p w14:paraId="101DF8EB" w14:textId="77777777" w:rsidR="00DD368E" w:rsidRPr="00E12F19" w:rsidRDefault="00F90B9C" w:rsidP="00A94629">
      <w:pPr>
        <w:keepNext/>
        <w:keepLines/>
        <w:tabs>
          <w:tab w:val="left" w:pos="426"/>
        </w:tabs>
        <w:rPr>
          <w:rFonts w:ascii="Arial Narrow" w:hAnsi="Arial Narrow"/>
          <w:sz w:val="24"/>
          <w:szCs w:val="24"/>
        </w:rPr>
      </w:pPr>
      <w:bookmarkStart w:id="14" w:name="_Hlk34905368"/>
      <w:r>
        <w:rPr>
          <w:rFonts w:ascii="Arial Narrow" w:hAnsi="Arial Narrow" w:cs="Arial"/>
          <w:snapToGrid w:val="0"/>
          <w:sz w:val="24"/>
          <w:szCs w:val="24"/>
          <w:lang w:eastAsia="es-ES"/>
        </w:rPr>
        <w:t>a</w:t>
      </w:r>
      <w:r w:rsidR="00DD368E" w:rsidRPr="000B688E">
        <w:rPr>
          <w:rFonts w:ascii="Arial Narrow" w:hAnsi="Arial Narrow" w:cs="Arial"/>
          <w:snapToGrid w:val="0"/>
          <w:sz w:val="24"/>
          <w:szCs w:val="24"/>
          <w:lang w:eastAsia="es-ES"/>
        </w:rPr>
        <w:t>)</w:t>
      </w:r>
      <w:r w:rsidR="00DD368E" w:rsidRPr="000B688E">
        <w:rPr>
          <w:rFonts w:ascii="Arial Narrow" w:hAnsi="Arial Narrow" w:cs="Arial"/>
          <w:snapToGrid w:val="0"/>
          <w:sz w:val="24"/>
          <w:szCs w:val="24"/>
          <w:lang w:eastAsia="es-ES"/>
        </w:rPr>
        <w:tab/>
      </w:r>
      <w:r w:rsidR="00DD368E" w:rsidRPr="000B688E">
        <w:rPr>
          <w:rFonts w:ascii="Arial Narrow" w:hAnsi="Arial Narrow" w:cs="Arial"/>
          <w:snapToGrid w:val="0"/>
          <w:sz w:val="24"/>
          <w:szCs w:val="24"/>
          <w:u w:val="single"/>
          <w:lang w:eastAsia="es-ES"/>
        </w:rPr>
        <w:t>Gastos de personal</w:t>
      </w:r>
    </w:p>
    <w:bookmarkEnd w:id="14"/>
    <w:p w14:paraId="68E3089D" w14:textId="77777777" w:rsidR="00F05ADA" w:rsidRDefault="00765403" w:rsidP="00A94629">
      <w:pPr>
        <w:keepNext/>
        <w:keepLines/>
        <w:spacing w:before="120" w:after="120"/>
        <w:jc w:val="both"/>
        <w:rPr>
          <w:rFonts w:ascii="Arial Narrow" w:hAnsi="Arial Narrow" w:cs="Arial"/>
          <w:sz w:val="24"/>
          <w:szCs w:val="24"/>
        </w:rPr>
      </w:pPr>
      <w:r w:rsidRPr="00E12F19">
        <w:rPr>
          <w:rFonts w:ascii="Arial Narrow" w:hAnsi="Arial Narrow" w:cs="Arial"/>
          <w:sz w:val="24"/>
          <w:szCs w:val="24"/>
        </w:rPr>
        <w:t xml:space="preserve">La composición del epígrafe de “Gastos de personal” </w:t>
      </w:r>
      <w:r w:rsidRPr="00F90B9C">
        <w:rPr>
          <w:rFonts w:ascii="Arial Narrow" w:hAnsi="Arial Narrow" w:cs="Arial"/>
          <w:sz w:val="24"/>
          <w:szCs w:val="24"/>
        </w:rPr>
        <w:t xml:space="preserve">correspondiente a los </w:t>
      </w:r>
      <w:r w:rsidR="005E6DBF" w:rsidRPr="00F90B9C">
        <w:rPr>
          <w:rFonts w:ascii="Arial Narrow" w:hAnsi="Arial Narrow" w:cs="Arial"/>
          <w:sz w:val="24"/>
          <w:szCs w:val="24"/>
        </w:rPr>
        <w:t xml:space="preserve">ejercicios </w:t>
      </w:r>
      <w:r w:rsidR="00F6203C">
        <w:rPr>
          <w:rFonts w:ascii="Arial Narrow" w:hAnsi="Arial Narrow" w:cs="Arial"/>
          <w:sz w:val="24"/>
          <w:szCs w:val="24"/>
        </w:rPr>
        <w:t>2019 y 2018</w:t>
      </w:r>
      <w:r w:rsidRPr="00F90B9C">
        <w:rPr>
          <w:rFonts w:ascii="Arial Narrow" w:hAnsi="Arial Narrow" w:cs="Arial"/>
          <w:sz w:val="24"/>
          <w:szCs w:val="24"/>
        </w:rPr>
        <w:t xml:space="preserve"> es </w:t>
      </w:r>
      <w:r w:rsidRPr="00E12F19">
        <w:rPr>
          <w:rFonts w:ascii="Arial Narrow" w:hAnsi="Arial Narrow" w:cs="Arial"/>
          <w:sz w:val="24"/>
          <w:szCs w:val="24"/>
        </w:rPr>
        <w:t>la siguiente, en euros:</w:t>
      </w:r>
    </w:p>
    <w:tbl>
      <w:tblPr>
        <w:tblW w:w="6558" w:type="dxa"/>
        <w:jc w:val="center"/>
        <w:tblCellMar>
          <w:left w:w="70" w:type="dxa"/>
          <w:right w:w="70" w:type="dxa"/>
        </w:tblCellMar>
        <w:tblLook w:val="04A0" w:firstRow="1" w:lastRow="0" w:firstColumn="1" w:lastColumn="0" w:noHBand="0" w:noVBand="1"/>
      </w:tblPr>
      <w:tblGrid>
        <w:gridCol w:w="2127"/>
        <w:gridCol w:w="2057"/>
        <w:gridCol w:w="2374"/>
      </w:tblGrid>
      <w:tr w:rsidR="004F21E1" w:rsidRPr="00E12F19" w14:paraId="7CDD13B1" w14:textId="77777777" w:rsidTr="004F21E1">
        <w:trPr>
          <w:trHeight w:val="340"/>
          <w:jc w:val="center"/>
        </w:trPr>
        <w:tc>
          <w:tcPr>
            <w:tcW w:w="1622" w:type="pct"/>
            <w:tcBorders>
              <w:top w:val="nil"/>
              <w:left w:val="nil"/>
              <w:bottom w:val="nil"/>
              <w:right w:val="nil"/>
            </w:tcBorders>
            <w:shd w:val="clear" w:color="000000" w:fill="D9D9D9" w:themeFill="background1" w:themeFillShade="D9"/>
            <w:vAlign w:val="center"/>
            <w:hideMark/>
          </w:tcPr>
          <w:p w14:paraId="5140D7D5" w14:textId="77777777" w:rsidR="004F21E1" w:rsidRPr="00E12F19" w:rsidRDefault="004F21E1" w:rsidP="004F21E1">
            <w:pPr>
              <w:keepNext/>
              <w:keepLines/>
              <w:ind w:left="143"/>
              <w:rPr>
                <w:rFonts w:ascii="Arial Narrow" w:hAnsi="Arial Narrow"/>
                <w:sz w:val="20"/>
                <w:lang w:eastAsia="es-ES"/>
              </w:rPr>
            </w:pPr>
            <w:r w:rsidRPr="00E12F19">
              <w:rPr>
                <w:rFonts w:ascii="Arial Narrow" w:hAnsi="Arial Narrow"/>
                <w:sz w:val="20"/>
                <w:lang w:eastAsia="es-ES"/>
              </w:rPr>
              <w:t> </w:t>
            </w:r>
          </w:p>
        </w:tc>
        <w:tc>
          <w:tcPr>
            <w:tcW w:w="1568" w:type="pct"/>
            <w:tcBorders>
              <w:top w:val="nil"/>
              <w:left w:val="nil"/>
              <w:bottom w:val="nil"/>
              <w:right w:val="nil"/>
            </w:tcBorders>
            <w:shd w:val="clear" w:color="000000" w:fill="D9D9D9" w:themeFill="background1" w:themeFillShade="D9"/>
            <w:noWrap/>
            <w:vAlign w:val="center"/>
            <w:hideMark/>
          </w:tcPr>
          <w:p w14:paraId="3FA4F174" w14:textId="77777777" w:rsidR="004F21E1" w:rsidRPr="00E12F19" w:rsidRDefault="004F21E1" w:rsidP="004F21E1">
            <w:pPr>
              <w:jc w:val="center"/>
              <w:rPr>
                <w:rFonts w:ascii="Arial Narrow" w:hAnsi="Arial Narrow"/>
                <w:b/>
                <w:bCs/>
                <w:sz w:val="20"/>
                <w:lang w:eastAsia="es-ES"/>
              </w:rPr>
            </w:pPr>
            <w:r>
              <w:rPr>
                <w:rFonts w:ascii="Arial Narrow" w:hAnsi="Arial Narrow"/>
                <w:b/>
                <w:bCs/>
                <w:sz w:val="20"/>
                <w:lang w:eastAsia="es-ES"/>
              </w:rPr>
              <w:t xml:space="preserve">                    </w:t>
            </w:r>
            <w:r w:rsidRPr="00E12F19">
              <w:rPr>
                <w:rFonts w:ascii="Arial Narrow" w:hAnsi="Arial Narrow"/>
                <w:b/>
                <w:bCs/>
                <w:sz w:val="20"/>
                <w:lang w:eastAsia="es-ES"/>
              </w:rPr>
              <w:t>201</w:t>
            </w:r>
            <w:r>
              <w:rPr>
                <w:rFonts w:ascii="Arial Narrow" w:hAnsi="Arial Narrow"/>
                <w:b/>
                <w:bCs/>
                <w:sz w:val="20"/>
                <w:lang w:eastAsia="es-ES"/>
              </w:rPr>
              <w:t>9</w:t>
            </w:r>
          </w:p>
        </w:tc>
        <w:tc>
          <w:tcPr>
            <w:tcW w:w="1810" w:type="pct"/>
            <w:tcBorders>
              <w:top w:val="nil"/>
              <w:left w:val="nil"/>
              <w:bottom w:val="nil"/>
              <w:right w:val="nil"/>
            </w:tcBorders>
            <w:shd w:val="clear" w:color="000000" w:fill="D9D9D9" w:themeFill="background1" w:themeFillShade="D9"/>
            <w:vAlign w:val="center"/>
          </w:tcPr>
          <w:p w14:paraId="35CFB846" w14:textId="77777777" w:rsidR="004F21E1" w:rsidRPr="00E12F19" w:rsidRDefault="004F21E1" w:rsidP="004F21E1">
            <w:pPr>
              <w:jc w:val="center"/>
              <w:rPr>
                <w:rFonts w:ascii="Arial Narrow" w:hAnsi="Arial Narrow"/>
                <w:b/>
                <w:bCs/>
                <w:sz w:val="20"/>
                <w:lang w:eastAsia="es-ES"/>
              </w:rPr>
            </w:pPr>
            <w:r>
              <w:rPr>
                <w:rFonts w:ascii="Arial Narrow" w:hAnsi="Arial Narrow"/>
                <w:b/>
                <w:bCs/>
                <w:sz w:val="20"/>
                <w:lang w:eastAsia="es-ES"/>
              </w:rPr>
              <w:t xml:space="preserve">                    </w:t>
            </w:r>
            <w:r w:rsidRPr="00E12F19">
              <w:rPr>
                <w:rFonts w:ascii="Arial Narrow" w:hAnsi="Arial Narrow"/>
                <w:b/>
                <w:bCs/>
                <w:sz w:val="20"/>
                <w:lang w:eastAsia="es-ES"/>
              </w:rPr>
              <w:t>201</w:t>
            </w:r>
            <w:r>
              <w:rPr>
                <w:rFonts w:ascii="Arial Narrow" w:hAnsi="Arial Narrow"/>
                <w:b/>
                <w:bCs/>
                <w:sz w:val="20"/>
                <w:lang w:eastAsia="es-ES"/>
              </w:rPr>
              <w:t>8</w:t>
            </w:r>
          </w:p>
        </w:tc>
      </w:tr>
      <w:tr w:rsidR="004F21E1" w:rsidRPr="00E12F19" w14:paraId="6763E505" w14:textId="77777777" w:rsidTr="004F21E1">
        <w:trPr>
          <w:trHeight w:val="272"/>
          <w:jc w:val="center"/>
        </w:trPr>
        <w:tc>
          <w:tcPr>
            <w:tcW w:w="1622" w:type="pct"/>
            <w:tcBorders>
              <w:top w:val="nil"/>
              <w:left w:val="nil"/>
              <w:bottom w:val="nil"/>
              <w:right w:val="nil"/>
            </w:tcBorders>
            <w:shd w:val="clear" w:color="000000" w:fill="FFFFFF"/>
            <w:vAlign w:val="center"/>
            <w:hideMark/>
          </w:tcPr>
          <w:p w14:paraId="48496B54" w14:textId="77777777" w:rsidR="004F21E1" w:rsidRPr="00E12F19" w:rsidRDefault="004F21E1" w:rsidP="004F21E1">
            <w:pPr>
              <w:keepNext/>
              <w:keepLines/>
              <w:ind w:left="143"/>
              <w:rPr>
                <w:rFonts w:ascii="Arial Narrow" w:hAnsi="Arial Narrow"/>
                <w:sz w:val="20"/>
                <w:lang w:eastAsia="es-ES"/>
              </w:rPr>
            </w:pPr>
            <w:r w:rsidRPr="00E12F19">
              <w:rPr>
                <w:rFonts w:ascii="Arial Narrow" w:hAnsi="Arial Narrow"/>
                <w:sz w:val="20"/>
                <w:lang w:eastAsia="es-ES"/>
              </w:rPr>
              <w:t>Sueldos y salarios</w:t>
            </w:r>
          </w:p>
        </w:tc>
        <w:tc>
          <w:tcPr>
            <w:tcW w:w="1568" w:type="pct"/>
            <w:tcBorders>
              <w:top w:val="nil"/>
              <w:left w:val="nil"/>
              <w:bottom w:val="nil"/>
              <w:right w:val="nil"/>
            </w:tcBorders>
            <w:shd w:val="clear" w:color="000000" w:fill="FFFFFF"/>
            <w:vAlign w:val="center"/>
          </w:tcPr>
          <w:p w14:paraId="43A7636F" w14:textId="77777777" w:rsidR="004F21E1" w:rsidRDefault="004F21E1" w:rsidP="004F21E1">
            <w:pPr>
              <w:jc w:val="right"/>
              <w:rPr>
                <w:rFonts w:ascii="Arial Narrow" w:hAnsi="Arial Narrow" w:cs="Calibri"/>
                <w:color w:val="000000"/>
                <w:sz w:val="20"/>
                <w:lang w:val="es-ES" w:eastAsia="es-ES"/>
              </w:rPr>
            </w:pPr>
            <w:r>
              <w:rPr>
                <w:rFonts w:ascii="Arial Narrow" w:hAnsi="Arial Narrow" w:cs="Calibri"/>
                <w:color w:val="000000"/>
                <w:sz w:val="20"/>
              </w:rPr>
              <w:t>5.777.229,93</w:t>
            </w:r>
          </w:p>
        </w:tc>
        <w:tc>
          <w:tcPr>
            <w:tcW w:w="1810" w:type="pct"/>
            <w:tcBorders>
              <w:top w:val="nil"/>
              <w:left w:val="nil"/>
              <w:bottom w:val="nil"/>
              <w:right w:val="nil"/>
            </w:tcBorders>
            <w:shd w:val="clear" w:color="000000" w:fill="FFFFFF"/>
            <w:vAlign w:val="center"/>
          </w:tcPr>
          <w:p w14:paraId="079E8513" w14:textId="77777777" w:rsidR="004F21E1" w:rsidRPr="00E12F19" w:rsidRDefault="004F21E1" w:rsidP="004F21E1">
            <w:pPr>
              <w:jc w:val="right"/>
              <w:rPr>
                <w:rFonts w:ascii="Arial Narrow" w:hAnsi="Arial Narrow"/>
                <w:sz w:val="20"/>
                <w:lang w:eastAsia="es-ES"/>
              </w:rPr>
            </w:pPr>
            <w:r>
              <w:rPr>
                <w:rFonts w:ascii="Arial Narrow" w:hAnsi="Arial Narrow"/>
                <w:sz w:val="20"/>
                <w:lang w:eastAsia="es-ES"/>
              </w:rPr>
              <w:t>4.777.129,96</w:t>
            </w:r>
          </w:p>
        </w:tc>
      </w:tr>
      <w:tr w:rsidR="004F21E1" w:rsidRPr="00E12F19" w14:paraId="4FA6C166" w14:textId="77777777" w:rsidTr="004F21E1">
        <w:trPr>
          <w:trHeight w:val="272"/>
          <w:jc w:val="center"/>
        </w:trPr>
        <w:tc>
          <w:tcPr>
            <w:tcW w:w="1622" w:type="pct"/>
            <w:tcBorders>
              <w:top w:val="nil"/>
              <w:left w:val="nil"/>
              <w:bottom w:val="nil"/>
              <w:right w:val="nil"/>
            </w:tcBorders>
            <w:shd w:val="clear" w:color="000000" w:fill="FFFFFF"/>
            <w:vAlign w:val="center"/>
            <w:hideMark/>
          </w:tcPr>
          <w:p w14:paraId="7E55D6B7" w14:textId="77777777" w:rsidR="004F21E1" w:rsidRPr="00E12F19" w:rsidRDefault="004F21E1" w:rsidP="004F21E1">
            <w:pPr>
              <w:keepNext/>
              <w:keepLines/>
              <w:ind w:left="143"/>
              <w:rPr>
                <w:rFonts w:ascii="Arial Narrow" w:hAnsi="Arial Narrow"/>
                <w:sz w:val="20"/>
                <w:lang w:eastAsia="es-ES"/>
              </w:rPr>
            </w:pPr>
            <w:r w:rsidRPr="00E12F19">
              <w:rPr>
                <w:rFonts w:ascii="Arial Narrow" w:hAnsi="Arial Narrow"/>
                <w:sz w:val="20"/>
                <w:lang w:eastAsia="es-ES"/>
              </w:rPr>
              <w:t>Indemnizaciones</w:t>
            </w:r>
          </w:p>
        </w:tc>
        <w:tc>
          <w:tcPr>
            <w:tcW w:w="1568" w:type="pct"/>
            <w:tcBorders>
              <w:top w:val="nil"/>
              <w:left w:val="nil"/>
              <w:bottom w:val="nil"/>
              <w:right w:val="nil"/>
            </w:tcBorders>
            <w:shd w:val="clear" w:color="000000" w:fill="FFFFFF"/>
            <w:vAlign w:val="center"/>
          </w:tcPr>
          <w:p w14:paraId="3E1B2BE2" w14:textId="77777777" w:rsidR="004F21E1" w:rsidRDefault="004F21E1" w:rsidP="004F21E1">
            <w:pPr>
              <w:jc w:val="right"/>
              <w:rPr>
                <w:rFonts w:ascii="Arial Narrow" w:hAnsi="Arial Narrow" w:cs="Calibri"/>
                <w:color w:val="000000"/>
                <w:sz w:val="20"/>
              </w:rPr>
            </w:pPr>
            <w:r>
              <w:rPr>
                <w:rFonts w:ascii="Arial Narrow" w:hAnsi="Arial Narrow" w:cs="Calibri"/>
                <w:color w:val="000000"/>
                <w:sz w:val="20"/>
              </w:rPr>
              <w:t>1.323,97</w:t>
            </w:r>
          </w:p>
        </w:tc>
        <w:tc>
          <w:tcPr>
            <w:tcW w:w="1810" w:type="pct"/>
            <w:tcBorders>
              <w:top w:val="nil"/>
              <w:left w:val="nil"/>
              <w:bottom w:val="nil"/>
              <w:right w:val="nil"/>
            </w:tcBorders>
            <w:shd w:val="clear" w:color="000000" w:fill="FFFFFF"/>
            <w:vAlign w:val="center"/>
          </w:tcPr>
          <w:p w14:paraId="336F4B41" w14:textId="77777777" w:rsidR="004F21E1" w:rsidRPr="00E12F19" w:rsidRDefault="004F21E1" w:rsidP="004F21E1">
            <w:pPr>
              <w:jc w:val="right"/>
              <w:rPr>
                <w:rFonts w:ascii="Arial Narrow" w:hAnsi="Arial Narrow"/>
                <w:sz w:val="20"/>
                <w:lang w:eastAsia="es-ES"/>
              </w:rPr>
            </w:pPr>
            <w:r>
              <w:rPr>
                <w:rFonts w:ascii="Arial Narrow" w:hAnsi="Arial Narrow"/>
                <w:sz w:val="20"/>
                <w:lang w:eastAsia="es-ES"/>
              </w:rPr>
              <w:t>-61.253,57</w:t>
            </w:r>
          </w:p>
        </w:tc>
      </w:tr>
      <w:tr w:rsidR="004F21E1" w:rsidRPr="00E12F19" w14:paraId="69C5A8B6" w14:textId="77777777" w:rsidTr="004F21E1">
        <w:trPr>
          <w:trHeight w:val="272"/>
          <w:jc w:val="center"/>
        </w:trPr>
        <w:tc>
          <w:tcPr>
            <w:tcW w:w="1622" w:type="pct"/>
            <w:tcBorders>
              <w:top w:val="nil"/>
              <w:left w:val="nil"/>
              <w:bottom w:val="nil"/>
              <w:right w:val="nil"/>
            </w:tcBorders>
            <w:shd w:val="clear" w:color="000000" w:fill="FFFFFF"/>
            <w:vAlign w:val="center"/>
            <w:hideMark/>
          </w:tcPr>
          <w:p w14:paraId="4B563627" w14:textId="77777777" w:rsidR="004F21E1" w:rsidRPr="00E12F19" w:rsidRDefault="004F21E1" w:rsidP="004F21E1">
            <w:pPr>
              <w:keepNext/>
              <w:keepLines/>
              <w:ind w:left="143"/>
              <w:rPr>
                <w:rFonts w:ascii="Arial Narrow" w:hAnsi="Arial Narrow"/>
                <w:sz w:val="20"/>
                <w:lang w:eastAsia="es-ES"/>
              </w:rPr>
            </w:pPr>
            <w:r w:rsidRPr="00053560">
              <w:rPr>
                <w:rFonts w:ascii="Arial Narrow" w:hAnsi="Arial Narrow"/>
                <w:sz w:val="20"/>
                <w:lang w:eastAsia="es-ES"/>
              </w:rPr>
              <w:t>Seguridad Social</w:t>
            </w:r>
          </w:p>
        </w:tc>
        <w:tc>
          <w:tcPr>
            <w:tcW w:w="1568" w:type="pct"/>
            <w:tcBorders>
              <w:top w:val="nil"/>
              <w:left w:val="nil"/>
              <w:bottom w:val="nil"/>
              <w:right w:val="nil"/>
            </w:tcBorders>
            <w:shd w:val="clear" w:color="000000" w:fill="FFFFFF"/>
            <w:vAlign w:val="center"/>
          </w:tcPr>
          <w:p w14:paraId="456856AD" w14:textId="77777777" w:rsidR="004F21E1" w:rsidRDefault="004F21E1" w:rsidP="004F21E1">
            <w:pPr>
              <w:jc w:val="right"/>
              <w:rPr>
                <w:rFonts w:ascii="Arial Narrow" w:hAnsi="Arial Narrow" w:cs="Calibri"/>
                <w:color w:val="000000"/>
                <w:sz w:val="20"/>
              </w:rPr>
            </w:pPr>
            <w:r>
              <w:rPr>
                <w:rFonts w:ascii="Arial Narrow" w:hAnsi="Arial Narrow" w:cs="Calibri"/>
                <w:color w:val="000000"/>
                <w:sz w:val="20"/>
              </w:rPr>
              <w:t>1.663.406,23</w:t>
            </w:r>
          </w:p>
        </w:tc>
        <w:tc>
          <w:tcPr>
            <w:tcW w:w="1810" w:type="pct"/>
            <w:tcBorders>
              <w:top w:val="nil"/>
              <w:left w:val="nil"/>
              <w:bottom w:val="nil"/>
              <w:right w:val="nil"/>
            </w:tcBorders>
            <w:shd w:val="clear" w:color="000000" w:fill="FFFFFF"/>
            <w:vAlign w:val="center"/>
          </w:tcPr>
          <w:p w14:paraId="4ED202E3" w14:textId="77777777" w:rsidR="004F21E1" w:rsidRPr="00E12F19" w:rsidRDefault="004F21E1" w:rsidP="004F21E1">
            <w:pPr>
              <w:jc w:val="right"/>
              <w:rPr>
                <w:rFonts w:ascii="Arial Narrow" w:hAnsi="Arial Narrow"/>
                <w:sz w:val="20"/>
                <w:lang w:eastAsia="es-ES"/>
              </w:rPr>
            </w:pPr>
            <w:r>
              <w:rPr>
                <w:rFonts w:ascii="Arial Narrow" w:hAnsi="Arial Narrow"/>
                <w:sz w:val="20"/>
                <w:lang w:eastAsia="es-ES"/>
              </w:rPr>
              <w:t>1.456.258,44</w:t>
            </w:r>
          </w:p>
        </w:tc>
      </w:tr>
      <w:tr w:rsidR="004F21E1" w:rsidRPr="00E12F19" w14:paraId="27454630" w14:textId="77777777" w:rsidTr="004F21E1">
        <w:trPr>
          <w:trHeight w:val="272"/>
          <w:jc w:val="center"/>
        </w:trPr>
        <w:tc>
          <w:tcPr>
            <w:tcW w:w="1622" w:type="pct"/>
            <w:tcBorders>
              <w:top w:val="nil"/>
              <w:left w:val="nil"/>
              <w:bottom w:val="nil"/>
              <w:right w:val="nil"/>
            </w:tcBorders>
            <w:shd w:val="clear" w:color="000000" w:fill="FFFFFF"/>
            <w:vAlign w:val="center"/>
            <w:hideMark/>
          </w:tcPr>
          <w:p w14:paraId="5EE63DAF" w14:textId="77777777" w:rsidR="004F21E1" w:rsidRPr="00E12F19" w:rsidRDefault="004F21E1" w:rsidP="004F21E1">
            <w:pPr>
              <w:keepNext/>
              <w:keepLines/>
              <w:ind w:left="143"/>
              <w:rPr>
                <w:rFonts w:ascii="Arial Narrow" w:hAnsi="Arial Narrow"/>
                <w:sz w:val="20"/>
                <w:lang w:eastAsia="es-ES"/>
              </w:rPr>
            </w:pPr>
            <w:r>
              <w:rPr>
                <w:rFonts w:ascii="Arial Narrow" w:hAnsi="Arial Narrow"/>
                <w:sz w:val="20"/>
                <w:lang w:eastAsia="es-ES"/>
              </w:rPr>
              <w:t>Otras Cargas Sociales</w:t>
            </w:r>
          </w:p>
        </w:tc>
        <w:tc>
          <w:tcPr>
            <w:tcW w:w="1568" w:type="pct"/>
            <w:tcBorders>
              <w:top w:val="nil"/>
              <w:left w:val="nil"/>
              <w:bottom w:val="nil"/>
              <w:right w:val="nil"/>
            </w:tcBorders>
            <w:shd w:val="clear" w:color="000000" w:fill="FFFFFF"/>
            <w:vAlign w:val="center"/>
          </w:tcPr>
          <w:p w14:paraId="41D94E2C" w14:textId="77777777" w:rsidR="004F21E1" w:rsidRDefault="004F21E1" w:rsidP="004F21E1">
            <w:pPr>
              <w:jc w:val="right"/>
              <w:rPr>
                <w:rFonts w:ascii="Arial Narrow" w:hAnsi="Arial Narrow" w:cs="Calibri"/>
                <w:color w:val="000000"/>
                <w:sz w:val="20"/>
              </w:rPr>
            </w:pPr>
            <w:r>
              <w:rPr>
                <w:rFonts w:ascii="Arial Narrow" w:hAnsi="Arial Narrow" w:cs="Calibri"/>
                <w:color w:val="000000"/>
                <w:sz w:val="20"/>
              </w:rPr>
              <w:t>39.651,16</w:t>
            </w:r>
          </w:p>
        </w:tc>
        <w:tc>
          <w:tcPr>
            <w:tcW w:w="1810" w:type="pct"/>
            <w:tcBorders>
              <w:top w:val="nil"/>
              <w:left w:val="nil"/>
              <w:bottom w:val="nil"/>
              <w:right w:val="nil"/>
            </w:tcBorders>
            <w:shd w:val="clear" w:color="000000" w:fill="FFFFFF"/>
            <w:vAlign w:val="center"/>
          </w:tcPr>
          <w:p w14:paraId="4898C187" w14:textId="77777777" w:rsidR="004F21E1" w:rsidRPr="00E12F19" w:rsidRDefault="004F21E1" w:rsidP="004F21E1">
            <w:pPr>
              <w:jc w:val="right"/>
              <w:rPr>
                <w:rFonts w:ascii="Arial Narrow" w:hAnsi="Arial Narrow"/>
                <w:sz w:val="20"/>
                <w:lang w:eastAsia="es-ES"/>
              </w:rPr>
            </w:pPr>
            <w:r>
              <w:rPr>
                <w:rFonts w:ascii="Arial Narrow" w:hAnsi="Arial Narrow"/>
                <w:sz w:val="20"/>
                <w:lang w:eastAsia="es-ES"/>
              </w:rPr>
              <w:t>29.646,67</w:t>
            </w:r>
          </w:p>
        </w:tc>
      </w:tr>
      <w:tr w:rsidR="004F21E1" w:rsidRPr="00E12F19" w14:paraId="6867F334" w14:textId="77777777" w:rsidTr="004F21E1">
        <w:trPr>
          <w:trHeight w:val="272"/>
          <w:jc w:val="center"/>
        </w:trPr>
        <w:tc>
          <w:tcPr>
            <w:tcW w:w="1622" w:type="pct"/>
            <w:tcBorders>
              <w:top w:val="nil"/>
              <w:left w:val="nil"/>
              <w:bottom w:val="nil"/>
              <w:right w:val="nil"/>
            </w:tcBorders>
            <w:shd w:val="clear" w:color="000000" w:fill="F2F2F2"/>
            <w:noWrap/>
            <w:vAlign w:val="center"/>
            <w:hideMark/>
          </w:tcPr>
          <w:p w14:paraId="27A279BA" w14:textId="77777777" w:rsidR="004F21E1" w:rsidRPr="00E12F19" w:rsidRDefault="004F21E1" w:rsidP="004F21E1">
            <w:pPr>
              <w:keepNext/>
              <w:keepLines/>
              <w:ind w:left="143"/>
              <w:rPr>
                <w:rFonts w:ascii="Arial Narrow" w:hAnsi="Arial Narrow"/>
                <w:b/>
                <w:bCs/>
                <w:sz w:val="20"/>
                <w:lang w:eastAsia="es-ES"/>
              </w:rPr>
            </w:pPr>
            <w:r w:rsidRPr="00E12F19">
              <w:rPr>
                <w:rFonts w:ascii="Arial Narrow" w:hAnsi="Arial Narrow"/>
                <w:b/>
                <w:bCs/>
                <w:sz w:val="20"/>
                <w:lang w:eastAsia="es-ES"/>
              </w:rPr>
              <w:t> </w:t>
            </w:r>
          </w:p>
        </w:tc>
        <w:tc>
          <w:tcPr>
            <w:tcW w:w="1568" w:type="pct"/>
            <w:tcBorders>
              <w:top w:val="nil"/>
              <w:left w:val="nil"/>
              <w:bottom w:val="nil"/>
              <w:right w:val="nil"/>
            </w:tcBorders>
            <w:shd w:val="clear" w:color="000000" w:fill="F2F2F2"/>
            <w:noWrap/>
            <w:vAlign w:val="center"/>
          </w:tcPr>
          <w:p w14:paraId="1F24A9B1" w14:textId="77777777" w:rsidR="004F21E1" w:rsidRDefault="004F21E1" w:rsidP="004F21E1">
            <w:pPr>
              <w:jc w:val="right"/>
              <w:rPr>
                <w:rFonts w:ascii="Arial Narrow" w:hAnsi="Arial Narrow" w:cs="Calibri"/>
                <w:b/>
                <w:bCs/>
                <w:color w:val="000000"/>
                <w:sz w:val="20"/>
              </w:rPr>
            </w:pPr>
            <w:r>
              <w:rPr>
                <w:rFonts w:ascii="Arial Narrow" w:hAnsi="Arial Narrow" w:cs="Calibri"/>
                <w:b/>
                <w:bCs/>
                <w:sz w:val="20"/>
              </w:rPr>
              <w:t>7.481.611,29</w:t>
            </w:r>
          </w:p>
        </w:tc>
        <w:tc>
          <w:tcPr>
            <w:tcW w:w="1810" w:type="pct"/>
            <w:tcBorders>
              <w:top w:val="nil"/>
              <w:left w:val="nil"/>
              <w:bottom w:val="nil"/>
              <w:right w:val="nil"/>
            </w:tcBorders>
            <w:shd w:val="clear" w:color="000000" w:fill="F2F2F2"/>
            <w:vAlign w:val="center"/>
          </w:tcPr>
          <w:p w14:paraId="5C8EABF6" w14:textId="77777777" w:rsidR="004F21E1" w:rsidRPr="00E12F19" w:rsidRDefault="004F21E1" w:rsidP="004F21E1">
            <w:pPr>
              <w:jc w:val="right"/>
              <w:rPr>
                <w:rFonts w:ascii="Arial Narrow" w:hAnsi="Arial Narrow"/>
                <w:b/>
                <w:bCs/>
                <w:sz w:val="20"/>
              </w:rPr>
            </w:pPr>
            <w:r>
              <w:rPr>
                <w:rFonts w:ascii="Arial Narrow" w:hAnsi="Arial Narrow"/>
                <w:b/>
                <w:bCs/>
                <w:sz w:val="20"/>
              </w:rPr>
              <w:t>6.201.781,50</w:t>
            </w:r>
          </w:p>
        </w:tc>
      </w:tr>
    </w:tbl>
    <w:p w14:paraId="077DF12D" w14:textId="77777777" w:rsidR="00C91E70" w:rsidRDefault="00C91E70" w:rsidP="002063B9">
      <w:pPr>
        <w:jc w:val="both"/>
        <w:rPr>
          <w:rFonts w:ascii="Arial Narrow" w:hAnsi="Arial Narrow" w:cs="Arial"/>
          <w:spacing w:val="-2"/>
          <w:sz w:val="24"/>
          <w:szCs w:val="24"/>
        </w:rPr>
      </w:pPr>
    </w:p>
    <w:p w14:paraId="41AAA381" w14:textId="4A4F712B" w:rsidR="00384281" w:rsidRDefault="00F6203C" w:rsidP="00DD368E">
      <w:pPr>
        <w:jc w:val="both"/>
        <w:rPr>
          <w:rFonts w:ascii="Arial Narrow" w:hAnsi="Arial Narrow" w:cs="Arial"/>
          <w:spacing w:val="-2"/>
          <w:sz w:val="24"/>
          <w:szCs w:val="24"/>
        </w:rPr>
      </w:pPr>
      <w:r w:rsidRPr="00F6203C">
        <w:rPr>
          <w:rFonts w:ascii="Arial Narrow" w:hAnsi="Arial Narrow" w:cs="Arial"/>
          <w:spacing w:val="-2"/>
          <w:sz w:val="24"/>
          <w:szCs w:val="24"/>
        </w:rPr>
        <w:t>En el ejercicio 2019, se ha producido un significativo incremento de la plantilla de personal, contratados con carácter temporal, y vinculados a la financiación de proyectos, en total 23 contratos temporales. Por otro lado, y en base a la Tasa de Reposición para 2019 y una vez autorizada por la Consejería de Hacienda, Dirección General de Planificación y Presupuesto, también se han transformado tres contratos temporales a indefinidos. El incremento en la actividad de la empresa, produce lógicamente también un incremento en el epígrafe de Gastos de personal.</w:t>
      </w:r>
    </w:p>
    <w:p w14:paraId="64B54846" w14:textId="77777777" w:rsidR="00384281" w:rsidRDefault="00384281" w:rsidP="00DD368E">
      <w:pPr>
        <w:jc w:val="both"/>
        <w:rPr>
          <w:rFonts w:ascii="Arial Narrow" w:hAnsi="Arial Narrow" w:cs="Arial"/>
          <w:color w:val="FF0000"/>
          <w:spacing w:val="-2"/>
          <w:sz w:val="24"/>
          <w:szCs w:val="24"/>
        </w:rPr>
      </w:pPr>
    </w:p>
    <w:p w14:paraId="466954DD" w14:textId="77777777" w:rsidR="00DD368E" w:rsidRPr="00E12F19" w:rsidRDefault="00DE2BCC" w:rsidP="00A47157">
      <w:pPr>
        <w:keepNext/>
        <w:keepLines/>
        <w:rPr>
          <w:rFonts w:ascii="Arial Narrow" w:hAnsi="Arial Narrow" w:cs="Arial"/>
          <w:snapToGrid w:val="0"/>
          <w:sz w:val="24"/>
          <w:szCs w:val="24"/>
          <w:u w:val="single"/>
          <w:lang w:eastAsia="es-ES"/>
        </w:rPr>
      </w:pPr>
      <w:r>
        <w:rPr>
          <w:rFonts w:ascii="Arial Narrow" w:hAnsi="Arial Narrow" w:cs="Arial"/>
          <w:snapToGrid w:val="0"/>
          <w:sz w:val="24"/>
          <w:szCs w:val="24"/>
          <w:lang w:eastAsia="es-ES"/>
        </w:rPr>
        <w:t>b</w:t>
      </w:r>
      <w:r w:rsidR="00DD368E" w:rsidRPr="00E12F19">
        <w:rPr>
          <w:rFonts w:ascii="Arial Narrow" w:hAnsi="Arial Narrow" w:cs="Arial"/>
          <w:snapToGrid w:val="0"/>
          <w:sz w:val="24"/>
          <w:szCs w:val="24"/>
          <w:lang w:eastAsia="es-ES"/>
        </w:rPr>
        <w:t xml:space="preserve">) </w:t>
      </w:r>
      <w:r w:rsidR="00DD368E" w:rsidRPr="00E12F19">
        <w:rPr>
          <w:rFonts w:ascii="Arial Narrow" w:hAnsi="Arial Narrow" w:cs="Arial"/>
          <w:snapToGrid w:val="0"/>
          <w:sz w:val="24"/>
          <w:szCs w:val="24"/>
          <w:u w:val="single"/>
          <w:lang w:eastAsia="es-ES"/>
        </w:rPr>
        <w:t>Otros gastos de explotación</w:t>
      </w:r>
    </w:p>
    <w:p w14:paraId="51E97F33" w14:textId="77777777" w:rsidR="00765403" w:rsidRDefault="00765403" w:rsidP="00A47157">
      <w:pPr>
        <w:keepNext/>
        <w:keepLines/>
        <w:spacing w:before="120" w:after="120"/>
        <w:jc w:val="both"/>
        <w:rPr>
          <w:rFonts w:ascii="Arial Narrow" w:hAnsi="Arial Narrow" w:cs="Arial"/>
          <w:sz w:val="24"/>
          <w:szCs w:val="24"/>
        </w:rPr>
      </w:pPr>
      <w:r w:rsidRPr="00E12F19">
        <w:rPr>
          <w:rFonts w:ascii="Arial Narrow" w:hAnsi="Arial Narrow" w:cs="Arial"/>
          <w:sz w:val="24"/>
          <w:szCs w:val="24"/>
        </w:rPr>
        <w:t xml:space="preserve">La composición del epígrafe de “Otros gastos de explotación” </w:t>
      </w:r>
      <w:r w:rsidRPr="00DE2BCC">
        <w:rPr>
          <w:rFonts w:ascii="Arial Narrow" w:hAnsi="Arial Narrow" w:cs="Arial"/>
          <w:sz w:val="24"/>
          <w:szCs w:val="24"/>
        </w:rPr>
        <w:t xml:space="preserve">correspondiente a los </w:t>
      </w:r>
      <w:r w:rsidR="005E6DBF" w:rsidRPr="00DE2BCC">
        <w:rPr>
          <w:rFonts w:ascii="Arial Narrow" w:hAnsi="Arial Narrow" w:cs="Arial"/>
          <w:sz w:val="24"/>
          <w:szCs w:val="24"/>
        </w:rPr>
        <w:t>ejercicios 201</w:t>
      </w:r>
      <w:r w:rsidR="004F21E1">
        <w:rPr>
          <w:rFonts w:ascii="Arial Narrow" w:hAnsi="Arial Narrow" w:cs="Arial"/>
          <w:sz w:val="24"/>
          <w:szCs w:val="24"/>
        </w:rPr>
        <w:t>9</w:t>
      </w:r>
      <w:r w:rsidR="00E12F19" w:rsidRPr="00DE2BCC">
        <w:rPr>
          <w:rFonts w:ascii="Arial Narrow" w:hAnsi="Arial Narrow" w:cs="Arial"/>
          <w:sz w:val="24"/>
          <w:szCs w:val="24"/>
        </w:rPr>
        <w:t xml:space="preserve"> y 201</w:t>
      </w:r>
      <w:r w:rsidR="004F21E1">
        <w:rPr>
          <w:rFonts w:ascii="Arial Narrow" w:hAnsi="Arial Narrow" w:cs="Arial"/>
          <w:sz w:val="24"/>
          <w:szCs w:val="24"/>
        </w:rPr>
        <w:t>8</w:t>
      </w:r>
      <w:r w:rsidRPr="00DE2BCC">
        <w:rPr>
          <w:rFonts w:ascii="Arial Narrow" w:hAnsi="Arial Narrow" w:cs="Arial"/>
          <w:sz w:val="24"/>
          <w:szCs w:val="24"/>
        </w:rPr>
        <w:t xml:space="preserve"> es la siguiente, en euros:</w:t>
      </w:r>
    </w:p>
    <w:p w14:paraId="05C19B00" w14:textId="77777777" w:rsidR="00C91E70" w:rsidRPr="00DE2BCC" w:rsidRDefault="004F21E1" w:rsidP="004F21E1">
      <w:pPr>
        <w:keepNext/>
        <w:keepLines/>
        <w:spacing w:before="120" w:after="120"/>
        <w:jc w:val="center"/>
        <w:rPr>
          <w:rFonts w:ascii="Arial Narrow" w:hAnsi="Arial Narrow" w:cs="Arial"/>
          <w:sz w:val="24"/>
          <w:szCs w:val="24"/>
        </w:rPr>
      </w:pPr>
      <w:r w:rsidRPr="004F21E1">
        <w:rPr>
          <w:noProof/>
          <w:lang w:val="es-ES" w:eastAsia="es-ES"/>
        </w:rPr>
        <w:drawing>
          <wp:inline distT="0" distB="0" distL="0" distR="0" wp14:anchorId="11DC893C" wp14:editId="548987CE">
            <wp:extent cx="4839335" cy="38385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39335" cy="3838575"/>
                    </a:xfrm>
                    <a:prstGeom prst="rect">
                      <a:avLst/>
                    </a:prstGeom>
                    <a:noFill/>
                    <a:ln>
                      <a:noFill/>
                    </a:ln>
                  </pic:spPr>
                </pic:pic>
              </a:graphicData>
            </a:graphic>
          </wp:inline>
        </w:drawing>
      </w:r>
    </w:p>
    <w:p w14:paraId="5EA2B2FE" w14:textId="77777777" w:rsidR="00034620" w:rsidRDefault="00034620" w:rsidP="003F1AD4">
      <w:pPr>
        <w:jc w:val="center"/>
        <w:rPr>
          <w:rFonts w:ascii="Arial Narrow" w:hAnsi="Arial Narrow" w:cs="Arial"/>
          <w:spacing w:val="-2"/>
          <w:sz w:val="24"/>
          <w:szCs w:val="24"/>
        </w:rPr>
      </w:pPr>
    </w:p>
    <w:p w14:paraId="6CBF7CF8" w14:textId="77777777" w:rsidR="003B2A3E" w:rsidRDefault="00AE4272" w:rsidP="00AE4272">
      <w:pPr>
        <w:rPr>
          <w:rFonts w:ascii="Arial Narrow" w:hAnsi="Arial Narrow" w:cs="Arial"/>
          <w:snapToGrid w:val="0"/>
          <w:sz w:val="24"/>
          <w:szCs w:val="24"/>
          <w:lang w:eastAsia="es-ES"/>
        </w:rPr>
      </w:pPr>
      <w:r>
        <w:rPr>
          <w:rFonts w:ascii="Arial Narrow" w:hAnsi="Arial Narrow" w:cs="Arial"/>
          <w:snapToGrid w:val="0"/>
          <w:sz w:val="24"/>
          <w:szCs w:val="24"/>
          <w:lang w:eastAsia="es-ES"/>
        </w:rPr>
        <w:t>c</w:t>
      </w:r>
      <w:r w:rsidR="003B2A3E" w:rsidRPr="008A2523">
        <w:rPr>
          <w:rFonts w:ascii="Arial Narrow" w:hAnsi="Arial Narrow" w:cs="Arial"/>
          <w:snapToGrid w:val="0"/>
          <w:sz w:val="24"/>
          <w:szCs w:val="24"/>
          <w:lang w:eastAsia="es-ES"/>
        </w:rPr>
        <w:t xml:space="preserve">) </w:t>
      </w:r>
      <w:r w:rsidR="00DC463E">
        <w:rPr>
          <w:rFonts w:ascii="Arial Narrow" w:hAnsi="Arial Narrow" w:cs="Arial"/>
          <w:snapToGrid w:val="0"/>
          <w:sz w:val="24"/>
          <w:szCs w:val="24"/>
          <w:u w:val="single"/>
          <w:lang w:eastAsia="es-ES"/>
        </w:rPr>
        <w:t>Otros resultados</w:t>
      </w:r>
      <w:r w:rsidR="003B2A3E" w:rsidRPr="008A2523">
        <w:rPr>
          <w:rFonts w:ascii="Arial Narrow" w:hAnsi="Arial Narrow" w:cs="Arial"/>
          <w:snapToGrid w:val="0"/>
          <w:sz w:val="24"/>
          <w:szCs w:val="24"/>
          <w:lang w:eastAsia="es-ES"/>
        </w:rPr>
        <w:t xml:space="preserve"> </w:t>
      </w:r>
    </w:p>
    <w:p w14:paraId="011DCE33" w14:textId="77777777" w:rsidR="00034620" w:rsidRPr="008A2523" w:rsidRDefault="00034620" w:rsidP="00AE4272">
      <w:pPr>
        <w:rPr>
          <w:rFonts w:ascii="Arial Narrow" w:hAnsi="Arial Narrow" w:cs="Arial"/>
          <w:snapToGrid w:val="0"/>
          <w:sz w:val="24"/>
          <w:szCs w:val="24"/>
          <w:lang w:eastAsia="es-ES"/>
        </w:rPr>
      </w:pPr>
    </w:p>
    <w:p w14:paraId="092A3134" w14:textId="77777777" w:rsidR="00F05ADA" w:rsidRDefault="003B2A3E" w:rsidP="00C87184">
      <w:pPr>
        <w:keepNext/>
        <w:keepLines/>
        <w:spacing w:before="120" w:after="120"/>
        <w:rPr>
          <w:rFonts w:ascii="Arial Narrow" w:hAnsi="Arial Narrow" w:cs="Arial"/>
          <w:sz w:val="24"/>
          <w:szCs w:val="24"/>
        </w:rPr>
      </w:pPr>
      <w:r w:rsidRPr="00DC463E">
        <w:rPr>
          <w:rFonts w:ascii="Arial Narrow" w:hAnsi="Arial Narrow" w:cs="Arial"/>
          <w:sz w:val="24"/>
          <w:szCs w:val="24"/>
        </w:rPr>
        <w:t xml:space="preserve">El detalle de </w:t>
      </w:r>
      <w:r w:rsidR="00DC463E" w:rsidRPr="00DC463E">
        <w:rPr>
          <w:rFonts w:ascii="Arial Narrow" w:hAnsi="Arial Narrow" w:cs="Arial"/>
          <w:sz w:val="24"/>
          <w:szCs w:val="24"/>
        </w:rPr>
        <w:t xml:space="preserve">los </w:t>
      </w:r>
      <w:r w:rsidR="00DF6611" w:rsidRPr="00DC463E">
        <w:rPr>
          <w:rFonts w:ascii="Arial Narrow" w:hAnsi="Arial Narrow" w:cs="Arial"/>
          <w:sz w:val="24"/>
          <w:szCs w:val="24"/>
        </w:rPr>
        <w:t>“</w:t>
      </w:r>
      <w:r w:rsidR="00DC463E" w:rsidRPr="00DC463E">
        <w:rPr>
          <w:rFonts w:ascii="Arial Narrow" w:hAnsi="Arial Narrow" w:cs="Arial"/>
          <w:sz w:val="24"/>
          <w:szCs w:val="24"/>
        </w:rPr>
        <w:t>Otros resultados</w:t>
      </w:r>
      <w:r w:rsidR="00DF6611" w:rsidRPr="00DC463E">
        <w:rPr>
          <w:rFonts w:ascii="Arial Narrow" w:hAnsi="Arial Narrow" w:cs="Arial"/>
          <w:sz w:val="24"/>
          <w:szCs w:val="24"/>
        </w:rPr>
        <w:t>”</w:t>
      </w:r>
      <w:r w:rsidRPr="00DC463E">
        <w:rPr>
          <w:rFonts w:ascii="Arial Narrow" w:hAnsi="Arial Narrow" w:cs="Arial"/>
          <w:sz w:val="24"/>
          <w:szCs w:val="24"/>
        </w:rPr>
        <w:t xml:space="preserve"> en 201</w:t>
      </w:r>
      <w:r w:rsidR="004F21E1">
        <w:rPr>
          <w:rFonts w:ascii="Arial Narrow" w:hAnsi="Arial Narrow" w:cs="Arial"/>
          <w:sz w:val="24"/>
          <w:szCs w:val="24"/>
        </w:rPr>
        <w:t>9</w:t>
      </w:r>
      <w:r w:rsidRPr="00DC463E">
        <w:rPr>
          <w:rFonts w:ascii="Arial Narrow" w:hAnsi="Arial Narrow" w:cs="Arial"/>
          <w:sz w:val="24"/>
          <w:szCs w:val="24"/>
        </w:rPr>
        <w:t xml:space="preserve"> y 201</w:t>
      </w:r>
      <w:r w:rsidR="004F21E1">
        <w:rPr>
          <w:rFonts w:ascii="Arial Narrow" w:hAnsi="Arial Narrow" w:cs="Arial"/>
          <w:sz w:val="24"/>
          <w:szCs w:val="24"/>
        </w:rPr>
        <w:t>8</w:t>
      </w:r>
      <w:r w:rsidRPr="00DC463E">
        <w:rPr>
          <w:rFonts w:ascii="Arial Narrow" w:hAnsi="Arial Narrow" w:cs="Arial"/>
          <w:sz w:val="24"/>
          <w:szCs w:val="24"/>
        </w:rPr>
        <w:t xml:space="preserve"> es el siguiente</w:t>
      </w:r>
      <w:r w:rsidRPr="00C1500F">
        <w:rPr>
          <w:rFonts w:ascii="Arial Narrow" w:hAnsi="Arial Narrow" w:cs="Arial"/>
          <w:sz w:val="24"/>
          <w:szCs w:val="24"/>
        </w:rPr>
        <w:t>, en euros:</w:t>
      </w:r>
    </w:p>
    <w:p w14:paraId="3EA5FE69" w14:textId="77777777" w:rsidR="00034620" w:rsidRDefault="00034620" w:rsidP="00C87184">
      <w:pPr>
        <w:keepNext/>
        <w:keepLines/>
        <w:spacing w:before="120" w:after="120"/>
        <w:rPr>
          <w:rFonts w:ascii="Arial Narrow" w:hAnsi="Arial Narrow" w:cs="Arial"/>
          <w:sz w:val="24"/>
          <w:szCs w:val="24"/>
        </w:rPr>
      </w:pPr>
    </w:p>
    <w:tbl>
      <w:tblPr>
        <w:tblW w:w="6344" w:type="dxa"/>
        <w:tblInd w:w="709" w:type="dxa"/>
        <w:tblCellMar>
          <w:left w:w="70" w:type="dxa"/>
          <w:right w:w="70" w:type="dxa"/>
        </w:tblCellMar>
        <w:tblLook w:val="04A0" w:firstRow="1" w:lastRow="0" w:firstColumn="1" w:lastColumn="0" w:noHBand="0" w:noVBand="1"/>
      </w:tblPr>
      <w:tblGrid>
        <w:gridCol w:w="3544"/>
        <w:gridCol w:w="1480"/>
        <w:gridCol w:w="1320"/>
      </w:tblGrid>
      <w:tr w:rsidR="00496B0F" w:rsidRPr="00F65761" w14:paraId="67B651DB" w14:textId="77777777" w:rsidTr="00496B0F">
        <w:trPr>
          <w:trHeight w:val="315"/>
        </w:trPr>
        <w:tc>
          <w:tcPr>
            <w:tcW w:w="3544" w:type="dxa"/>
            <w:tcBorders>
              <w:top w:val="nil"/>
              <w:left w:val="nil"/>
              <w:bottom w:val="nil"/>
              <w:right w:val="nil"/>
            </w:tcBorders>
            <w:shd w:val="clear" w:color="000000" w:fill="D9D9D9"/>
            <w:noWrap/>
            <w:vAlign w:val="bottom"/>
            <w:hideMark/>
          </w:tcPr>
          <w:p w14:paraId="32AE5C27" w14:textId="77777777" w:rsidR="00496B0F" w:rsidRPr="00850B72" w:rsidRDefault="00496B0F" w:rsidP="00496B0F">
            <w:pPr>
              <w:rPr>
                <w:rFonts w:ascii="Arial Narrow" w:hAnsi="Arial Narrow" w:cs="Arial"/>
                <w:color w:val="000000"/>
                <w:sz w:val="20"/>
                <w:lang w:val="es-ES" w:eastAsia="es-ES"/>
              </w:rPr>
            </w:pPr>
            <w:r w:rsidRPr="00850B72">
              <w:rPr>
                <w:rFonts w:ascii="Arial Narrow" w:hAnsi="Arial Narrow" w:cs="Arial"/>
                <w:color w:val="000000"/>
                <w:sz w:val="20"/>
                <w:lang w:val="es-ES" w:eastAsia="es-ES"/>
              </w:rPr>
              <w:t> </w:t>
            </w:r>
          </w:p>
        </w:tc>
        <w:tc>
          <w:tcPr>
            <w:tcW w:w="1480" w:type="dxa"/>
            <w:tcBorders>
              <w:top w:val="nil"/>
              <w:left w:val="nil"/>
              <w:bottom w:val="nil"/>
              <w:right w:val="nil"/>
            </w:tcBorders>
            <w:shd w:val="clear" w:color="000000" w:fill="D9D9D9"/>
            <w:noWrap/>
            <w:vAlign w:val="bottom"/>
            <w:hideMark/>
          </w:tcPr>
          <w:p w14:paraId="661209D9" w14:textId="77777777" w:rsidR="00496B0F" w:rsidRPr="00850B72" w:rsidRDefault="00496B0F" w:rsidP="00496B0F">
            <w:pPr>
              <w:jc w:val="center"/>
              <w:rPr>
                <w:rFonts w:ascii="Arial Narrow" w:hAnsi="Arial Narrow" w:cs="Arial"/>
                <w:b/>
                <w:bCs/>
                <w:color w:val="000000"/>
                <w:sz w:val="20"/>
                <w:lang w:val="es-ES" w:eastAsia="es-ES"/>
              </w:rPr>
            </w:pPr>
            <w:r>
              <w:rPr>
                <w:rFonts w:ascii="Arial Narrow" w:hAnsi="Arial Narrow" w:cs="Arial"/>
                <w:b/>
                <w:bCs/>
                <w:color w:val="000000"/>
                <w:sz w:val="20"/>
                <w:lang w:val="es-ES" w:eastAsia="es-ES"/>
              </w:rPr>
              <w:t xml:space="preserve">                </w:t>
            </w:r>
            <w:r w:rsidRPr="00850B72">
              <w:rPr>
                <w:rFonts w:ascii="Arial Narrow" w:hAnsi="Arial Narrow" w:cs="Arial"/>
                <w:b/>
                <w:bCs/>
                <w:color w:val="000000"/>
                <w:sz w:val="20"/>
                <w:lang w:val="es-ES" w:eastAsia="es-ES"/>
              </w:rPr>
              <w:t>201</w:t>
            </w:r>
            <w:r>
              <w:rPr>
                <w:rFonts w:ascii="Arial Narrow" w:hAnsi="Arial Narrow" w:cs="Arial"/>
                <w:b/>
                <w:bCs/>
                <w:color w:val="000000"/>
                <w:sz w:val="20"/>
                <w:lang w:val="es-ES" w:eastAsia="es-ES"/>
              </w:rPr>
              <w:t>9</w:t>
            </w:r>
          </w:p>
        </w:tc>
        <w:tc>
          <w:tcPr>
            <w:tcW w:w="1320" w:type="dxa"/>
            <w:tcBorders>
              <w:top w:val="nil"/>
              <w:left w:val="nil"/>
              <w:bottom w:val="nil"/>
              <w:right w:val="nil"/>
            </w:tcBorders>
            <w:shd w:val="clear" w:color="000000" w:fill="D9D9D9"/>
            <w:vAlign w:val="bottom"/>
          </w:tcPr>
          <w:p w14:paraId="5D10C730" w14:textId="77777777" w:rsidR="00496B0F" w:rsidRPr="00850B72" w:rsidRDefault="00496B0F" w:rsidP="00496B0F">
            <w:pPr>
              <w:jc w:val="center"/>
              <w:rPr>
                <w:rFonts w:ascii="Arial Narrow" w:hAnsi="Arial Narrow" w:cs="Arial"/>
                <w:b/>
                <w:bCs/>
                <w:color w:val="000000"/>
                <w:sz w:val="20"/>
                <w:lang w:val="es-ES" w:eastAsia="es-ES"/>
              </w:rPr>
            </w:pPr>
            <w:r>
              <w:rPr>
                <w:rFonts w:ascii="Arial Narrow" w:hAnsi="Arial Narrow" w:cs="Arial"/>
                <w:b/>
                <w:bCs/>
                <w:color w:val="000000"/>
                <w:sz w:val="20"/>
                <w:lang w:val="es-ES" w:eastAsia="es-ES"/>
              </w:rPr>
              <w:t xml:space="preserve">                </w:t>
            </w:r>
            <w:r w:rsidRPr="00850B72">
              <w:rPr>
                <w:rFonts w:ascii="Arial Narrow" w:hAnsi="Arial Narrow" w:cs="Arial"/>
                <w:b/>
                <w:bCs/>
                <w:color w:val="000000"/>
                <w:sz w:val="20"/>
                <w:lang w:val="es-ES" w:eastAsia="es-ES"/>
              </w:rPr>
              <w:t>201</w:t>
            </w:r>
            <w:r>
              <w:rPr>
                <w:rFonts w:ascii="Arial Narrow" w:hAnsi="Arial Narrow" w:cs="Arial"/>
                <w:b/>
                <w:bCs/>
                <w:color w:val="000000"/>
                <w:sz w:val="20"/>
                <w:lang w:val="es-ES" w:eastAsia="es-ES"/>
              </w:rPr>
              <w:t>8</w:t>
            </w:r>
          </w:p>
        </w:tc>
      </w:tr>
      <w:tr w:rsidR="00496B0F" w:rsidRPr="00F65761" w14:paraId="3635ACE5" w14:textId="77777777" w:rsidTr="00496B0F">
        <w:trPr>
          <w:trHeight w:val="315"/>
        </w:trPr>
        <w:tc>
          <w:tcPr>
            <w:tcW w:w="3544" w:type="dxa"/>
            <w:tcBorders>
              <w:top w:val="nil"/>
              <w:left w:val="nil"/>
              <w:bottom w:val="nil"/>
              <w:right w:val="nil"/>
            </w:tcBorders>
            <w:shd w:val="clear" w:color="auto" w:fill="auto"/>
            <w:noWrap/>
            <w:vAlign w:val="bottom"/>
            <w:hideMark/>
          </w:tcPr>
          <w:p w14:paraId="586F1B18" w14:textId="77777777" w:rsidR="00496B0F" w:rsidRPr="00850B72" w:rsidRDefault="00496B0F" w:rsidP="00496B0F">
            <w:pPr>
              <w:rPr>
                <w:rFonts w:ascii="Arial Narrow" w:hAnsi="Arial Narrow" w:cs="Arial"/>
                <w:color w:val="000000"/>
                <w:sz w:val="20"/>
                <w:lang w:val="es-ES" w:eastAsia="es-ES"/>
              </w:rPr>
            </w:pPr>
            <w:r>
              <w:rPr>
                <w:rFonts w:ascii="Arial Narrow" w:hAnsi="Arial Narrow" w:cs="Arial"/>
                <w:color w:val="000000"/>
                <w:sz w:val="20"/>
                <w:lang w:val="es-ES" w:eastAsia="es-ES"/>
              </w:rPr>
              <w:t>Multas, sanciones y recargos</w:t>
            </w:r>
            <w:r w:rsidRPr="00850B72">
              <w:rPr>
                <w:rFonts w:ascii="Arial Narrow" w:hAnsi="Arial Narrow" w:cs="Arial"/>
                <w:color w:val="000000"/>
                <w:sz w:val="20"/>
                <w:lang w:val="es-ES" w:eastAsia="es-ES"/>
              </w:rPr>
              <w:t xml:space="preserve">               </w:t>
            </w:r>
          </w:p>
        </w:tc>
        <w:tc>
          <w:tcPr>
            <w:tcW w:w="1480" w:type="dxa"/>
            <w:tcBorders>
              <w:top w:val="nil"/>
              <w:left w:val="nil"/>
              <w:bottom w:val="nil"/>
              <w:right w:val="nil"/>
            </w:tcBorders>
            <w:shd w:val="clear" w:color="auto" w:fill="auto"/>
            <w:noWrap/>
            <w:vAlign w:val="bottom"/>
            <w:hideMark/>
          </w:tcPr>
          <w:p w14:paraId="396F4E12"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-27.120,05</w:t>
            </w:r>
          </w:p>
        </w:tc>
        <w:tc>
          <w:tcPr>
            <w:tcW w:w="1320" w:type="dxa"/>
            <w:tcBorders>
              <w:top w:val="nil"/>
              <w:left w:val="nil"/>
              <w:bottom w:val="nil"/>
              <w:right w:val="nil"/>
            </w:tcBorders>
            <w:vAlign w:val="bottom"/>
          </w:tcPr>
          <w:p w14:paraId="7E12E705"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-279,84</w:t>
            </w:r>
          </w:p>
        </w:tc>
      </w:tr>
      <w:tr w:rsidR="00496B0F" w:rsidRPr="00F65761" w14:paraId="7AC8F914" w14:textId="77777777" w:rsidTr="00496B0F">
        <w:trPr>
          <w:trHeight w:val="315"/>
        </w:trPr>
        <w:tc>
          <w:tcPr>
            <w:tcW w:w="3544" w:type="dxa"/>
            <w:tcBorders>
              <w:top w:val="nil"/>
              <w:left w:val="nil"/>
              <w:bottom w:val="nil"/>
              <w:right w:val="nil"/>
            </w:tcBorders>
            <w:shd w:val="clear" w:color="auto" w:fill="auto"/>
            <w:noWrap/>
            <w:vAlign w:val="bottom"/>
            <w:hideMark/>
          </w:tcPr>
          <w:p w14:paraId="44368D41" w14:textId="77777777" w:rsidR="00496B0F" w:rsidRPr="00850B72" w:rsidRDefault="00496B0F" w:rsidP="00496B0F">
            <w:pPr>
              <w:rPr>
                <w:rFonts w:ascii="Arial Narrow" w:hAnsi="Arial Narrow" w:cs="Arial"/>
                <w:color w:val="000000"/>
                <w:sz w:val="20"/>
                <w:lang w:val="es-ES" w:eastAsia="es-ES"/>
              </w:rPr>
            </w:pPr>
            <w:r w:rsidRPr="00850B72">
              <w:rPr>
                <w:rFonts w:ascii="Arial Narrow" w:hAnsi="Arial Narrow" w:cs="Arial"/>
                <w:color w:val="000000"/>
                <w:sz w:val="20"/>
                <w:lang w:val="es-ES" w:eastAsia="es-ES"/>
              </w:rPr>
              <w:t xml:space="preserve">Ute Fpct-Itc: Multas Y Sanciones   </w:t>
            </w:r>
          </w:p>
        </w:tc>
        <w:tc>
          <w:tcPr>
            <w:tcW w:w="1480" w:type="dxa"/>
            <w:tcBorders>
              <w:top w:val="nil"/>
              <w:left w:val="nil"/>
              <w:bottom w:val="nil"/>
              <w:right w:val="nil"/>
            </w:tcBorders>
            <w:shd w:val="clear" w:color="auto" w:fill="auto"/>
            <w:noWrap/>
            <w:vAlign w:val="bottom"/>
            <w:hideMark/>
          </w:tcPr>
          <w:p w14:paraId="7BD5DC10"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-61,39</w:t>
            </w:r>
          </w:p>
        </w:tc>
        <w:tc>
          <w:tcPr>
            <w:tcW w:w="1320" w:type="dxa"/>
            <w:tcBorders>
              <w:top w:val="nil"/>
              <w:left w:val="nil"/>
              <w:bottom w:val="nil"/>
              <w:right w:val="nil"/>
            </w:tcBorders>
            <w:vAlign w:val="bottom"/>
          </w:tcPr>
          <w:p w14:paraId="56684FC4" w14:textId="77777777" w:rsidR="00496B0F" w:rsidRPr="00850B72" w:rsidRDefault="00496B0F" w:rsidP="00496B0F">
            <w:pPr>
              <w:jc w:val="right"/>
              <w:rPr>
                <w:rFonts w:ascii="Arial Narrow" w:hAnsi="Arial Narrow" w:cs="Arial"/>
                <w:color w:val="000000"/>
                <w:sz w:val="20"/>
                <w:lang w:val="es-ES" w:eastAsia="es-ES"/>
              </w:rPr>
            </w:pPr>
            <w:r w:rsidRPr="00850B72">
              <w:rPr>
                <w:rFonts w:ascii="Arial Narrow" w:hAnsi="Arial Narrow" w:cs="Arial"/>
                <w:color w:val="000000"/>
                <w:sz w:val="20"/>
                <w:lang w:val="es-ES" w:eastAsia="es-ES"/>
              </w:rPr>
              <w:t>0,00</w:t>
            </w:r>
          </w:p>
        </w:tc>
      </w:tr>
      <w:tr w:rsidR="00496B0F" w:rsidRPr="00F65761" w14:paraId="4587D2E2" w14:textId="77777777" w:rsidTr="00496B0F">
        <w:trPr>
          <w:trHeight w:val="315"/>
        </w:trPr>
        <w:tc>
          <w:tcPr>
            <w:tcW w:w="3544" w:type="dxa"/>
            <w:tcBorders>
              <w:top w:val="nil"/>
              <w:left w:val="nil"/>
              <w:bottom w:val="nil"/>
              <w:right w:val="nil"/>
            </w:tcBorders>
            <w:shd w:val="clear" w:color="auto" w:fill="auto"/>
            <w:noWrap/>
            <w:vAlign w:val="bottom"/>
            <w:hideMark/>
          </w:tcPr>
          <w:p w14:paraId="0B085D2B" w14:textId="77777777" w:rsidR="00496B0F" w:rsidRPr="00850B72" w:rsidRDefault="00496B0F" w:rsidP="00496B0F">
            <w:pPr>
              <w:rPr>
                <w:rFonts w:ascii="Arial Narrow" w:hAnsi="Arial Narrow" w:cs="Arial"/>
                <w:color w:val="000000"/>
                <w:sz w:val="20"/>
                <w:lang w:val="es-ES" w:eastAsia="es-ES"/>
              </w:rPr>
            </w:pPr>
            <w:r w:rsidRPr="00850B72">
              <w:rPr>
                <w:rFonts w:ascii="Arial Narrow" w:hAnsi="Arial Narrow" w:cs="Arial"/>
                <w:color w:val="000000"/>
                <w:sz w:val="20"/>
                <w:lang w:val="es-ES" w:eastAsia="es-ES"/>
              </w:rPr>
              <w:t xml:space="preserve">Ingresos Excepcionales             </w:t>
            </w:r>
          </w:p>
        </w:tc>
        <w:tc>
          <w:tcPr>
            <w:tcW w:w="1480" w:type="dxa"/>
            <w:tcBorders>
              <w:top w:val="nil"/>
              <w:left w:val="nil"/>
              <w:bottom w:val="nil"/>
              <w:right w:val="nil"/>
            </w:tcBorders>
            <w:shd w:val="clear" w:color="auto" w:fill="auto"/>
            <w:noWrap/>
            <w:vAlign w:val="bottom"/>
            <w:hideMark/>
          </w:tcPr>
          <w:p w14:paraId="5AEAF97C"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2.575,73</w:t>
            </w:r>
          </w:p>
        </w:tc>
        <w:tc>
          <w:tcPr>
            <w:tcW w:w="1320" w:type="dxa"/>
            <w:tcBorders>
              <w:top w:val="nil"/>
              <w:left w:val="nil"/>
              <w:bottom w:val="nil"/>
              <w:right w:val="nil"/>
            </w:tcBorders>
            <w:vAlign w:val="bottom"/>
          </w:tcPr>
          <w:p w14:paraId="0371F31A" w14:textId="77777777" w:rsidR="00496B0F" w:rsidRPr="00850B72" w:rsidRDefault="00496B0F" w:rsidP="00496B0F">
            <w:pPr>
              <w:jc w:val="right"/>
              <w:rPr>
                <w:rFonts w:ascii="Arial Narrow" w:hAnsi="Arial Narrow" w:cs="Arial"/>
                <w:color w:val="000000"/>
                <w:sz w:val="20"/>
                <w:lang w:val="es-ES" w:eastAsia="es-ES"/>
              </w:rPr>
            </w:pPr>
            <w:r w:rsidRPr="00850B72">
              <w:rPr>
                <w:rFonts w:ascii="Arial Narrow" w:hAnsi="Arial Narrow" w:cs="Arial"/>
                <w:color w:val="000000"/>
                <w:sz w:val="20"/>
                <w:lang w:val="es-ES" w:eastAsia="es-ES"/>
              </w:rPr>
              <w:t>0,00</w:t>
            </w:r>
          </w:p>
        </w:tc>
      </w:tr>
      <w:tr w:rsidR="00496B0F" w:rsidRPr="00F65761" w14:paraId="2187B051" w14:textId="77777777" w:rsidTr="00496B0F">
        <w:trPr>
          <w:trHeight w:val="315"/>
        </w:trPr>
        <w:tc>
          <w:tcPr>
            <w:tcW w:w="3544" w:type="dxa"/>
            <w:tcBorders>
              <w:top w:val="nil"/>
              <w:left w:val="nil"/>
              <w:bottom w:val="nil"/>
              <w:right w:val="nil"/>
            </w:tcBorders>
            <w:shd w:val="clear" w:color="auto" w:fill="auto"/>
            <w:noWrap/>
            <w:vAlign w:val="bottom"/>
            <w:hideMark/>
          </w:tcPr>
          <w:p w14:paraId="06B208EA" w14:textId="77777777" w:rsidR="00496B0F" w:rsidRPr="00850B72" w:rsidRDefault="00496B0F" w:rsidP="00496B0F">
            <w:pPr>
              <w:rPr>
                <w:rFonts w:ascii="Arial Narrow" w:hAnsi="Arial Narrow" w:cs="Arial"/>
                <w:color w:val="000000"/>
                <w:sz w:val="20"/>
                <w:lang w:val="es-ES" w:eastAsia="es-ES"/>
              </w:rPr>
            </w:pPr>
            <w:r w:rsidRPr="00850B72">
              <w:rPr>
                <w:rFonts w:ascii="Arial Narrow" w:hAnsi="Arial Narrow" w:cs="Arial"/>
                <w:color w:val="000000"/>
                <w:sz w:val="20"/>
                <w:lang w:val="es-ES" w:eastAsia="es-ES"/>
              </w:rPr>
              <w:t>Indemnización/Costas Se</w:t>
            </w:r>
            <w:r>
              <w:rPr>
                <w:rFonts w:ascii="Arial Narrow" w:hAnsi="Arial Narrow" w:cs="Arial"/>
                <w:color w:val="000000"/>
                <w:sz w:val="20"/>
                <w:lang w:val="es-ES" w:eastAsia="es-ES"/>
              </w:rPr>
              <w:t>n</w:t>
            </w:r>
            <w:r w:rsidRPr="00850B72">
              <w:rPr>
                <w:rFonts w:ascii="Arial Narrow" w:hAnsi="Arial Narrow" w:cs="Arial"/>
                <w:color w:val="000000"/>
                <w:sz w:val="20"/>
                <w:lang w:val="es-ES" w:eastAsia="es-ES"/>
              </w:rPr>
              <w:t>tencias Judi</w:t>
            </w:r>
            <w:r>
              <w:rPr>
                <w:rFonts w:ascii="Arial Narrow" w:hAnsi="Arial Narrow" w:cs="Arial"/>
                <w:color w:val="000000"/>
                <w:sz w:val="20"/>
                <w:lang w:val="es-ES" w:eastAsia="es-ES"/>
              </w:rPr>
              <w:t>ciales</w:t>
            </w:r>
          </w:p>
        </w:tc>
        <w:tc>
          <w:tcPr>
            <w:tcW w:w="1480" w:type="dxa"/>
            <w:tcBorders>
              <w:top w:val="nil"/>
              <w:left w:val="nil"/>
              <w:bottom w:val="nil"/>
              <w:right w:val="nil"/>
            </w:tcBorders>
            <w:shd w:val="clear" w:color="auto" w:fill="auto"/>
            <w:noWrap/>
            <w:vAlign w:val="bottom"/>
            <w:hideMark/>
          </w:tcPr>
          <w:p w14:paraId="770CA031"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0,00</w:t>
            </w:r>
          </w:p>
        </w:tc>
        <w:tc>
          <w:tcPr>
            <w:tcW w:w="1320" w:type="dxa"/>
            <w:tcBorders>
              <w:top w:val="nil"/>
              <w:left w:val="nil"/>
              <w:bottom w:val="nil"/>
              <w:right w:val="nil"/>
            </w:tcBorders>
            <w:vAlign w:val="bottom"/>
          </w:tcPr>
          <w:p w14:paraId="3A6A77EE"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301.241,53</w:t>
            </w:r>
          </w:p>
        </w:tc>
      </w:tr>
      <w:tr w:rsidR="00496B0F" w:rsidRPr="00F65761" w14:paraId="389A15B5" w14:textId="77777777" w:rsidTr="00496B0F">
        <w:trPr>
          <w:trHeight w:val="315"/>
        </w:trPr>
        <w:tc>
          <w:tcPr>
            <w:tcW w:w="3544" w:type="dxa"/>
            <w:tcBorders>
              <w:top w:val="nil"/>
              <w:left w:val="nil"/>
              <w:bottom w:val="nil"/>
              <w:right w:val="nil"/>
            </w:tcBorders>
            <w:shd w:val="clear" w:color="auto" w:fill="auto"/>
            <w:noWrap/>
            <w:vAlign w:val="bottom"/>
            <w:hideMark/>
          </w:tcPr>
          <w:p w14:paraId="6D83D882" w14:textId="77777777" w:rsidR="00496B0F" w:rsidRPr="00850B72" w:rsidRDefault="00496B0F" w:rsidP="00496B0F">
            <w:pPr>
              <w:rPr>
                <w:rFonts w:ascii="Arial Narrow" w:hAnsi="Arial Narrow" w:cs="Arial"/>
                <w:color w:val="000000"/>
                <w:sz w:val="20"/>
                <w:lang w:val="es-ES" w:eastAsia="es-ES"/>
              </w:rPr>
            </w:pPr>
            <w:r w:rsidRPr="00850B72">
              <w:rPr>
                <w:rFonts w:ascii="Arial Narrow" w:hAnsi="Arial Narrow" w:cs="Arial"/>
                <w:color w:val="000000"/>
                <w:sz w:val="20"/>
                <w:lang w:val="es-ES" w:eastAsia="es-ES"/>
              </w:rPr>
              <w:t xml:space="preserve">Indemnizaciones </w:t>
            </w:r>
            <w:r>
              <w:rPr>
                <w:rFonts w:ascii="Arial Narrow" w:hAnsi="Arial Narrow" w:cs="Arial"/>
                <w:color w:val="000000"/>
                <w:sz w:val="20"/>
                <w:lang w:val="es-ES" w:eastAsia="es-ES"/>
              </w:rPr>
              <w:t>p</w:t>
            </w:r>
            <w:r w:rsidRPr="00850B72">
              <w:rPr>
                <w:rFonts w:ascii="Arial Narrow" w:hAnsi="Arial Narrow" w:cs="Arial"/>
                <w:color w:val="000000"/>
                <w:sz w:val="20"/>
                <w:lang w:val="es-ES" w:eastAsia="es-ES"/>
              </w:rPr>
              <w:t xml:space="preserve">or Siniestros     </w:t>
            </w:r>
          </w:p>
        </w:tc>
        <w:tc>
          <w:tcPr>
            <w:tcW w:w="1480" w:type="dxa"/>
            <w:tcBorders>
              <w:top w:val="nil"/>
              <w:left w:val="nil"/>
              <w:bottom w:val="nil"/>
              <w:right w:val="nil"/>
            </w:tcBorders>
            <w:shd w:val="clear" w:color="auto" w:fill="auto"/>
            <w:noWrap/>
            <w:vAlign w:val="bottom"/>
            <w:hideMark/>
          </w:tcPr>
          <w:p w14:paraId="7615DF32"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0,00</w:t>
            </w:r>
          </w:p>
        </w:tc>
        <w:tc>
          <w:tcPr>
            <w:tcW w:w="1320" w:type="dxa"/>
            <w:tcBorders>
              <w:top w:val="nil"/>
              <w:left w:val="nil"/>
              <w:bottom w:val="nil"/>
              <w:right w:val="nil"/>
            </w:tcBorders>
            <w:vAlign w:val="bottom"/>
          </w:tcPr>
          <w:p w14:paraId="402077A0" w14:textId="77777777" w:rsidR="00496B0F" w:rsidRPr="00850B72" w:rsidRDefault="00496B0F" w:rsidP="00496B0F">
            <w:pPr>
              <w:jc w:val="right"/>
              <w:rPr>
                <w:rFonts w:ascii="Arial Narrow" w:hAnsi="Arial Narrow" w:cs="Arial"/>
                <w:color w:val="000000"/>
                <w:sz w:val="20"/>
                <w:lang w:val="es-ES" w:eastAsia="es-ES"/>
              </w:rPr>
            </w:pPr>
            <w:r>
              <w:rPr>
                <w:rFonts w:ascii="Arial Narrow" w:hAnsi="Arial Narrow" w:cs="Arial"/>
                <w:color w:val="000000"/>
                <w:sz w:val="20"/>
                <w:lang w:val="es-ES" w:eastAsia="es-ES"/>
              </w:rPr>
              <w:t>14.285,14</w:t>
            </w:r>
          </w:p>
        </w:tc>
      </w:tr>
      <w:tr w:rsidR="00496B0F" w:rsidRPr="00F65761" w14:paraId="290B9E90" w14:textId="77777777" w:rsidTr="00496B0F">
        <w:trPr>
          <w:trHeight w:val="315"/>
        </w:trPr>
        <w:tc>
          <w:tcPr>
            <w:tcW w:w="3544" w:type="dxa"/>
            <w:tcBorders>
              <w:top w:val="nil"/>
              <w:left w:val="nil"/>
              <w:bottom w:val="nil"/>
              <w:right w:val="nil"/>
            </w:tcBorders>
            <w:shd w:val="clear" w:color="000000" w:fill="D9D9D9"/>
            <w:noWrap/>
            <w:vAlign w:val="bottom"/>
            <w:hideMark/>
          </w:tcPr>
          <w:p w14:paraId="0A3F9FC4" w14:textId="77777777" w:rsidR="00496B0F" w:rsidRPr="00850B72" w:rsidRDefault="00496B0F" w:rsidP="00496B0F">
            <w:pPr>
              <w:rPr>
                <w:rFonts w:ascii="Arial Narrow" w:hAnsi="Arial Narrow" w:cs="Arial"/>
                <w:b/>
                <w:bCs/>
                <w:color w:val="000000"/>
                <w:sz w:val="20"/>
                <w:lang w:val="es-ES" w:eastAsia="es-ES"/>
              </w:rPr>
            </w:pPr>
            <w:r w:rsidRPr="00850B72">
              <w:rPr>
                <w:rFonts w:ascii="Arial Narrow" w:hAnsi="Arial Narrow" w:cs="Arial"/>
                <w:b/>
                <w:bCs/>
                <w:color w:val="000000"/>
                <w:sz w:val="20"/>
                <w:lang w:val="es-ES" w:eastAsia="es-ES"/>
              </w:rPr>
              <w:t>Total Otros Resultados</w:t>
            </w:r>
          </w:p>
        </w:tc>
        <w:tc>
          <w:tcPr>
            <w:tcW w:w="1480" w:type="dxa"/>
            <w:tcBorders>
              <w:top w:val="nil"/>
              <w:left w:val="nil"/>
              <w:bottom w:val="nil"/>
              <w:right w:val="nil"/>
            </w:tcBorders>
            <w:shd w:val="clear" w:color="000000" w:fill="D9D9D9"/>
            <w:noWrap/>
            <w:vAlign w:val="bottom"/>
            <w:hideMark/>
          </w:tcPr>
          <w:p w14:paraId="45E0E1F8" w14:textId="77777777" w:rsidR="00496B0F" w:rsidRPr="00496B0F" w:rsidRDefault="00496B0F" w:rsidP="00496B0F">
            <w:pPr>
              <w:jc w:val="right"/>
              <w:rPr>
                <w:rFonts w:ascii="Arial Narrow" w:hAnsi="Arial Narrow" w:cs="Calibri"/>
                <w:b/>
                <w:bCs/>
                <w:color w:val="000000"/>
                <w:sz w:val="20"/>
                <w:lang w:val="es-ES" w:eastAsia="es-ES"/>
              </w:rPr>
            </w:pPr>
            <w:r>
              <w:rPr>
                <w:rFonts w:ascii="Arial Narrow" w:hAnsi="Arial Narrow" w:cs="Calibri"/>
                <w:b/>
                <w:bCs/>
                <w:color w:val="000000"/>
                <w:sz w:val="20"/>
              </w:rPr>
              <w:t>-24.605,71</w:t>
            </w:r>
          </w:p>
        </w:tc>
        <w:tc>
          <w:tcPr>
            <w:tcW w:w="1320" w:type="dxa"/>
            <w:tcBorders>
              <w:top w:val="nil"/>
              <w:left w:val="nil"/>
              <w:bottom w:val="nil"/>
              <w:right w:val="nil"/>
            </w:tcBorders>
            <w:shd w:val="clear" w:color="000000" w:fill="D9D9D9"/>
            <w:vAlign w:val="bottom"/>
          </w:tcPr>
          <w:p w14:paraId="5F49B0AC" w14:textId="77777777" w:rsidR="00496B0F" w:rsidRPr="00850B72" w:rsidRDefault="00496B0F" w:rsidP="00496B0F">
            <w:pPr>
              <w:jc w:val="right"/>
              <w:rPr>
                <w:rFonts w:ascii="Arial Narrow" w:hAnsi="Arial Narrow" w:cs="Arial"/>
                <w:b/>
                <w:bCs/>
                <w:color w:val="000000"/>
                <w:sz w:val="20"/>
                <w:lang w:val="es-ES" w:eastAsia="es-ES"/>
              </w:rPr>
            </w:pPr>
            <w:r>
              <w:rPr>
                <w:rFonts w:ascii="Arial Narrow" w:hAnsi="Arial Narrow" w:cs="Arial"/>
                <w:b/>
                <w:bCs/>
                <w:color w:val="000000"/>
                <w:sz w:val="20"/>
                <w:lang w:val="es-ES" w:eastAsia="es-ES"/>
              </w:rPr>
              <w:t>315.246,83</w:t>
            </w:r>
          </w:p>
        </w:tc>
      </w:tr>
    </w:tbl>
    <w:p w14:paraId="3EA5BC45" w14:textId="77777777" w:rsidR="00496B0F" w:rsidRDefault="00865C35" w:rsidP="00A53079">
      <w:pPr>
        <w:keepNext/>
        <w:keepLines/>
        <w:spacing w:before="120" w:after="120"/>
        <w:jc w:val="both"/>
        <w:rPr>
          <w:rFonts w:ascii="Arial Narrow" w:hAnsi="Arial Narrow" w:cs="Arial"/>
          <w:sz w:val="24"/>
          <w:szCs w:val="24"/>
        </w:rPr>
      </w:pPr>
      <w:r w:rsidRPr="00C91E70">
        <w:rPr>
          <w:rFonts w:ascii="Arial Narrow" w:hAnsi="Arial Narrow" w:cs="Arial"/>
          <w:sz w:val="24"/>
          <w:szCs w:val="24"/>
        </w:rPr>
        <w:t>En 201</w:t>
      </w:r>
      <w:r w:rsidR="00496B0F">
        <w:rPr>
          <w:rFonts w:ascii="Arial Narrow" w:hAnsi="Arial Narrow" w:cs="Arial"/>
          <w:sz w:val="24"/>
          <w:szCs w:val="24"/>
        </w:rPr>
        <w:t>9</w:t>
      </w:r>
      <w:r w:rsidRPr="00C91E70">
        <w:rPr>
          <w:rFonts w:ascii="Arial Narrow" w:hAnsi="Arial Narrow" w:cs="Arial"/>
          <w:sz w:val="24"/>
          <w:szCs w:val="24"/>
        </w:rPr>
        <w:t xml:space="preserve"> se incluyen ingresos excepcionales por importe de </w:t>
      </w:r>
      <w:r w:rsidR="00496B0F">
        <w:rPr>
          <w:rFonts w:ascii="Arial Narrow" w:hAnsi="Arial Narrow" w:cs="Arial"/>
          <w:sz w:val="24"/>
          <w:szCs w:val="24"/>
        </w:rPr>
        <w:t>2.575,73</w:t>
      </w:r>
      <w:r w:rsidRPr="00C91E70">
        <w:rPr>
          <w:rFonts w:ascii="Arial Narrow" w:hAnsi="Arial Narrow" w:cs="Arial"/>
          <w:sz w:val="24"/>
          <w:szCs w:val="24"/>
        </w:rPr>
        <w:t xml:space="preserve"> € </w:t>
      </w:r>
      <w:r w:rsidR="00496B0F">
        <w:rPr>
          <w:rFonts w:ascii="Arial Narrow" w:hAnsi="Arial Narrow" w:cs="Arial"/>
          <w:sz w:val="24"/>
          <w:szCs w:val="24"/>
        </w:rPr>
        <w:t>procedentes de bonus por baja siniestrabilidad de seguridad social, así como una pequeña comisión del 5% del FREMAP. Los gastos extraordinarios más relevantes se corresponden con un recargo de apremio del 10% por una incidencia en la presentación del modelo 111 del 3T del año 2019</w:t>
      </w:r>
      <w:r w:rsidR="004F7536">
        <w:rPr>
          <w:rFonts w:ascii="Arial Narrow" w:hAnsi="Arial Narrow" w:cs="Arial"/>
          <w:sz w:val="24"/>
          <w:szCs w:val="24"/>
        </w:rPr>
        <w:t>, ante esta situación se presentó por la sociedad “ESCRITO DE INTERPOSICIÓN DE RESURSO DE REPOSICIÓN CONTRA LA PROVIDENCIA DE APREMIO” con fecha 18 de diciembre de 2019, este recurso ha sido estimado totalmente el 23 de enero de 2020</w:t>
      </w:r>
      <w:r w:rsidR="007D521E">
        <w:rPr>
          <w:rFonts w:ascii="Arial Narrow" w:hAnsi="Arial Narrow" w:cs="Arial"/>
          <w:sz w:val="24"/>
          <w:szCs w:val="24"/>
        </w:rPr>
        <w:t xml:space="preserve"> anulando la liquidación y recargo y reconociendo intereses de demora.</w:t>
      </w:r>
    </w:p>
    <w:p w14:paraId="77346BBE" w14:textId="77777777" w:rsidR="00496B0F" w:rsidRDefault="00496B0F" w:rsidP="00A53079">
      <w:pPr>
        <w:keepNext/>
        <w:keepLines/>
        <w:spacing w:before="120" w:after="120"/>
        <w:jc w:val="both"/>
        <w:rPr>
          <w:rFonts w:ascii="Arial Narrow" w:hAnsi="Arial Narrow" w:cs="Arial"/>
          <w:sz w:val="24"/>
          <w:szCs w:val="24"/>
        </w:rPr>
      </w:pPr>
    </w:p>
    <w:p w14:paraId="31165F92" w14:textId="77777777" w:rsidR="003B2A3E" w:rsidRPr="00985378" w:rsidRDefault="00D6097D" w:rsidP="00D6097D">
      <w:pPr>
        <w:widowControl w:val="0"/>
        <w:spacing w:before="120" w:after="120"/>
        <w:rPr>
          <w:rFonts w:ascii="Arial Narrow" w:hAnsi="Arial Narrow" w:cs="Arial"/>
          <w:b/>
          <w:caps/>
          <w:snapToGrid w:val="0"/>
          <w:sz w:val="24"/>
          <w:szCs w:val="24"/>
          <w:u w:val="single"/>
          <w:lang w:eastAsia="es-ES"/>
        </w:rPr>
      </w:pPr>
      <w:bookmarkStart w:id="15" w:name="_Hlk34905468"/>
      <w:r w:rsidRPr="00985378">
        <w:rPr>
          <w:rFonts w:ascii="Arial Narrow" w:hAnsi="Arial Narrow" w:cs="Arial"/>
          <w:b/>
          <w:caps/>
          <w:snapToGrid w:val="0"/>
          <w:sz w:val="24"/>
          <w:szCs w:val="24"/>
          <w:lang w:eastAsia="es-ES"/>
        </w:rPr>
        <w:t>nota 1</w:t>
      </w:r>
      <w:r w:rsidR="00230948" w:rsidRPr="00985378">
        <w:rPr>
          <w:rFonts w:ascii="Arial Narrow" w:hAnsi="Arial Narrow" w:cs="Arial"/>
          <w:b/>
          <w:caps/>
          <w:snapToGrid w:val="0"/>
          <w:sz w:val="24"/>
          <w:szCs w:val="24"/>
          <w:lang w:eastAsia="es-ES"/>
        </w:rPr>
        <w:t>2</w:t>
      </w:r>
      <w:r w:rsidRPr="00985378">
        <w:rPr>
          <w:rFonts w:ascii="Arial Narrow" w:hAnsi="Arial Narrow" w:cs="Arial"/>
          <w:b/>
          <w:caps/>
          <w:snapToGrid w:val="0"/>
          <w:sz w:val="24"/>
          <w:szCs w:val="24"/>
          <w:lang w:eastAsia="es-ES"/>
        </w:rPr>
        <w:t xml:space="preserve">. </w:t>
      </w:r>
      <w:r w:rsidR="003B2A3E" w:rsidRPr="00985378">
        <w:rPr>
          <w:rFonts w:ascii="Arial Narrow" w:hAnsi="Arial Narrow" w:cs="Arial"/>
          <w:b/>
          <w:caps/>
          <w:snapToGrid w:val="0"/>
          <w:sz w:val="24"/>
          <w:szCs w:val="24"/>
          <w:u w:val="single"/>
          <w:lang w:eastAsia="es-ES"/>
        </w:rPr>
        <w:t>provisiones y contingencias</w:t>
      </w:r>
    </w:p>
    <w:bookmarkEnd w:id="15"/>
    <w:p w14:paraId="425D2E25" w14:textId="77777777" w:rsidR="0027398A" w:rsidRPr="00985378" w:rsidRDefault="0027398A" w:rsidP="00EA24A9">
      <w:pPr>
        <w:spacing w:before="240" w:after="120"/>
        <w:jc w:val="both"/>
        <w:rPr>
          <w:rFonts w:ascii="Arial Narrow" w:hAnsi="Arial Narrow" w:cs="Arial"/>
          <w:snapToGrid w:val="0"/>
          <w:sz w:val="24"/>
          <w:szCs w:val="24"/>
          <w:lang w:eastAsia="es-ES"/>
        </w:rPr>
      </w:pPr>
      <w:r w:rsidRPr="00985378">
        <w:rPr>
          <w:rFonts w:ascii="Arial Narrow" w:hAnsi="Arial Narrow" w:cs="Arial"/>
          <w:snapToGrid w:val="0"/>
          <w:sz w:val="24"/>
          <w:szCs w:val="24"/>
          <w:lang w:eastAsia="es-ES"/>
        </w:rPr>
        <w:t xml:space="preserve">a) </w:t>
      </w:r>
      <w:r w:rsidRPr="00985378">
        <w:rPr>
          <w:rFonts w:ascii="Arial Narrow" w:hAnsi="Arial Narrow" w:cs="Arial"/>
          <w:snapToGrid w:val="0"/>
          <w:sz w:val="24"/>
          <w:szCs w:val="24"/>
          <w:u w:val="single"/>
          <w:lang w:eastAsia="es-ES"/>
        </w:rPr>
        <w:t>Provisiones</w:t>
      </w:r>
    </w:p>
    <w:p w14:paraId="0BC00D92" w14:textId="77777777" w:rsidR="007D521E" w:rsidRDefault="007D521E" w:rsidP="007D521E">
      <w:pPr>
        <w:spacing w:before="120" w:after="120"/>
        <w:jc w:val="both"/>
        <w:rPr>
          <w:rFonts w:ascii="Arial Narrow" w:hAnsi="Arial Narrow" w:cs="Arial"/>
          <w:sz w:val="24"/>
          <w:szCs w:val="24"/>
        </w:rPr>
      </w:pPr>
      <w:r w:rsidRPr="000D0B3F">
        <w:rPr>
          <w:rFonts w:ascii="Arial Narrow" w:hAnsi="Arial Narrow" w:cs="Arial"/>
          <w:sz w:val="24"/>
          <w:szCs w:val="24"/>
        </w:rPr>
        <w:t xml:space="preserve">Los movimientos habidos en las provisiones reconocidas en el </w:t>
      </w:r>
      <w:r w:rsidRPr="00F03625">
        <w:rPr>
          <w:rFonts w:ascii="Arial Narrow" w:hAnsi="Arial Narrow" w:cs="Arial"/>
          <w:sz w:val="24"/>
          <w:szCs w:val="24"/>
        </w:rPr>
        <w:t>balance al 31 de diciembre de 201</w:t>
      </w:r>
      <w:r>
        <w:rPr>
          <w:rFonts w:ascii="Arial Narrow" w:hAnsi="Arial Narrow" w:cs="Arial"/>
          <w:sz w:val="24"/>
          <w:szCs w:val="24"/>
        </w:rPr>
        <w:t>9</w:t>
      </w:r>
      <w:r w:rsidRPr="00F03625">
        <w:rPr>
          <w:rFonts w:ascii="Arial Narrow" w:hAnsi="Arial Narrow" w:cs="Arial"/>
          <w:sz w:val="24"/>
          <w:szCs w:val="24"/>
        </w:rPr>
        <w:t xml:space="preserve"> fueron los siguientes:</w:t>
      </w:r>
    </w:p>
    <w:tbl>
      <w:tblPr>
        <w:tblW w:w="7959" w:type="dxa"/>
        <w:jc w:val="center"/>
        <w:tblLayout w:type="fixed"/>
        <w:tblCellMar>
          <w:left w:w="70" w:type="dxa"/>
          <w:right w:w="70" w:type="dxa"/>
        </w:tblCellMar>
        <w:tblLook w:val="04A0" w:firstRow="1" w:lastRow="0" w:firstColumn="1" w:lastColumn="0" w:noHBand="0" w:noVBand="1"/>
      </w:tblPr>
      <w:tblGrid>
        <w:gridCol w:w="1228"/>
        <w:gridCol w:w="1324"/>
        <w:gridCol w:w="1698"/>
        <w:gridCol w:w="1205"/>
        <w:gridCol w:w="1200"/>
        <w:gridCol w:w="1304"/>
      </w:tblGrid>
      <w:tr w:rsidR="003E21A8" w:rsidRPr="00DE4D7B" w14:paraId="031A1BB5" w14:textId="77777777" w:rsidTr="003E21A8">
        <w:trPr>
          <w:trHeight w:val="406"/>
          <w:jc w:val="center"/>
        </w:trPr>
        <w:tc>
          <w:tcPr>
            <w:tcW w:w="771" w:type="pct"/>
            <w:tcBorders>
              <w:top w:val="nil"/>
              <w:left w:val="nil"/>
              <w:bottom w:val="nil"/>
              <w:right w:val="nil"/>
            </w:tcBorders>
            <w:shd w:val="clear" w:color="auto" w:fill="D9D9D9" w:themeFill="background1" w:themeFillShade="D9"/>
            <w:vAlign w:val="center"/>
            <w:hideMark/>
          </w:tcPr>
          <w:p w14:paraId="61D5627E" w14:textId="77777777" w:rsidR="003E21A8" w:rsidRPr="000D0B3F" w:rsidRDefault="003E21A8" w:rsidP="003209DA">
            <w:pPr>
              <w:keepNext/>
              <w:keepLines/>
              <w:jc w:val="center"/>
              <w:rPr>
                <w:rFonts w:ascii="Arial Narrow" w:hAnsi="Arial Narrow"/>
                <w:sz w:val="20"/>
                <w:lang w:eastAsia="es-ES"/>
              </w:rPr>
            </w:pPr>
          </w:p>
        </w:tc>
        <w:tc>
          <w:tcPr>
            <w:tcW w:w="832" w:type="pct"/>
            <w:tcBorders>
              <w:top w:val="nil"/>
              <w:left w:val="nil"/>
              <w:bottom w:val="nil"/>
              <w:right w:val="nil"/>
            </w:tcBorders>
            <w:shd w:val="clear" w:color="auto" w:fill="D9D9D9" w:themeFill="background1" w:themeFillShade="D9"/>
            <w:vAlign w:val="center"/>
            <w:hideMark/>
          </w:tcPr>
          <w:p w14:paraId="52306E6A" w14:textId="77777777" w:rsidR="003E21A8" w:rsidRPr="00DE4D7B" w:rsidRDefault="003E21A8" w:rsidP="003209DA">
            <w:pPr>
              <w:keepNext/>
              <w:keepLines/>
              <w:jc w:val="center"/>
              <w:rPr>
                <w:rFonts w:ascii="Arial Narrow" w:hAnsi="Arial Narrow"/>
                <w:b/>
                <w:bCs/>
                <w:sz w:val="20"/>
                <w:lang w:eastAsia="es-ES"/>
              </w:rPr>
            </w:pPr>
            <w:r w:rsidRPr="00DE4D7B">
              <w:rPr>
                <w:rFonts w:ascii="Arial Narrow" w:hAnsi="Arial Narrow"/>
                <w:b/>
                <w:bCs/>
                <w:sz w:val="20"/>
                <w:lang w:eastAsia="es-ES"/>
              </w:rPr>
              <w:t>Interés</w:t>
            </w:r>
          </w:p>
          <w:p w14:paraId="2708AEE7" w14:textId="77777777" w:rsidR="003E21A8" w:rsidRPr="00DE4D7B" w:rsidRDefault="003E21A8" w:rsidP="003209DA">
            <w:pPr>
              <w:keepNext/>
              <w:keepLines/>
              <w:jc w:val="center"/>
              <w:rPr>
                <w:rFonts w:ascii="Arial Narrow" w:hAnsi="Arial Narrow"/>
                <w:b/>
                <w:bCs/>
                <w:sz w:val="20"/>
                <w:lang w:eastAsia="es-ES"/>
              </w:rPr>
            </w:pPr>
            <w:r w:rsidRPr="00DE4D7B">
              <w:rPr>
                <w:rFonts w:ascii="Arial Narrow" w:hAnsi="Arial Narrow"/>
                <w:b/>
                <w:bCs/>
                <w:sz w:val="20"/>
                <w:lang w:eastAsia="es-ES"/>
              </w:rPr>
              <w:t>reintegro Encomiendas</w:t>
            </w:r>
          </w:p>
        </w:tc>
        <w:tc>
          <w:tcPr>
            <w:tcW w:w="1067" w:type="pct"/>
            <w:tcBorders>
              <w:top w:val="nil"/>
              <w:left w:val="nil"/>
              <w:bottom w:val="nil"/>
              <w:right w:val="nil"/>
            </w:tcBorders>
            <w:shd w:val="clear" w:color="auto" w:fill="D9D9D9" w:themeFill="background1" w:themeFillShade="D9"/>
            <w:vAlign w:val="center"/>
            <w:hideMark/>
          </w:tcPr>
          <w:p w14:paraId="132A97F5" w14:textId="77777777" w:rsidR="003E21A8" w:rsidRDefault="003E21A8" w:rsidP="003209DA">
            <w:pPr>
              <w:jc w:val="center"/>
              <w:rPr>
                <w:rFonts w:ascii="Arial Narrow" w:hAnsi="Arial Narrow" w:cs="Calibri"/>
                <w:b/>
                <w:bCs/>
                <w:color w:val="000000"/>
                <w:sz w:val="20"/>
              </w:rPr>
            </w:pPr>
            <w:r>
              <w:rPr>
                <w:rFonts w:ascii="Arial Narrow" w:hAnsi="Arial Narrow" w:cs="Calibri"/>
                <w:b/>
                <w:bCs/>
                <w:color w:val="000000"/>
                <w:sz w:val="20"/>
              </w:rPr>
              <w:t>Costes desmantelamiento</w:t>
            </w:r>
          </w:p>
        </w:tc>
        <w:tc>
          <w:tcPr>
            <w:tcW w:w="757" w:type="pct"/>
            <w:tcBorders>
              <w:top w:val="nil"/>
              <w:left w:val="nil"/>
              <w:bottom w:val="nil"/>
              <w:right w:val="nil"/>
            </w:tcBorders>
            <w:shd w:val="clear" w:color="auto" w:fill="D9D9D9" w:themeFill="background1" w:themeFillShade="D9"/>
            <w:vAlign w:val="center"/>
          </w:tcPr>
          <w:p w14:paraId="7852D602" w14:textId="77777777" w:rsidR="003E21A8" w:rsidRDefault="003E21A8" w:rsidP="003209DA">
            <w:pPr>
              <w:jc w:val="center"/>
              <w:rPr>
                <w:rFonts w:ascii="Arial Narrow" w:hAnsi="Arial Narrow" w:cs="Calibri"/>
                <w:b/>
                <w:bCs/>
                <w:color w:val="000000"/>
                <w:sz w:val="20"/>
              </w:rPr>
            </w:pPr>
            <w:r>
              <w:rPr>
                <w:rFonts w:ascii="Arial Narrow" w:hAnsi="Arial Narrow" w:cs="Calibri"/>
                <w:b/>
                <w:bCs/>
                <w:color w:val="000000"/>
                <w:sz w:val="20"/>
              </w:rPr>
              <w:t>Reclamación 5%</w:t>
            </w:r>
          </w:p>
        </w:tc>
        <w:tc>
          <w:tcPr>
            <w:tcW w:w="754" w:type="pct"/>
            <w:tcBorders>
              <w:top w:val="nil"/>
              <w:left w:val="nil"/>
              <w:bottom w:val="nil"/>
              <w:right w:val="nil"/>
            </w:tcBorders>
            <w:shd w:val="clear" w:color="auto" w:fill="D9D9D9" w:themeFill="background1" w:themeFillShade="D9"/>
            <w:vAlign w:val="center"/>
          </w:tcPr>
          <w:p w14:paraId="1CE90563" w14:textId="77777777" w:rsidR="003E21A8" w:rsidRDefault="003E21A8" w:rsidP="003209DA">
            <w:pPr>
              <w:jc w:val="center"/>
              <w:rPr>
                <w:rFonts w:ascii="Arial Narrow" w:hAnsi="Arial Narrow" w:cs="Calibri"/>
                <w:b/>
                <w:bCs/>
                <w:color w:val="000000"/>
                <w:sz w:val="20"/>
              </w:rPr>
            </w:pPr>
            <w:proofErr w:type="spellStart"/>
            <w:r>
              <w:rPr>
                <w:rFonts w:ascii="Arial Narrow" w:hAnsi="Arial Narrow" w:cs="Calibri"/>
                <w:b/>
                <w:bCs/>
                <w:color w:val="000000"/>
                <w:sz w:val="20"/>
              </w:rPr>
              <w:t>Pda</w:t>
            </w:r>
            <w:proofErr w:type="spellEnd"/>
            <w:r>
              <w:rPr>
                <w:rFonts w:ascii="Arial Narrow" w:hAnsi="Arial Narrow" w:cs="Calibri"/>
                <w:b/>
                <w:bCs/>
                <w:color w:val="000000"/>
                <w:sz w:val="20"/>
              </w:rPr>
              <w:t>. Bonificación SSCC 2017</w:t>
            </w:r>
          </w:p>
        </w:tc>
        <w:tc>
          <w:tcPr>
            <w:tcW w:w="819" w:type="pct"/>
            <w:tcBorders>
              <w:top w:val="nil"/>
              <w:left w:val="nil"/>
              <w:bottom w:val="nil"/>
              <w:right w:val="nil"/>
            </w:tcBorders>
            <w:shd w:val="clear" w:color="auto" w:fill="D9D9D9" w:themeFill="background1" w:themeFillShade="D9"/>
            <w:vAlign w:val="center"/>
            <w:hideMark/>
          </w:tcPr>
          <w:p w14:paraId="328067C7" w14:textId="77777777" w:rsidR="003E21A8" w:rsidRDefault="003E21A8" w:rsidP="003209DA">
            <w:pPr>
              <w:jc w:val="center"/>
              <w:rPr>
                <w:rFonts w:ascii="Arial Narrow" w:hAnsi="Arial Narrow" w:cs="Calibri"/>
                <w:b/>
                <w:bCs/>
                <w:color w:val="000000"/>
                <w:sz w:val="20"/>
              </w:rPr>
            </w:pPr>
            <w:r>
              <w:rPr>
                <w:rFonts w:ascii="Arial Narrow" w:hAnsi="Arial Narrow" w:cs="Calibri"/>
                <w:b/>
                <w:bCs/>
                <w:color w:val="000000"/>
                <w:sz w:val="20"/>
              </w:rPr>
              <w:t>Total</w:t>
            </w:r>
          </w:p>
        </w:tc>
      </w:tr>
      <w:tr w:rsidR="003E21A8" w:rsidRPr="00DE4D7B" w14:paraId="2E8EFEC1" w14:textId="77777777" w:rsidTr="003E21A8">
        <w:trPr>
          <w:trHeight w:val="152"/>
          <w:jc w:val="center"/>
        </w:trPr>
        <w:tc>
          <w:tcPr>
            <w:tcW w:w="771" w:type="pct"/>
            <w:tcBorders>
              <w:top w:val="nil"/>
              <w:left w:val="nil"/>
              <w:bottom w:val="nil"/>
              <w:right w:val="nil"/>
            </w:tcBorders>
            <w:shd w:val="clear" w:color="000000" w:fill="FFFFFF"/>
            <w:vAlign w:val="bottom"/>
            <w:hideMark/>
          </w:tcPr>
          <w:p w14:paraId="1BA59D23" w14:textId="77777777" w:rsidR="003E21A8" w:rsidRPr="00DE4D7B" w:rsidRDefault="003E21A8" w:rsidP="003209DA">
            <w:pPr>
              <w:keepNext/>
              <w:keepLines/>
              <w:rPr>
                <w:rFonts w:ascii="Arial Narrow" w:hAnsi="Arial Narrow"/>
                <w:sz w:val="20"/>
                <w:lang w:eastAsia="es-ES"/>
              </w:rPr>
            </w:pPr>
          </w:p>
        </w:tc>
        <w:tc>
          <w:tcPr>
            <w:tcW w:w="832" w:type="pct"/>
            <w:tcBorders>
              <w:top w:val="nil"/>
              <w:left w:val="nil"/>
              <w:bottom w:val="nil"/>
              <w:right w:val="nil"/>
            </w:tcBorders>
            <w:shd w:val="clear" w:color="000000" w:fill="FFFFFF"/>
            <w:vAlign w:val="center"/>
            <w:hideMark/>
          </w:tcPr>
          <w:p w14:paraId="3B8A0BE7" w14:textId="77777777" w:rsidR="003E21A8" w:rsidRPr="00DE4D7B" w:rsidRDefault="003E21A8" w:rsidP="003209DA">
            <w:pPr>
              <w:keepNext/>
              <w:keepLines/>
              <w:jc w:val="center"/>
              <w:rPr>
                <w:rFonts w:ascii="Arial Narrow" w:hAnsi="Arial Narrow"/>
                <w:b/>
                <w:bCs/>
                <w:sz w:val="20"/>
                <w:lang w:eastAsia="es-ES"/>
              </w:rPr>
            </w:pPr>
          </w:p>
        </w:tc>
        <w:tc>
          <w:tcPr>
            <w:tcW w:w="1067" w:type="pct"/>
            <w:tcBorders>
              <w:top w:val="nil"/>
              <w:left w:val="nil"/>
              <w:bottom w:val="nil"/>
              <w:right w:val="nil"/>
            </w:tcBorders>
            <w:shd w:val="clear" w:color="000000" w:fill="FFFFFF"/>
            <w:vAlign w:val="bottom"/>
            <w:hideMark/>
          </w:tcPr>
          <w:p w14:paraId="39F772A3" w14:textId="77777777" w:rsidR="003E21A8" w:rsidRPr="00DE4D7B" w:rsidRDefault="003E21A8" w:rsidP="003209DA">
            <w:pPr>
              <w:keepNext/>
              <w:keepLines/>
              <w:rPr>
                <w:rFonts w:ascii="Arial Narrow" w:hAnsi="Arial Narrow"/>
                <w:b/>
                <w:bCs/>
                <w:sz w:val="20"/>
                <w:lang w:eastAsia="es-ES"/>
              </w:rPr>
            </w:pPr>
          </w:p>
        </w:tc>
        <w:tc>
          <w:tcPr>
            <w:tcW w:w="757" w:type="pct"/>
            <w:tcBorders>
              <w:top w:val="nil"/>
              <w:left w:val="nil"/>
              <w:bottom w:val="nil"/>
              <w:right w:val="nil"/>
            </w:tcBorders>
            <w:shd w:val="clear" w:color="000000" w:fill="FFFFFF"/>
          </w:tcPr>
          <w:p w14:paraId="3F6B4535" w14:textId="77777777" w:rsidR="003E21A8" w:rsidRPr="00850B72" w:rsidRDefault="003E21A8" w:rsidP="003209DA">
            <w:pPr>
              <w:keepNext/>
              <w:keepLines/>
              <w:rPr>
                <w:rFonts w:ascii="Arial Narrow" w:hAnsi="Arial Narrow"/>
                <w:b/>
                <w:bCs/>
                <w:sz w:val="20"/>
                <w:lang w:eastAsia="es-ES"/>
              </w:rPr>
            </w:pPr>
          </w:p>
        </w:tc>
        <w:tc>
          <w:tcPr>
            <w:tcW w:w="754" w:type="pct"/>
            <w:tcBorders>
              <w:top w:val="nil"/>
              <w:left w:val="nil"/>
              <w:bottom w:val="nil"/>
              <w:right w:val="nil"/>
            </w:tcBorders>
            <w:shd w:val="clear" w:color="000000" w:fill="FFFFFF"/>
          </w:tcPr>
          <w:p w14:paraId="114AE23D" w14:textId="77777777" w:rsidR="003E21A8" w:rsidRPr="00850B72" w:rsidRDefault="003E21A8" w:rsidP="003209DA">
            <w:pPr>
              <w:keepNext/>
              <w:keepLines/>
              <w:rPr>
                <w:rFonts w:ascii="Arial Narrow" w:hAnsi="Arial Narrow"/>
                <w:b/>
                <w:bCs/>
                <w:sz w:val="20"/>
                <w:lang w:eastAsia="es-ES"/>
              </w:rPr>
            </w:pPr>
          </w:p>
        </w:tc>
        <w:tc>
          <w:tcPr>
            <w:tcW w:w="819" w:type="pct"/>
            <w:tcBorders>
              <w:top w:val="nil"/>
              <w:left w:val="nil"/>
              <w:bottom w:val="nil"/>
              <w:right w:val="nil"/>
            </w:tcBorders>
            <w:shd w:val="clear" w:color="000000" w:fill="FFFFFF"/>
            <w:vAlign w:val="bottom"/>
            <w:hideMark/>
          </w:tcPr>
          <w:p w14:paraId="00D60BCA" w14:textId="77777777" w:rsidR="003E21A8" w:rsidRPr="00DE4D7B" w:rsidRDefault="003E21A8" w:rsidP="003209DA">
            <w:pPr>
              <w:keepNext/>
              <w:keepLines/>
              <w:rPr>
                <w:rFonts w:ascii="Arial Narrow" w:hAnsi="Arial Narrow"/>
                <w:b/>
                <w:bCs/>
                <w:sz w:val="20"/>
                <w:lang w:eastAsia="es-ES"/>
              </w:rPr>
            </w:pPr>
          </w:p>
        </w:tc>
      </w:tr>
      <w:tr w:rsidR="003E21A8" w:rsidRPr="00DE4D7B" w14:paraId="59193458" w14:textId="77777777" w:rsidTr="003E21A8">
        <w:trPr>
          <w:trHeight w:val="243"/>
          <w:jc w:val="center"/>
        </w:trPr>
        <w:tc>
          <w:tcPr>
            <w:tcW w:w="771" w:type="pct"/>
            <w:tcBorders>
              <w:top w:val="nil"/>
              <w:left w:val="nil"/>
              <w:bottom w:val="nil"/>
              <w:right w:val="nil"/>
            </w:tcBorders>
            <w:shd w:val="clear" w:color="000000" w:fill="FFFFFF"/>
            <w:vAlign w:val="center"/>
            <w:hideMark/>
          </w:tcPr>
          <w:p w14:paraId="3ECFF8B3" w14:textId="77777777" w:rsidR="003E21A8" w:rsidRPr="00DE4D7B" w:rsidRDefault="003E21A8" w:rsidP="00902C57">
            <w:pPr>
              <w:keepNext/>
              <w:keepLines/>
              <w:rPr>
                <w:rFonts w:ascii="Arial Narrow" w:hAnsi="Arial Narrow"/>
                <w:b/>
                <w:bCs/>
                <w:sz w:val="20"/>
                <w:lang w:eastAsia="es-ES"/>
              </w:rPr>
            </w:pPr>
            <w:r w:rsidRPr="00DE4D7B">
              <w:rPr>
                <w:rFonts w:ascii="Arial Narrow" w:hAnsi="Arial Narrow"/>
                <w:b/>
                <w:bCs/>
                <w:sz w:val="20"/>
                <w:lang w:eastAsia="es-ES"/>
              </w:rPr>
              <w:t xml:space="preserve">Saldo inicial </w:t>
            </w:r>
          </w:p>
        </w:tc>
        <w:tc>
          <w:tcPr>
            <w:tcW w:w="832" w:type="pct"/>
            <w:tcBorders>
              <w:top w:val="nil"/>
              <w:left w:val="nil"/>
              <w:bottom w:val="nil"/>
              <w:right w:val="nil"/>
            </w:tcBorders>
            <w:shd w:val="clear" w:color="000000" w:fill="FFFFFF"/>
            <w:vAlign w:val="center"/>
            <w:hideMark/>
          </w:tcPr>
          <w:p w14:paraId="4B84AE0D" w14:textId="77777777" w:rsidR="003E21A8" w:rsidRDefault="003E21A8" w:rsidP="00902C57">
            <w:pPr>
              <w:jc w:val="right"/>
              <w:rPr>
                <w:rFonts w:ascii="Arial Narrow" w:hAnsi="Arial Narrow" w:cs="Calibri"/>
                <w:b/>
                <w:bCs/>
                <w:color w:val="000000"/>
                <w:sz w:val="20"/>
                <w:lang w:val="es-ES" w:eastAsia="es-ES"/>
              </w:rPr>
            </w:pPr>
            <w:r>
              <w:rPr>
                <w:rFonts w:ascii="Arial Narrow" w:hAnsi="Arial Narrow" w:cs="Calibri"/>
                <w:b/>
                <w:bCs/>
                <w:sz w:val="20"/>
              </w:rPr>
              <w:t>154.024,55</w:t>
            </w:r>
          </w:p>
        </w:tc>
        <w:tc>
          <w:tcPr>
            <w:tcW w:w="1067" w:type="pct"/>
            <w:tcBorders>
              <w:top w:val="nil"/>
              <w:left w:val="nil"/>
              <w:bottom w:val="nil"/>
              <w:right w:val="nil"/>
            </w:tcBorders>
            <w:shd w:val="clear" w:color="000000" w:fill="FFFFFF"/>
            <w:vAlign w:val="center"/>
            <w:hideMark/>
          </w:tcPr>
          <w:p w14:paraId="3C1601BD"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57.833,38</w:t>
            </w:r>
          </w:p>
        </w:tc>
        <w:tc>
          <w:tcPr>
            <w:tcW w:w="757" w:type="pct"/>
            <w:tcBorders>
              <w:top w:val="nil"/>
              <w:left w:val="nil"/>
              <w:bottom w:val="nil"/>
              <w:right w:val="nil"/>
            </w:tcBorders>
            <w:shd w:val="clear" w:color="000000" w:fill="FFFFFF"/>
            <w:vAlign w:val="center"/>
          </w:tcPr>
          <w:p w14:paraId="3F6A5324"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 xml:space="preserve">164.620,76 </w:t>
            </w:r>
          </w:p>
        </w:tc>
        <w:tc>
          <w:tcPr>
            <w:tcW w:w="754" w:type="pct"/>
            <w:tcBorders>
              <w:top w:val="nil"/>
              <w:left w:val="nil"/>
              <w:bottom w:val="nil"/>
              <w:right w:val="nil"/>
            </w:tcBorders>
            <w:shd w:val="clear" w:color="000000" w:fill="FFFFFF"/>
            <w:vAlign w:val="center"/>
          </w:tcPr>
          <w:p w14:paraId="6D04562E"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0,00</w:t>
            </w:r>
          </w:p>
        </w:tc>
        <w:tc>
          <w:tcPr>
            <w:tcW w:w="819" w:type="pct"/>
            <w:tcBorders>
              <w:top w:val="nil"/>
              <w:left w:val="nil"/>
              <w:bottom w:val="nil"/>
              <w:right w:val="nil"/>
            </w:tcBorders>
            <w:shd w:val="clear" w:color="000000" w:fill="FFFFFF"/>
            <w:vAlign w:val="center"/>
            <w:hideMark/>
          </w:tcPr>
          <w:p w14:paraId="5A6B1533"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376.478,69</w:t>
            </w:r>
          </w:p>
        </w:tc>
      </w:tr>
      <w:tr w:rsidR="003E21A8" w:rsidRPr="00DE4D7B" w14:paraId="189825F0" w14:textId="77777777" w:rsidTr="003E21A8">
        <w:trPr>
          <w:trHeight w:val="243"/>
          <w:jc w:val="center"/>
        </w:trPr>
        <w:tc>
          <w:tcPr>
            <w:tcW w:w="771" w:type="pct"/>
            <w:tcBorders>
              <w:top w:val="nil"/>
              <w:left w:val="nil"/>
              <w:bottom w:val="nil"/>
              <w:right w:val="nil"/>
            </w:tcBorders>
            <w:shd w:val="clear" w:color="000000" w:fill="FFFFFF"/>
            <w:vAlign w:val="center"/>
            <w:hideMark/>
          </w:tcPr>
          <w:p w14:paraId="36FA069C" w14:textId="77777777" w:rsidR="003E21A8" w:rsidRPr="00DE4D7B" w:rsidRDefault="003E21A8" w:rsidP="00902C57">
            <w:pPr>
              <w:keepNext/>
              <w:keepLines/>
              <w:rPr>
                <w:rFonts w:ascii="Arial Narrow" w:hAnsi="Arial Narrow"/>
                <w:sz w:val="20"/>
                <w:lang w:eastAsia="es-ES"/>
              </w:rPr>
            </w:pPr>
            <w:r w:rsidRPr="00DE4D7B">
              <w:rPr>
                <w:rFonts w:ascii="Arial Narrow" w:hAnsi="Arial Narrow"/>
                <w:sz w:val="20"/>
                <w:lang w:eastAsia="es-ES"/>
              </w:rPr>
              <w:t>Dotaciones</w:t>
            </w:r>
          </w:p>
        </w:tc>
        <w:tc>
          <w:tcPr>
            <w:tcW w:w="832" w:type="pct"/>
            <w:tcBorders>
              <w:top w:val="nil"/>
              <w:left w:val="nil"/>
              <w:bottom w:val="nil"/>
              <w:right w:val="nil"/>
            </w:tcBorders>
            <w:shd w:val="clear" w:color="000000" w:fill="FFFFFF"/>
            <w:vAlign w:val="center"/>
          </w:tcPr>
          <w:p w14:paraId="30DC6511" w14:textId="77777777" w:rsidR="003E21A8" w:rsidRDefault="003E21A8" w:rsidP="00902C57">
            <w:pPr>
              <w:jc w:val="right"/>
              <w:rPr>
                <w:rFonts w:ascii="Arial Narrow" w:hAnsi="Arial Narrow" w:cs="Calibri"/>
                <w:color w:val="000000"/>
                <w:sz w:val="20"/>
              </w:rPr>
            </w:pPr>
            <w:r>
              <w:rPr>
                <w:rFonts w:ascii="Arial Narrow" w:hAnsi="Arial Narrow" w:cs="Calibri"/>
                <w:color w:val="000000"/>
                <w:sz w:val="20"/>
              </w:rPr>
              <w:t> </w:t>
            </w:r>
          </w:p>
        </w:tc>
        <w:tc>
          <w:tcPr>
            <w:tcW w:w="1067" w:type="pct"/>
            <w:tcBorders>
              <w:top w:val="nil"/>
              <w:left w:val="nil"/>
              <w:bottom w:val="nil"/>
              <w:right w:val="nil"/>
            </w:tcBorders>
            <w:shd w:val="clear" w:color="000000" w:fill="FFFFFF"/>
            <w:vAlign w:val="center"/>
          </w:tcPr>
          <w:p w14:paraId="121E0137" w14:textId="77777777" w:rsidR="003E21A8" w:rsidRDefault="003E21A8" w:rsidP="00902C57">
            <w:pPr>
              <w:jc w:val="right"/>
              <w:rPr>
                <w:rFonts w:ascii="Arial Narrow" w:hAnsi="Arial Narrow" w:cs="Calibri"/>
                <w:color w:val="000000"/>
                <w:sz w:val="20"/>
              </w:rPr>
            </w:pPr>
            <w:r>
              <w:rPr>
                <w:rFonts w:ascii="Arial Narrow" w:hAnsi="Arial Narrow" w:cs="Calibri"/>
                <w:color w:val="000000"/>
                <w:sz w:val="20"/>
              </w:rPr>
              <w:t> </w:t>
            </w:r>
          </w:p>
        </w:tc>
        <w:tc>
          <w:tcPr>
            <w:tcW w:w="757" w:type="pct"/>
            <w:tcBorders>
              <w:top w:val="nil"/>
              <w:left w:val="nil"/>
              <w:bottom w:val="nil"/>
              <w:right w:val="nil"/>
            </w:tcBorders>
            <w:shd w:val="clear" w:color="000000" w:fill="FFFFFF"/>
            <w:vAlign w:val="center"/>
          </w:tcPr>
          <w:p w14:paraId="2C6434D5" w14:textId="77777777" w:rsidR="003E21A8" w:rsidRDefault="003E21A8" w:rsidP="00902C57">
            <w:pPr>
              <w:jc w:val="right"/>
              <w:rPr>
                <w:rFonts w:ascii="Arial Narrow" w:hAnsi="Arial Narrow" w:cs="Calibri"/>
                <w:color w:val="000000"/>
                <w:sz w:val="20"/>
              </w:rPr>
            </w:pPr>
          </w:p>
        </w:tc>
        <w:tc>
          <w:tcPr>
            <w:tcW w:w="754" w:type="pct"/>
            <w:tcBorders>
              <w:top w:val="nil"/>
              <w:left w:val="nil"/>
              <w:bottom w:val="nil"/>
              <w:right w:val="nil"/>
            </w:tcBorders>
            <w:shd w:val="clear" w:color="000000" w:fill="FFFFFF"/>
            <w:vAlign w:val="center"/>
          </w:tcPr>
          <w:p w14:paraId="1B4BA3AD" w14:textId="77777777" w:rsidR="003E21A8" w:rsidRDefault="003E21A8" w:rsidP="00902C57">
            <w:pPr>
              <w:jc w:val="right"/>
              <w:rPr>
                <w:rFonts w:ascii="Arial Narrow" w:hAnsi="Arial Narrow" w:cs="Calibri"/>
                <w:color w:val="000000"/>
                <w:sz w:val="20"/>
              </w:rPr>
            </w:pPr>
            <w:r>
              <w:rPr>
                <w:rFonts w:ascii="Arial Narrow" w:hAnsi="Arial Narrow" w:cs="Calibri"/>
                <w:color w:val="000000"/>
                <w:sz w:val="20"/>
              </w:rPr>
              <w:t>10.164,00</w:t>
            </w:r>
          </w:p>
        </w:tc>
        <w:tc>
          <w:tcPr>
            <w:tcW w:w="819" w:type="pct"/>
            <w:tcBorders>
              <w:top w:val="nil"/>
              <w:left w:val="nil"/>
              <w:bottom w:val="nil"/>
              <w:right w:val="nil"/>
            </w:tcBorders>
            <w:shd w:val="clear" w:color="000000" w:fill="FFFFFF"/>
            <w:vAlign w:val="center"/>
          </w:tcPr>
          <w:p w14:paraId="3FD2E496" w14:textId="77777777" w:rsidR="003E21A8" w:rsidRDefault="003E21A8" w:rsidP="00902C57">
            <w:pPr>
              <w:jc w:val="right"/>
              <w:rPr>
                <w:rFonts w:ascii="Arial Narrow" w:hAnsi="Arial Narrow" w:cs="Calibri"/>
                <w:color w:val="000000"/>
                <w:sz w:val="20"/>
              </w:rPr>
            </w:pPr>
            <w:r w:rsidRPr="00D232FC">
              <w:rPr>
                <w:rFonts w:ascii="Arial Narrow" w:hAnsi="Arial Narrow" w:cs="Calibri"/>
                <w:color w:val="000000"/>
                <w:sz w:val="20"/>
              </w:rPr>
              <w:t>10.164,00</w:t>
            </w:r>
          </w:p>
        </w:tc>
      </w:tr>
      <w:tr w:rsidR="003E21A8" w:rsidRPr="00DE4D7B" w14:paraId="74C9699F" w14:textId="77777777" w:rsidTr="003E21A8">
        <w:trPr>
          <w:trHeight w:val="243"/>
          <w:jc w:val="center"/>
        </w:trPr>
        <w:tc>
          <w:tcPr>
            <w:tcW w:w="771" w:type="pct"/>
            <w:tcBorders>
              <w:top w:val="nil"/>
              <w:left w:val="nil"/>
              <w:bottom w:val="nil"/>
              <w:right w:val="nil"/>
            </w:tcBorders>
            <w:shd w:val="clear" w:color="000000" w:fill="FFFFFF"/>
            <w:vAlign w:val="center"/>
            <w:hideMark/>
          </w:tcPr>
          <w:p w14:paraId="1FF41AB1" w14:textId="77777777" w:rsidR="003E21A8" w:rsidRPr="00DE4D7B" w:rsidRDefault="003E21A8" w:rsidP="00902C57">
            <w:pPr>
              <w:keepNext/>
              <w:keepLines/>
              <w:rPr>
                <w:rFonts w:ascii="Arial Narrow" w:hAnsi="Arial Narrow"/>
                <w:sz w:val="20"/>
                <w:lang w:eastAsia="es-ES"/>
              </w:rPr>
            </w:pPr>
            <w:r w:rsidRPr="00DE4D7B">
              <w:rPr>
                <w:rFonts w:ascii="Arial Narrow" w:hAnsi="Arial Narrow"/>
                <w:sz w:val="20"/>
                <w:lang w:eastAsia="es-ES"/>
              </w:rPr>
              <w:t>Aplicaciones</w:t>
            </w:r>
          </w:p>
        </w:tc>
        <w:tc>
          <w:tcPr>
            <w:tcW w:w="832" w:type="pct"/>
            <w:tcBorders>
              <w:top w:val="nil"/>
              <w:left w:val="nil"/>
              <w:bottom w:val="nil"/>
              <w:right w:val="nil"/>
            </w:tcBorders>
            <w:shd w:val="clear" w:color="000000" w:fill="FFFFFF"/>
            <w:vAlign w:val="center"/>
          </w:tcPr>
          <w:p w14:paraId="72B0BC1C" w14:textId="77777777" w:rsidR="003E21A8" w:rsidRDefault="003E21A8" w:rsidP="00902C57">
            <w:pPr>
              <w:jc w:val="right"/>
              <w:rPr>
                <w:rFonts w:ascii="Arial Narrow" w:hAnsi="Arial Narrow" w:cs="Calibri"/>
                <w:color w:val="000000"/>
                <w:sz w:val="20"/>
              </w:rPr>
            </w:pPr>
            <w:r>
              <w:rPr>
                <w:rFonts w:ascii="Arial Narrow" w:hAnsi="Arial Narrow" w:cs="Calibri"/>
                <w:color w:val="000000"/>
                <w:sz w:val="20"/>
              </w:rPr>
              <w:t> </w:t>
            </w:r>
          </w:p>
        </w:tc>
        <w:tc>
          <w:tcPr>
            <w:tcW w:w="1067" w:type="pct"/>
            <w:tcBorders>
              <w:top w:val="nil"/>
              <w:left w:val="nil"/>
              <w:bottom w:val="nil"/>
              <w:right w:val="nil"/>
            </w:tcBorders>
            <w:shd w:val="clear" w:color="000000" w:fill="FFFFFF"/>
            <w:vAlign w:val="center"/>
          </w:tcPr>
          <w:p w14:paraId="012D66C7" w14:textId="77777777" w:rsidR="003E21A8" w:rsidRDefault="003E21A8" w:rsidP="00902C57">
            <w:pPr>
              <w:jc w:val="right"/>
              <w:rPr>
                <w:rFonts w:ascii="Arial Narrow" w:hAnsi="Arial Narrow" w:cs="Calibri"/>
                <w:color w:val="000000"/>
                <w:sz w:val="20"/>
              </w:rPr>
            </w:pPr>
            <w:r>
              <w:rPr>
                <w:rFonts w:ascii="Arial Narrow" w:hAnsi="Arial Narrow" w:cs="Calibri"/>
                <w:color w:val="000000"/>
                <w:sz w:val="20"/>
              </w:rPr>
              <w:t> </w:t>
            </w:r>
          </w:p>
        </w:tc>
        <w:tc>
          <w:tcPr>
            <w:tcW w:w="757" w:type="pct"/>
            <w:tcBorders>
              <w:top w:val="nil"/>
              <w:left w:val="nil"/>
              <w:bottom w:val="nil"/>
              <w:right w:val="nil"/>
            </w:tcBorders>
            <w:shd w:val="clear" w:color="000000" w:fill="FFFFFF"/>
            <w:vAlign w:val="center"/>
          </w:tcPr>
          <w:p w14:paraId="51D55AB1" w14:textId="77777777" w:rsidR="003E21A8" w:rsidRDefault="003E21A8" w:rsidP="00902C57">
            <w:pPr>
              <w:jc w:val="right"/>
              <w:rPr>
                <w:rFonts w:ascii="Arial Narrow" w:hAnsi="Arial Narrow" w:cs="Calibri"/>
                <w:color w:val="000000"/>
                <w:sz w:val="20"/>
              </w:rPr>
            </w:pPr>
            <w:r>
              <w:rPr>
                <w:rFonts w:ascii="Arial Narrow" w:hAnsi="Arial Narrow" w:cs="Calibri"/>
                <w:sz w:val="20"/>
              </w:rPr>
              <w:t xml:space="preserve">142.726,55 </w:t>
            </w:r>
          </w:p>
        </w:tc>
        <w:tc>
          <w:tcPr>
            <w:tcW w:w="754" w:type="pct"/>
            <w:tcBorders>
              <w:top w:val="nil"/>
              <w:left w:val="nil"/>
              <w:bottom w:val="nil"/>
              <w:right w:val="nil"/>
            </w:tcBorders>
            <w:shd w:val="clear" w:color="000000" w:fill="FFFFFF"/>
            <w:vAlign w:val="center"/>
          </w:tcPr>
          <w:p w14:paraId="01050F12" w14:textId="77777777" w:rsidR="003E21A8" w:rsidRDefault="003E21A8" w:rsidP="00902C57">
            <w:pPr>
              <w:jc w:val="right"/>
              <w:rPr>
                <w:rFonts w:ascii="Arial Narrow" w:hAnsi="Arial Narrow" w:cs="Calibri"/>
                <w:color w:val="000000"/>
                <w:sz w:val="20"/>
              </w:rPr>
            </w:pPr>
            <w:r>
              <w:rPr>
                <w:rFonts w:ascii="Arial Narrow" w:hAnsi="Arial Narrow" w:cs="Calibri"/>
                <w:color w:val="000000"/>
                <w:sz w:val="20"/>
              </w:rPr>
              <w:t> </w:t>
            </w:r>
          </w:p>
        </w:tc>
        <w:tc>
          <w:tcPr>
            <w:tcW w:w="819" w:type="pct"/>
            <w:tcBorders>
              <w:top w:val="nil"/>
              <w:left w:val="nil"/>
              <w:bottom w:val="nil"/>
              <w:right w:val="nil"/>
            </w:tcBorders>
            <w:shd w:val="clear" w:color="000000" w:fill="FFFFFF"/>
            <w:vAlign w:val="center"/>
          </w:tcPr>
          <w:p w14:paraId="3A1FE60E" w14:textId="77777777" w:rsidR="003E21A8" w:rsidRDefault="003E21A8" w:rsidP="00902C57">
            <w:pPr>
              <w:jc w:val="right"/>
              <w:rPr>
                <w:rFonts w:ascii="Arial Narrow" w:hAnsi="Arial Narrow" w:cs="Calibri"/>
                <w:color w:val="000000"/>
                <w:sz w:val="20"/>
              </w:rPr>
            </w:pPr>
            <w:r w:rsidRPr="00D232FC">
              <w:rPr>
                <w:rFonts w:ascii="Arial Narrow" w:hAnsi="Arial Narrow" w:cs="Calibri"/>
                <w:sz w:val="20"/>
              </w:rPr>
              <w:t>142.726,55</w:t>
            </w:r>
          </w:p>
        </w:tc>
      </w:tr>
      <w:tr w:rsidR="003E21A8" w:rsidRPr="00DE4D7B" w14:paraId="76DB427D" w14:textId="77777777" w:rsidTr="003E21A8">
        <w:trPr>
          <w:trHeight w:val="243"/>
          <w:jc w:val="center"/>
        </w:trPr>
        <w:tc>
          <w:tcPr>
            <w:tcW w:w="771" w:type="pct"/>
            <w:tcBorders>
              <w:top w:val="nil"/>
              <w:left w:val="nil"/>
              <w:bottom w:val="nil"/>
              <w:right w:val="nil"/>
            </w:tcBorders>
            <w:shd w:val="clear" w:color="000000" w:fill="F2F2F2"/>
            <w:vAlign w:val="center"/>
            <w:hideMark/>
          </w:tcPr>
          <w:p w14:paraId="6DE5E974" w14:textId="77777777" w:rsidR="003E21A8" w:rsidRPr="00DE4D7B" w:rsidRDefault="003E21A8" w:rsidP="00902C57">
            <w:pPr>
              <w:keepNext/>
              <w:keepLines/>
              <w:rPr>
                <w:rFonts w:ascii="Arial Narrow" w:hAnsi="Arial Narrow"/>
                <w:b/>
                <w:bCs/>
                <w:sz w:val="20"/>
                <w:lang w:eastAsia="es-ES"/>
              </w:rPr>
            </w:pPr>
            <w:r w:rsidRPr="00DE4D7B">
              <w:rPr>
                <w:rFonts w:ascii="Arial Narrow" w:hAnsi="Arial Narrow"/>
                <w:b/>
                <w:bCs/>
                <w:sz w:val="20"/>
                <w:lang w:eastAsia="es-ES"/>
              </w:rPr>
              <w:t>Saldo final</w:t>
            </w:r>
          </w:p>
        </w:tc>
        <w:tc>
          <w:tcPr>
            <w:tcW w:w="832" w:type="pct"/>
            <w:tcBorders>
              <w:top w:val="nil"/>
              <w:left w:val="nil"/>
              <w:bottom w:val="nil"/>
              <w:right w:val="nil"/>
            </w:tcBorders>
            <w:shd w:val="clear" w:color="000000" w:fill="F2F2F2"/>
            <w:vAlign w:val="center"/>
          </w:tcPr>
          <w:p w14:paraId="2839E82D"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154.024,55</w:t>
            </w:r>
          </w:p>
        </w:tc>
        <w:tc>
          <w:tcPr>
            <w:tcW w:w="1067" w:type="pct"/>
            <w:tcBorders>
              <w:top w:val="nil"/>
              <w:left w:val="nil"/>
              <w:bottom w:val="nil"/>
              <w:right w:val="nil"/>
            </w:tcBorders>
            <w:shd w:val="clear" w:color="000000" w:fill="F2F2F2"/>
            <w:vAlign w:val="center"/>
          </w:tcPr>
          <w:p w14:paraId="508CC284"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57.833,38</w:t>
            </w:r>
          </w:p>
        </w:tc>
        <w:tc>
          <w:tcPr>
            <w:tcW w:w="757" w:type="pct"/>
            <w:tcBorders>
              <w:top w:val="nil"/>
              <w:left w:val="nil"/>
              <w:bottom w:val="nil"/>
              <w:right w:val="nil"/>
            </w:tcBorders>
            <w:shd w:val="clear" w:color="000000" w:fill="F2F2F2"/>
            <w:vAlign w:val="center"/>
          </w:tcPr>
          <w:p w14:paraId="34D835DC"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 xml:space="preserve">21.894,21 </w:t>
            </w:r>
          </w:p>
        </w:tc>
        <w:tc>
          <w:tcPr>
            <w:tcW w:w="754" w:type="pct"/>
            <w:tcBorders>
              <w:top w:val="nil"/>
              <w:left w:val="nil"/>
              <w:bottom w:val="nil"/>
              <w:right w:val="nil"/>
            </w:tcBorders>
            <w:shd w:val="clear" w:color="000000" w:fill="F2F2F2"/>
            <w:vAlign w:val="center"/>
          </w:tcPr>
          <w:p w14:paraId="65970C3D"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10.164,00</w:t>
            </w:r>
          </w:p>
        </w:tc>
        <w:tc>
          <w:tcPr>
            <w:tcW w:w="819" w:type="pct"/>
            <w:tcBorders>
              <w:top w:val="nil"/>
              <w:left w:val="nil"/>
              <w:bottom w:val="nil"/>
              <w:right w:val="nil"/>
            </w:tcBorders>
            <w:shd w:val="clear" w:color="000000" w:fill="F2F2F2"/>
            <w:vAlign w:val="center"/>
          </w:tcPr>
          <w:p w14:paraId="6EBD7FC3" w14:textId="77777777" w:rsidR="003E21A8" w:rsidRDefault="003E21A8" w:rsidP="00902C57">
            <w:pPr>
              <w:jc w:val="right"/>
              <w:rPr>
                <w:rFonts w:ascii="Arial Narrow" w:hAnsi="Arial Narrow" w:cs="Calibri"/>
                <w:b/>
                <w:bCs/>
                <w:color w:val="000000"/>
                <w:sz w:val="20"/>
              </w:rPr>
            </w:pPr>
            <w:r>
              <w:rPr>
                <w:rFonts w:ascii="Arial Narrow" w:hAnsi="Arial Narrow" w:cs="Calibri"/>
                <w:b/>
                <w:bCs/>
                <w:sz w:val="20"/>
              </w:rPr>
              <w:t>243.916,14</w:t>
            </w:r>
          </w:p>
        </w:tc>
      </w:tr>
    </w:tbl>
    <w:p w14:paraId="22B9A3C6" w14:textId="77777777" w:rsidR="00034620" w:rsidRDefault="00034620" w:rsidP="0097400B">
      <w:pPr>
        <w:spacing w:before="120" w:after="120"/>
        <w:jc w:val="both"/>
        <w:rPr>
          <w:rFonts w:ascii="Arial Narrow" w:hAnsi="Arial Narrow" w:cs="Arial"/>
          <w:sz w:val="24"/>
          <w:szCs w:val="24"/>
        </w:rPr>
      </w:pPr>
    </w:p>
    <w:p w14:paraId="61587E52" w14:textId="19A2947A" w:rsidR="00C91E70" w:rsidRDefault="0097400B" w:rsidP="0097400B">
      <w:pPr>
        <w:spacing w:before="120" w:after="120"/>
        <w:jc w:val="both"/>
        <w:rPr>
          <w:rFonts w:ascii="Arial Narrow" w:hAnsi="Arial Narrow" w:cs="Arial"/>
          <w:sz w:val="24"/>
          <w:szCs w:val="24"/>
        </w:rPr>
      </w:pPr>
      <w:r w:rsidRPr="000D0B3F">
        <w:rPr>
          <w:rFonts w:ascii="Arial Narrow" w:hAnsi="Arial Narrow" w:cs="Arial"/>
          <w:sz w:val="24"/>
          <w:szCs w:val="24"/>
        </w:rPr>
        <w:t xml:space="preserve">Los movimientos habidos en las provisiones reconocidas en el </w:t>
      </w:r>
      <w:r w:rsidRPr="00F03625">
        <w:rPr>
          <w:rFonts w:ascii="Arial Narrow" w:hAnsi="Arial Narrow" w:cs="Arial"/>
          <w:sz w:val="24"/>
          <w:szCs w:val="24"/>
        </w:rPr>
        <w:t>balance al 31 de diciembre de 201</w:t>
      </w:r>
      <w:r>
        <w:rPr>
          <w:rFonts w:ascii="Arial Narrow" w:hAnsi="Arial Narrow" w:cs="Arial"/>
          <w:sz w:val="24"/>
          <w:szCs w:val="24"/>
        </w:rPr>
        <w:t>8</w:t>
      </w:r>
      <w:r w:rsidRPr="00F03625">
        <w:rPr>
          <w:rFonts w:ascii="Arial Narrow" w:hAnsi="Arial Narrow" w:cs="Arial"/>
          <w:sz w:val="24"/>
          <w:szCs w:val="24"/>
        </w:rPr>
        <w:t xml:space="preserve"> fueron los siguientes:</w:t>
      </w:r>
    </w:p>
    <w:p w14:paraId="7C296029" w14:textId="77777777" w:rsidR="00034620" w:rsidRDefault="00034620" w:rsidP="0097400B">
      <w:pPr>
        <w:spacing w:before="120" w:after="120"/>
        <w:jc w:val="both"/>
        <w:rPr>
          <w:rFonts w:ascii="Arial Narrow" w:hAnsi="Arial Narrow" w:cs="Arial"/>
          <w:sz w:val="24"/>
          <w:szCs w:val="24"/>
        </w:rPr>
      </w:pPr>
    </w:p>
    <w:tbl>
      <w:tblPr>
        <w:tblW w:w="9306" w:type="dxa"/>
        <w:jc w:val="center"/>
        <w:tblLayout w:type="fixed"/>
        <w:tblCellMar>
          <w:left w:w="70" w:type="dxa"/>
          <w:right w:w="70" w:type="dxa"/>
        </w:tblCellMar>
        <w:tblLook w:val="04A0" w:firstRow="1" w:lastRow="0" w:firstColumn="1" w:lastColumn="0" w:noHBand="0" w:noVBand="1"/>
      </w:tblPr>
      <w:tblGrid>
        <w:gridCol w:w="1203"/>
        <w:gridCol w:w="1142"/>
        <w:gridCol w:w="1493"/>
        <w:gridCol w:w="1597"/>
        <w:gridCol w:w="1089"/>
        <w:gridCol w:w="1176"/>
        <w:gridCol w:w="1606"/>
      </w:tblGrid>
      <w:tr w:rsidR="0097400B" w:rsidRPr="00DE4D7B" w14:paraId="72D266C5" w14:textId="77777777" w:rsidTr="00A53079">
        <w:trPr>
          <w:trHeight w:val="390"/>
          <w:jc w:val="center"/>
        </w:trPr>
        <w:tc>
          <w:tcPr>
            <w:tcW w:w="646" w:type="pct"/>
            <w:tcBorders>
              <w:top w:val="nil"/>
              <w:left w:val="nil"/>
              <w:bottom w:val="nil"/>
              <w:right w:val="nil"/>
            </w:tcBorders>
            <w:shd w:val="clear" w:color="auto" w:fill="D9D9D9" w:themeFill="background1" w:themeFillShade="D9"/>
            <w:vAlign w:val="center"/>
            <w:hideMark/>
          </w:tcPr>
          <w:p w14:paraId="1AF30A26" w14:textId="77777777" w:rsidR="0097400B" w:rsidRPr="000D0B3F" w:rsidRDefault="0097400B" w:rsidP="000851CF">
            <w:pPr>
              <w:keepNext/>
              <w:keepLines/>
              <w:jc w:val="center"/>
              <w:rPr>
                <w:rFonts w:ascii="Arial Narrow" w:hAnsi="Arial Narrow"/>
                <w:sz w:val="20"/>
                <w:lang w:eastAsia="es-ES"/>
              </w:rPr>
            </w:pPr>
          </w:p>
        </w:tc>
        <w:tc>
          <w:tcPr>
            <w:tcW w:w="613" w:type="pct"/>
            <w:tcBorders>
              <w:top w:val="nil"/>
              <w:left w:val="nil"/>
              <w:bottom w:val="nil"/>
              <w:right w:val="nil"/>
            </w:tcBorders>
            <w:shd w:val="clear" w:color="auto" w:fill="D9D9D9" w:themeFill="background1" w:themeFillShade="D9"/>
            <w:vAlign w:val="center"/>
            <w:hideMark/>
          </w:tcPr>
          <w:p w14:paraId="78D91F08" w14:textId="77777777" w:rsidR="0097400B" w:rsidRPr="00DE4D7B" w:rsidRDefault="0097400B" w:rsidP="000851CF">
            <w:pPr>
              <w:keepNext/>
              <w:keepLines/>
              <w:jc w:val="center"/>
              <w:rPr>
                <w:rFonts w:ascii="Arial Narrow" w:hAnsi="Arial Narrow"/>
                <w:b/>
                <w:bCs/>
                <w:sz w:val="20"/>
                <w:lang w:eastAsia="es-ES"/>
              </w:rPr>
            </w:pPr>
            <w:r w:rsidRPr="00DE4D7B">
              <w:rPr>
                <w:rFonts w:ascii="Arial Narrow" w:hAnsi="Arial Narrow"/>
                <w:b/>
                <w:bCs/>
                <w:sz w:val="20"/>
                <w:lang w:eastAsia="es-ES"/>
              </w:rPr>
              <w:t>Interés</w:t>
            </w:r>
          </w:p>
          <w:p w14:paraId="3C885DD5" w14:textId="77777777" w:rsidR="0097400B" w:rsidRPr="00DE4D7B" w:rsidRDefault="0097400B" w:rsidP="000851CF">
            <w:pPr>
              <w:keepNext/>
              <w:keepLines/>
              <w:jc w:val="center"/>
              <w:rPr>
                <w:rFonts w:ascii="Arial Narrow" w:hAnsi="Arial Narrow"/>
                <w:b/>
                <w:bCs/>
                <w:sz w:val="20"/>
                <w:lang w:eastAsia="es-ES"/>
              </w:rPr>
            </w:pPr>
            <w:r w:rsidRPr="00DE4D7B">
              <w:rPr>
                <w:rFonts w:ascii="Arial Narrow" w:hAnsi="Arial Narrow"/>
                <w:b/>
                <w:bCs/>
                <w:sz w:val="20"/>
                <w:lang w:eastAsia="es-ES"/>
              </w:rPr>
              <w:t>reintegro Encomiendas</w:t>
            </w:r>
          </w:p>
        </w:tc>
        <w:tc>
          <w:tcPr>
            <w:tcW w:w="802" w:type="pct"/>
            <w:tcBorders>
              <w:top w:val="nil"/>
              <w:left w:val="nil"/>
              <w:bottom w:val="nil"/>
              <w:right w:val="nil"/>
            </w:tcBorders>
            <w:shd w:val="clear" w:color="auto" w:fill="D9D9D9" w:themeFill="background1" w:themeFillShade="D9"/>
            <w:vAlign w:val="center"/>
            <w:hideMark/>
          </w:tcPr>
          <w:p w14:paraId="56848BD2" w14:textId="77777777" w:rsidR="0097400B" w:rsidRPr="00DE4D7B" w:rsidRDefault="0097400B" w:rsidP="000851CF">
            <w:pPr>
              <w:keepNext/>
              <w:keepLines/>
              <w:jc w:val="center"/>
              <w:rPr>
                <w:rFonts w:ascii="Arial Narrow" w:hAnsi="Arial Narrow"/>
                <w:b/>
                <w:bCs/>
                <w:sz w:val="20"/>
                <w:lang w:eastAsia="es-ES"/>
              </w:rPr>
            </w:pPr>
            <w:r w:rsidRPr="00DE4D7B">
              <w:rPr>
                <w:rFonts w:ascii="Arial Narrow" w:hAnsi="Arial Narrow"/>
                <w:b/>
                <w:bCs/>
                <w:sz w:val="20"/>
                <w:lang w:eastAsia="es-ES"/>
              </w:rPr>
              <w:t>Costes desmantelamiento</w:t>
            </w:r>
          </w:p>
          <w:p w14:paraId="35F4D028" w14:textId="77777777" w:rsidR="0097400B" w:rsidRPr="00DE4D7B" w:rsidRDefault="0097400B" w:rsidP="000851CF">
            <w:pPr>
              <w:keepNext/>
              <w:keepLines/>
              <w:jc w:val="center"/>
              <w:rPr>
                <w:rFonts w:ascii="Arial Narrow" w:hAnsi="Arial Narrow"/>
                <w:b/>
                <w:bCs/>
                <w:sz w:val="20"/>
                <w:lang w:eastAsia="es-ES"/>
              </w:rPr>
            </w:pPr>
            <w:r w:rsidRPr="00DE4D7B">
              <w:rPr>
                <w:rFonts w:ascii="Arial Narrow" w:hAnsi="Arial Narrow"/>
                <w:b/>
                <w:bCs/>
                <w:sz w:val="20"/>
                <w:lang w:eastAsia="es-ES"/>
              </w:rPr>
              <w:t>de activos</w:t>
            </w:r>
          </w:p>
        </w:tc>
        <w:tc>
          <w:tcPr>
            <w:tcW w:w="858" w:type="pct"/>
            <w:tcBorders>
              <w:top w:val="nil"/>
              <w:left w:val="nil"/>
              <w:bottom w:val="nil"/>
              <w:right w:val="nil"/>
            </w:tcBorders>
            <w:shd w:val="clear" w:color="auto" w:fill="D9D9D9" w:themeFill="background1" w:themeFillShade="D9"/>
            <w:vAlign w:val="center"/>
          </w:tcPr>
          <w:p w14:paraId="0BE25258" w14:textId="77777777" w:rsidR="0097400B" w:rsidRPr="00DE4D7B" w:rsidRDefault="0097400B" w:rsidP="000851CF">
            <w:pPr>
              <w:keepNext/>
              <w:keepLines/>
              <w:jc w:val="center"/>
              <w:rPr>
                <w:rFonts w:ascii="Arial Narrow" w:hAnsi="Arial Narrow"/>
                <w:b/>
                <w:bCs/>
                <w:sz w:val="20"/>
                <w:lang w:eastAsia="es-ES"/>
              </w:rPr>
            </w:pPr>
            <w:proofErr w:type="spellStart"/>
            <w:r w:rsidRPr="00DE4D7B">
              <w:rPr>
                <w:rFonts w:ascii="Arial Narrow" w:hAnsi="Arial Narrow"/>
                <w:b/>
                <w:bCs/>
                <w:sz w:val="20"/>
                <w:lang w:eastAsia="es-ES"/>
              </w:rPr>
              <w:t>Reclamac</w:t>
            </w:r>
            <w:proofErr w:type="spellEnd"/>
            <w:r w:rsidRPr="00DE4D7B">
              <w:rPr>
                <w:rFonts w:ascii="Arial Narrow" w:hAnsi="Arial Narrow"/>
                <w:b/>
                <w:bCs/>
                <w:sz w:val="20"/>
                <w:lang w:eastAsia="es-ES"/>
              </w:rPr>
              <w:t>. Paga extra 2012</w:t>
            </w:r>
          </w:p>
        </w:tc>
        <w:tc>
          <w:tcPr>
            <w:tcW w:w="585" w:type="pct"/>
            <w:tcBorders>
              <w:top w:val="nil"/>
              <w:left w:val="nil"/>
              <w:bottom w:val="nil"/>
              <w:right w:val="nil"/>
            </w:tcBorders>
            <w:shd w:val="clear" w:color="auto" w:fill="D9D9D9" w:themeFill="background1" w:themeFillShade="D9"/>
          </w:tcPr>
          <w:p w14:paraId="047DBC36" w14:textId="77777777" w:rsidR="0097400B" w:rsidRPr="00850B72" w:rsidRDefault="003373CD" w:rsidP="003373CD">
            <w:pPr>
              <w:keepNext/>
              <w:keepLines/>
              <w:jc w:val="center"/>
              <w:rPr>
                <w:rFonts w:ascii="Arial Narrow" w:hAnsi="Arial Narrow"/>
                <w:b/>
                <w:bCs/>
                <w:sz w:val="20"/>
                <w:lang w:eastAsia="es-ES"/>
              </w:rPr>
            </w:pPr>
            <w:r w:rsidRPr="00850B72">
              <w:rPr>
                <w:rFonts w:ascii="Arial Narrow" w:hAnsi="Arial Narrow"/>
                <w:b/>
                <w:bCs/>
                <w:sz w:val="20"/>
                <w:lang w:eastAsia="es-ES"/>
              </w:rPr>
              <w:t>Reclamaci</w:t>
            </w:r>
            <w:r>
              <w:rPr>
                <w:rFonts w:ascii="Arial Narrow" w:hAnsi="Arial Narrow"/>
                <w:b/>
                <w:bCs/>
                <w:sz w:val="20"/>
                <w:lang w:eastAsia="es-ES"/>
              </w:rPr>
              <w:t>ó</w:t>
            </w:r>
            <w:r w:rsidRPr="00850B72">
              <w:rPr>
                <w:rFonts w:ascii="Arial Narrow" w:hAnsi="Arial Narrow"/>
                <w:b/>
                <w:bCs/>
                <w:sz w:val="20"/>
                <w:lang w:eastAsia="es-ES"/>
              </w:rPr>
              <w:t xml:space="preserve">n </w:t>
            </w:r>
            <w:r w:rsidR="0097400B" w:rsidRPr="00850B72">
              <w:rPr>
                <w:rFonts w:ascii="Arial Narrow" w:hAnsi="Arial Narrow"/>
                <w:b/>
                <w:bCs/>
                <w:sz w:val="20"/>
                <w:lang w:eastAsia="es-ES"/>
              </w:rPr>
              <w:t>5%</w:t>
            </w:r>
          </w:p>
        </w:tc>
        <w:tc>
          <w:tcPr>
            <w:tcW w:w="632" w:type="pct"/>
            <w:tcBorders>
              <w:top w:val="nil"/>
              <w:left w:val="nil"/>
              <w:bottom w:val="nil"/>
              <w:right w:val="nil"/>
            </w:tcBorders>
            <w:shd w:val="clear" w:color="auto" w:fill="D9D9D9" w:themeFill="background1" w:themeFillShade="D9"/>
          </w:tcPr>
          <w:p w14:paraId="66AA069B" w14:textId="77777777" w:rsidR="0097400B" w:rsidRPr="00850B72" w:rsidRDefault="0097400B" w:rsidP="000851CF">
            <w:pPr>
              <w:keepNext/>
              <w:keepLines/>
              <w:jc w:val="center"/>
              <w:rPr>
                <w:rFonts w:ascii="Arial Narrow" w:hAnsi="Arial Narrow"/>
                <w:b/>
                <w:bCs/>
                <w:sz w:val="20"/>
                <w:lang w:eastAsia="es-ES"/>
              </w:rPr>
            </w:pPr>
            <w:proofErr w:type="spellStart"/>
            <w:r w:rsidRPr="00850B72">
              <w:rPr>
                <w:rFonts w:ascii="Arial Narrow" w:hAnsi="Arial Narrow"/>
                <w:b/>
                <w:bCs/>
                <w:sz w:val="20"/>
                <w:lang w:eastAsia="es-ES"/>
              </w:rPr>
              <w:t>Indemniz</w:t>
            </w:r>
            <w:proofErr w:type="spellEnd"/>
            <w:r w:rsidRPr="00850B72">
              <w:rPr>
                <w:rFonts w:ascii="Arial Narrow" w:hAnsi="Arial Narrow"/>
                <w:b/>
                <w:bCs/>
                <w:sz w:val="20"/>
                <w:lang w:eastAsia="es-ES"/>
              </w:rPr>
              <w:t xml:space="preserve">. </w:t>
            </w:r>
            <w:proofErr w:type="spellStart"/>
            <w:r w:rsidRPr="00850B72">
              <w:rPr>
                <w:rFonts w:ascii="Arial Narrow" w:hAnsi="Arial Narrow"/>
                <w:b/>
                <w:bCs/>
                <w:sz w:val="20"/>
                <w:lang w:eastAsia="es-ES"/>
              </w:rPr>
              <w:t>Pdtes</w:t>
            </w:r>
            <w:proofErr w:type="spellEnd"/>
            <w:r w:rsidRPr="00850B72">
              <w:rPr>
                <w:rFonts w:ascii="Arial Narrow" w:hAnsi="Arial Narrow"/>
                <w:b/>
                <w:bCs/>
                <w:sz w:val="20"/>
                <w:lang w:eastAsia="es-ES"/>
              </w:rPr>
              <w:t>. Juzgado</w:t>
            </w:r>
          </w:p>
        </w:tc>
        <w:tc>
          <w:tcPr>
            <w:tcW w:w="863" w:type="pct"/>
            <w:tcBorders>
              <w:top w:val="nil"/>
              <w:left w:val="nil"/>
              <w:bottom w:val="nil"/>
              <w:right w:val="nil"/>
            </w:tcBorders>
            <w:shd w:val="clear" w:color="auto" w:fill="D9D9D9" w:themeFill="background1" w:themeFillShade="D9"/>
            <w:vAlign w:val="center"/>
            <w:hideMark/>
          </w:tcPr>
          <w:p w14:paraId="23CC61D8" w14:textId="77777777" w:rsidR="0097400B" w:rsidRPr="00DE4D7B" w:rsidRDefault="0097400B" w:rsidP="000851CF">
            <w:pPr>
              <w:keepNext/>
              <w:keepLines/>
              <w:jc w:val="center"/>
              <w:rPr>
                <w:rFonts w:ascii="Arial Narrow" w:hAnsi="Arial Narrow"/>
                <w:b/>
                <w:bCs/>
                <w:sz w:val="20"/>
                <w:lang w:eastAsia="es-ES"/>
              </w:rPr>
            </w:pPr>
            <w:r w:rsidRPr="00DE4D7B">
              <w:rPr>
                <w:rFonts w:ascii="Arial Narrow" w:hAnsi="Arial Narrow"/>
                <w:b/>
                <w:bCs/>
                <w:sz w:val="20"/>
                <w:lang w:eastAsia="es-ES"/>
              </w:rPr>
              <w:t>Total</w:t>
            </w:r>
          </w:p>
        </w:tc>
      </w:tr>
      <w:tr w:rsidR="0097400B" w:rsidRPr="00DE4D7B" w14:paraId="1A720E56" w14:textId="77777777" w:rsidTr="00A53079">
        <w:trPr>
          <w:trHeight w:val="146"/>
          <w:jc w:val="center"/>
        </w:trPr>
        <w:tc>
          <w:tcPr>
            <w:tcW w:w="646" w:type="pct"/>
            <w:tcBorders>
              <w:top w:val="nil"/>
              <w:left w:val="nil"/>
              <w:bottom w:val="nil"/>
              <w:right w:val="nil"/>
            </w:tcBorders>
            <w:shd w:val="clear" w:color="000000" w:fill="FFFFFF"/>
            <w:vAlign w:val="bottom"/>
            <w:hideMark/>
          </w:tcPr>
          <w:p w14:paraId="0CBD8277" w14:textId="77777777" w:rsidR="0097400B" w:rsidRPr="00DE4D7B" w:rsidRDefault="0097400B" w:rsidP="000851CF">
            <w:pPr>
              <w:keepNext/>
              <w:keepLines/>
              <w:rPr>
                <w:rFonts w:ascii="Arial Narrow" w:hAnsi="Arial Narrow"/>
                <w:sz w:val="20"/>
                <w:lang w:eastAsia="es-ES"/>
              </w:rPr>
            </w:pPr>
          </w:p>
        </w:tc>
        <w:tc>
          <w:tcPr>
            <w:tcW w:w="613" w:type="pct"/>
            <w:tcBorders>
              <w:top w:val="nil"/>
              <w:left w:val="nil"/>
              <w:bottom w:val="nil"/>
              <w:right w:val="nil"/>
            </w:tcBorders>
            <w:shd w:val="clear" w:color="000000" w:fill="FFFFFF"/>
            <w:vAlign w:val="bottom"/>
            <w:hideMark/>
          </w:tcPr>
          <w:p w14:paraId="5D42BC1C" w14:textId="77777777" w:rsidR="0097400B" w:rsidRPr="00DE4D7B" w:rsidRDefault="0097400B" w:rsidP="000851CF">
            <w:pPr>
              <w:keepNext/>
              <w:keepLines/>
              <w:rPr>
                <w:rFonts w:ascii="Arial Narrow" w:hAnsi="Arial Narrow"/>
                <w:b/>
                <w:bCs/>
                <w:sz w:val="20"/>
                <w:lang w:eastAsia="es-ES"/>
              </w:rPr>
            </w:pPr>
          </w:p>
        </w:tc>
        <w:tc>
          <w:tcPr>
            <w:tcW w:w="802" w:type="pct"/>
            <w:tcBorders>
              <w:top w:val="nil"/>
              <w:left w:val="nil"/>
              <w:bottom w:val="nil"/>
              <w:right w:val="nil"/>
            </w:tcBorders>
            <w:shd w:val="clear" w:color="000000" w:fill="FFFFFF"/>
            <w:vAlign w:val="bottom"/>
            <w:hideMark/>
          </w:tcPr>
          <w:p w14:paraId="643776CE" w14:textId="77777777" w:rsidR="0097400B" w:rsidRPr="00DE4D7B" w:rsidRDefault="0097400B" w:rsidP="000851CF">
            <w:pPr>
              <w:keepNext/>
              <w:keepLines/>
              <w:rPr>
                <w:rFonts w:ascii="Arial Narrow" w:hAnsi="Arial Narrow"/>
                <w:b/>
                <w:bCs/>
                <w:sz w:val="20"/>
                <w:lang w:eastAsia="es-ES"/>
              </w:rPr>
            </w:pPr>
          </w:p>
        </w:tc>
        <w:tc>
          <w:tcPr>
            <w:tcW w:w="858" w:type="pct"/>
            <w:tcBorders>
              <w:top w:val="nil"/>
              <w:left w:val="nil"/>
              <w:bottom w:val="nil"/>
              <w:right w:val="nil"/>
            </w:tcBorders>
            <w:shd w:val="clear" w:color="000000" w:fill="FFFFFF"/>
          </w:tcPr>
          <w:p w14:paraId="3ED5A79C" w14:textId="77777777" w:rsidR="0097400B" w:rsidRPr="00DE4D7B" w:rsidRDefault="0097400B" w:rsidP="000851CF">
            <w:pPr>
              <w:keepNext/>
              <w:keepLines/>
              <w:rPr>
                <w:rFonts w:ascii="Arial Narrow" w:hAnsi="Arial Narrow"/>
                <w:b/>
                <w:bCs/>
                <w:sz w:val="20"/>
                <w:lang w:eastAsia="es-ES"/>
              </w:rPr>
            </w:pPr>
          </w:p>
        </w:tc>
        <w:tc>
          <w:tcPr>
            <w:tcW w:w="585" w:type="pct"/>
            <w:tcBorders>
              <w:top w:val="nil"/>
              <w:left w:val="nil"/>
              <w:bottom w:val="nil"/>
              <w:right w:val="nil"/>
            </w:tcBorders>
            <w:shd w:val="clear" w:color="000000" w:fill="FFFFFF"/>
          </w:tcPr>
          <w:p w14:paraId="258BDF4B" w14:textId="77777777" w:rsidR="0097400B" w:rsidRPr="00850B72" w:rsidRDefault="0097400B" w:rsidP="000851CF">
            <w:pPr>
              <w:keepNext/>
              <w:keepLines/>
              <w:rPr>
                <w:rFonts w:ascii="Arial Narrow" w:hAnsi="Arial Narrow"/>
                <w:b/>
                <w:bCs/>
                <w:sz w:val="20"/>
                <w:lang w:eastAsia="es-ES"/>
              </w:rPr>
            </w:pPr>
          </w:p>
        </w:tc>
        <w:tc>
          <w:tcPr>
            <w:tcW w:w="632" w:type="pct"/>
            <w:tcBorders>
              <w:top w:val="nil"/>
              <w:left w:val="nil"/>
              <w:bottom w:val="nil"/>
              <w:right w:val="nil"/>
            </w:tcBorders>
            <w:shd w:val="clear" w:color="000000" w:fill="FFFFFF"/>
          </w:tcPr>
          <w:p w14:paraId="02020F00" w14:textId="77777777" w:rsidR="0097400B" w:rsidRPr="00850B72" w:rsidRDefault="0097400B" w:rsidP="000851CF">
            <w:pPr>
              <w:keepNext/>
              <w:keepLines/>
              <w:rPr>
                <w:rFonts w:ascii="Arial Narrow" w:hAnsi="Arial Narrow"/>
                <w:b/>
                <w:bCs/>
                <w:sz w:val="20"/>
                <w:lang w:eastAsia="es-ES"/>
              </w:rPr>
            </w:pPr>
          </w:p>
        </w:tc>
        <w:tc>
          <w:tcPr>
            <w:tcW w:w="863" w:type="pct"/>
            <w:tcBorders>
              <w:top w:val="nil"/>
              <w:left w:val="nil"/>
              <w:bottom w:val="nil"/>
              <w:right w:val="nil"/>
            </w:tcBorders>
            <w:shd w:val="clear" w:color="000000" w:fill="FFFFFF"/>
            <w:vAlign w:val="bottom"/>
            <w:hideMark/>
          </w:tcPr>
          <w:p w14:paraId="240622CE" w14:textId="77777777" w:rsidR="0097400B" w:rsidRPr="00DE4D7B" w:rsidRDefault="0097400B" w:rsidP="000851CF">
            <w:pPr>
              <w:keepNext/>
              <w:keepLines/>
              <w:rPr>
                <w:rFonts w:ascii="Arial Narrow" w:hAnsi="Arial Narrow"/>
                <w:b/>
                <w:bCs/>
                <w:sz w:val="20"/>
                <w:lang w:eastAsia="es-ES"/>
              </w:rPr>
            </w:pPr>
          </w:p>
        </w:tc>
      </w:tr>
      <w:tr w:rsidR="0097400B" w:rsidRPr="00DE4D7B" w14:paraId="2DB63463" w14:textId="77777777" w:rsidTr="00A53079">
        <w:trPr>
          <w:trHeight w:val="234"/>
          <w:jc w:val="center"/>
        </w:trPr>
        <w:tc>
          <w:tcPr>
            <w:tcW w:w="646" w:type="pct"/>
            <w:tcBorders>
              <w:top w:val="nil"/>
              <w:left w:val="nil"/>
              <w:bottom w:val="nil"/>
              <w:right w:val="nil"/>
            </w:tcBorders>
            <w:shd w:val="clear" w:color="000000" w:fill="FFFFFF"/>
            <w:vAlign w:val="center"/>
            <w:hideMark/>
          </w:tcPr>
          <w:p w14:paraId="249CA706" w14:textId="77777777" w:rsidR="0097400B" w:rsidRPr="00DE4D7B" w:rsidRDefault="0097400B" w:rsidP="000851CF">
            <w:pPr>
              <w:keepNext/>
              <w:keepLines/>
              <w:rPr>
                <w:rFonts w:ascii="Arial Narrow" w:hAnsi="Arial Narrow"/>
                <w:b/>
                <w:bCs/>
                <w:sz w:val="20"/>
                <w:lang w:eastAsia="es-ES"/>
              </w:rPr>
            </w:pPr>
            <w:r w:rsidRPr="00DE4D7B">
              <w:rPr>
                <w:rFonts w:ascii="Arial Narrow" w:hAnsi="Arial Narrow"/>
                <w:b/>
                <w:bCs/>
                <w:sz w:val="20"/>
                <w:lang w:eastAsia="es-ES"/>
              </w:rPr>
              <w:t xml:space="preserve">Saldo inicial </w:t>
            </w:r>
          </w:p>
        </w:tc>
        <w:tc>
          <w:tcPr>
            <w:tcW w:w="613" w:type="pct"/>
            <w:tcBorders>
              <w:top w:val="nil"/>
              <w:left w:val="nil"/>
              <w:bottom w:val="nil"/>
              <w:right w:val="nil"/>
            </w:tcBorders>
            <w:shd w:val="clear" w:color="000000" w:fill="FFFFFF"/>
            <w:vAlign w:val="center"/>
            <w:hideMark/>
          </w:tcPr>
          <w:p w14:paraId="28C06A59" w14:textId="77777777" w:rsidR="0097400B" w:rsidRPr="00DE4D7B" w:rsidRDefault="0097400B" w:rsidP="000851CF">
            <w:pPr>
              <w:keepNext/>
              <w:keepLines/>
              <w:jc w:val="right"/>
              <w:rPr>
                <w:rFonts w:ascii="Arial Narrow" w:hAnsi="Arial Narrow"/>
                <w:b/>
                <w:bCs/>
                <w:sz w:val="20"/>
                <w:lang w:eastAsia="es-ES"/>
              </w:rPr>
            </w:pPr>
            <w:r w:rsidRPr="00DE4D7B">
              <w:rPr>
                <w:rFonts w:ascii="Arial Narrow" w:hAnsi="Arial Narrow"/>
                <w:b/>
                <w:bCs/>
                <w:sz w:val="20"/>
              </w:rPr>
              <w:t>154.024,55</w:t>
            </w:r>
          </w:p>
        </w:tc>
        <w:tc>
          <w:tcPr>
            <w:tcW w:w="802" w:type="pct"/>
            <w:tcBorders>
              <w:top w:val="nil"/>
              <w:left w:val="nil"/>
              <w:bottom w:val="nil"/>
              <w:right w:val="nil"/>
            </w:tcBorders>
            <w:shd w:val="clear" w:color="000000" w:fill="FFFFFF"/>
            <w:vAlign w:val="center"/>
            <w:hideMark/>
          </w:tcPr>
          <w:p w14:paraId="78BC91A6" w14:textId="77777777" w:rsidR="0097400B" w:rsidRPr="00DE4D7B" w:rsidRDefault="0097400B" w:rsidP="003F1AD4">
            <w:pPr>
              <w:keepNext/>
              <w:keepLines/>
              <w:jc w:val="right"/>
              <w:rPr>
                <w:rFonts w:ascii="Arial Narrow" w:hAnsi="Arial Narrow"/>
                <w:b/>
                <w:bCs/>
                <w:sz w:val="20"/>
                <w:lang w:eastAsia="es-ES"/>
              </w:rPr>
            </w:pPr>
            <w:r w:rsidRPr="00DE4D7B">
              <w:rPr>
                <w:rFonts w:ascii="Arial Narrow" w:hAnsi="Arial Narrow"/>
                <w:b/>
                <w:bCs/>
                <w:sz w:val="20"/>
              </w:rPr>
              <w:t>5</w:t>
            </w:r>
            <w:r w:rsidRPr="00850B72">
              <w:rPr>
                <w:rFonts w:ascii="Arial Narrow" w:hAnsi="Arial Narrow"/>
                <w:b/>
                <w:bCs/>
                <w:sz w:val="20"/>
              </w:rPr>
              <w:t>7.</w:t>
            </w:r>
            <w:r w:rsidR="003F1AD4">
              <w:rPr>
                <w:rFonts w:ascii="Arial Narrow" w:hAnsi="Arial Narrow"/>
                <w:b/>
                <w:bCs/>
                <w:sz w:val="20"/>
              </w:rPr>
              <w:t>833,38</w:t>
            </w:r>
          </w:p>
        </w:tc>
        <w:tc>
          <w:tcPr>
            <w:tcW w:w="858" w:type="pct"/>
            <w:tcBorders>
              <w:top w:val="nil"/>
              <w:left w:val="nil"/>
              <w:bottom w:val="nil"/>
              <w:right w:val="nil"/>
            </w:tcBorders>
            <w:shd w:val="clear" w:color="000000" w:fill="FFFFFF"/>
            <w:vAlign w:val="center"/>
          </w:tcPr>
          <w:p w14:paraId="752C8BC8" w14:textId="77777777" w:rsidR="0097400B" w:rsidRPr="00DE4D7B" w:rsidRDefault="0097400B" w:rsidP="000851CF">
            <w:pPr>
              <w:keepNext/>
              <w:keepLines/>
              <w:jc w:val="right"/>
              <w:rPr>
                <w:rFonts w:ascii="Arial Narrow" w:hAnsi="Arial Narrow"/>
                <w:b/>
                <w:bCs/>
                <w:sz w:val="20"/>
                <w:lang w:eastAsia="es-ES"/>
              </w:rPr>
            </w:pPr>
            <w:r>
              <w:rPr>
                <w:rFonts w:ascii="Arial Narrow" w:hAnsi="Arial Narrow"/>
                <w:b/>
                <w:bCs/>
                <w:sz w:val="20"/>
              </w:rPr>
              <w:t>2.990,92</w:t>
            </w:r>
          </w:p>
        </w:tc>
        <w:tc>
          <w:tcPr>
            <w:tcW w:w="585" w:type="pct"/>
            <w:tcBorders>
              <w:top w:val="nil"/>
              <w:left w:val="nil"/>
              <w:bottom w:val="nil"/>
              <w:right w:val="nil"/>
            </w:tcBorders>
            <w:shd w:val="clear" w:color="000000" w:fill="FFFFFF"/>
          </w:tcPr>
          <w:p w14:paraId="48FB68DF" w14:textId="77777777" w:rsidR="0097400B" w:rsidRPr="00850B72" w:rsidRDefault="0097400B" w:rsidP="000851CF">
            <w:pPr>
              <w:keepNext/>
              <w:keepLines/>
              <w:jc w:val="right"/>
              <w:rPr>
                <w:rFonts w:ascii="Arial Narrow" w:hAnsi="Arial Narrow"/>
                <w:b/>
                <w:bCs/>
                <w:sz w:val="20"/>
              </w:rPr>
            </w:pPr>
            <w:r>
              <w:rPr>
                <w:rFonts w:ascii="Arial Narrow" w:hAnsi="Arial Narrow"/>
                <w:b/>
                <w:bCs/>
                <w:sz w:val="20"/>
              </w:rPr>
              <w:t>390.686,81</w:t>
            </w:r>
          </w:p>
        </w:tc>
        <w:tc>
          <w:tcPr>
            <w:tcW w:w="632" w:type="pct"/>
            <w:tcBorders>
              <w:top w:val="nil"/>
              <w:left w:val="nil"/>
              <w:bottom w:val="nil"/>
              <w:right w:val="nil"/>
            </w:tcBorders>
            <w:shd w:val="clear" w:color="000000" w:fill="FFFFFF"/>
          </w:tcPr>
          <w:p w14:paraId="6FF31E88" w14:textId="77777777" w:rsidR="0097400B" w:rsidRPr="00850B72" w:rsidRDefault="0097400B" w:rsidP="000851CF">
            <w:pPr>
              <w:keepNext/>
              <w:keepLines/>
              <w:jc w:val="right"/>
              <w:rPr>
                <w:rFonts w:ascii="Arial Narrow" w:hAnsi="Arial Narrow"/>
                <w:b/>
                <w:bCs/>
                <w:sz w:val="20"/>
              </w:rPr>
            </w:pPr>
            <w:r>
              <w:rPr>
                <w:rFonts w:ascii="Arial Narrow" w:hAnsi="Arial Narrow"/>
                <w:b/>
                <w:bCs/>
                <w:sz w:val="20"/>
              </w:rPr>
              <w:t>61.253,57</w:t>
            </w:r>
          </w:p>
        </w:tc>
        <w:tc>
          <w:tcPr>
            <w:tcW w:w="863" w:type="pct"/>
            <w:tcBorders>
              <w:top w:val="nil"/>
              <w:left w:val="nil"/>
              <w:bottom w:val="nil"/>
              <w:right w:val="nil"/>
            </w:tcBorders>
            <w:shd w:val="clear" w:color="000000" w:fill="FFFFFF"/>
            <w:vAlign w:val="center"/>
            <w:hideMark/>
          </w:tcPr>
          <w:p w14:paraId="5CE73A58" w14:textId="77777777" w:rsidR="0097400B" w:rsidRPr="00DE4D7B" w:rsidRDefault="0097400B" w:rsidP="000851CF">
            <w:pPr>
              <w:keepNext/>
              <w:keepLines/>
              <w:jc w:val="right"/>
              <w:rPr>
                <w:rFonts w:ascii="Arial Narrow" w:hAnsi="Arial Narrow"/>
                <w:b/>
                <w:bCs/>
                <w:sz w:val="20"/>
                <w:lang w:eastAsia="es-ES"/>
              </w:rPr>
            </w:pPr>
            <w:r>
              <w:rPr>
                <w:rFonts w:ascii="Arial Narrow" w:hAnsi="Arial Narrow"/>
                <w:b/>
                <w:bCs/>
                <w:sz w:val="20"/>
              </w:rPr>
              <w:t>666.789,23</w:t>
            </w:r>
          </w:p>
        </w:tc>
      </w:tr>
      <w:tr w:rsidR="0097400B" w:rsidRPr="00DE4D7B" w14:paraId="24932B14" w14:textId="77777777" w:rsidTr="00A53079">
        <w:trPr>
          <w:trHeight w:val="234"/>
          <w:jc w:val="center"/>
        </w:trPr>
        <w:tc>
          <w:tcPr>
            <w:tcW w:w="646" w:type="pct"/>
            <w:tcBorders>
              <w:top w:val="nil"/>
              <w:left w:val="nil"/>
              <w:bottom w:val="nil"/>
              <w:right w:val="nil"/>
            </w:tcBorders>
            <w:shd w:val="clear" w:color="000000" w:fill="FFFFFF"/>
            <w:vAlign w:val="center"/>
            <w:hideMark/>
          </w:tcPr>
          <w:p w14:paraId="42047B74" w14:textId="77777777" w:rsidR="0097400B" w:rsidRPr="00DE4D7B" w:rsidRDefault="0097400B" w:rsidP="000851CF">
            <w:pPr>
              <w:keepNext/>
              <w:keepLines/>
              <w:rPr>
                <w:rFonts w:ascii="Arial Narrow" w:hAnsi="Arial Narrow"/>
                <w:sz w:val="20"/>
                <w:lang w:eastAsia="es-ES"/>
              </w:rPr>
            </w:pPr>
            <w:r w:rsidRPr="00DE4D7B">
              <w:rPr>
                <w:rFonts w:ascii="Arial Narrow" w:hAnsi="Arial Narrow"/>
                <w:sz w:val="20"/>
                <w:lang w:eastAsia="es-ES"/>
              </w:rPr>
              <w:t>Dotaciones</w:t>
            </w:r>
          </w:p>
        </w:tc>
        <w:tc>
          <w:tcPr>
            <w:tcW w:w="613" w:type="pct"/>
            <w:tcBorders>
              <w:top w:val="nil"/>
              <w:left w:val="nil"/>
              <w:bottom w:val="nil"/>
              <w:right w:val="nil"/>
            </w:tcBorders>
            <w:shd w:val="clear" w:color="000000" w:fill="FFFFFF"/>
            <w:vAlign w:val="center"/>
          </w:tcPr>
          <w:p w14:paraId="4100E18A" w14:textId="77777777" w:rsidR="0097400B" w:rsidRPr="00DE4D7B" w:rsidRDefault="0097400B" w:rsidP="000851CF">
            <w:pPr>
              <w:keepNext/>
              <w:keepLines/>
              <w:jc w:val="right"/>
              <w:rPr>
                <w:rFonts w:ascii="Arial Narrow" w:hAnsi="Arial Narrow"/>
                <w:sz w:val="20"/>
              </w:rPr>
            </w:pPr>
            <w:r w:rsidRPr="00850B72">
              <w:rPr>
                <w:rFonts w:ascii="Arial Narrow" w:hAnsi="Arial Narrow"/>
                <w:sz w:val="20"/>
              </w:rPr>
              <w:t>0,00</w:t>
            </w:r>
          </w:p>
        </w:tc>
        <w:tc>
          <w:tcPr>
            <w:tcW w:w="802" w:type="pct"/>
            <w:tcBorders>
              <w:top w:val="nil"/>
              <w:left w:val="nil"/>
              <w:bottom w:val="nil"/>
              <w:right w:val="nil"/>
            </w:tcBorders>
            <w:shd w:val="clear" w:color="000000" w:fill="FFFFFF"/>
            <w:vAlign w:val="center"/>
          </w:tcPr>
          <w:p w14:paraId="59D94126" w14:textId="77777777" w:rsidR="0097400B" w:rsidRPr="00DE4D7B" w:rsidRDefault="009F744E" w:rsidP="000851CF">
            <w:pPr>
              <w:keepNext/>
              <w:keepLines/>
              <w:jc w:val="right"/>
              <w:rPr>
                <w:rFonts w:ascii="Arial Narrow" w:hAnsi="Arial Narrow"/>
                <w:sz w:val="20"/>
              </w:rPr>
            </w:pPr>
            <w:r>
              <w:rPr>
                <w:rFonts w:ascii="Arial Narrow" w:hAnsi="Arial Narrow"/>
                <w:sz w:val="20"/>
              </w:rPr>
              <w:t>0,00</w:t>
            </w:r>
          </w:p>
        </w:tc>
        <w:tc>
          <w:tcPr>
            <w:tcW w:w="858" w:type="pct"/>
            <w:tcBorders>
              <w:top w:val="nil"/>
              <w:left w:val="nil"/>
              <w:bottom w:val="nil"/>
              <w:right w:val="nil"/>
            </w:tcBorders>
            <w:shd w:val="clear" w:color="000000" w:fill="FFFFFF"/>
            <w:vAlign w:val="center"/>
          </w:tcPr>
          <w:p w14:paraId="7EA53CB9" w14:textId="77777777" w:rsidR="0097400B" w:rsidRPr="00DE4D7B" w:rsidRDefault="004C51D6" w:rsidP="000851CF">
            <w:pPr>
              <w:keepNext/>
              <w:keepLines/>
              <w:jc w:val="right"/>
              <w:rPr>
                <w:rFonts w:ascii="Arial Narrow" w:hAnsi="Arial Narrow"/>
                <w:sz w:val="20"/>
                <w:lang w:eastAsia="es-ES"/>
              </w:rPr>
            </w:pPr>
            <w:r>
              <w:rPr>
                <w:rFonts w:ascii="Arial Narrow" w:hAnsi="Arial Narrow"/>
                <w:sz w:val="20"/>
                <w:lang w:eastAsia="es-ES"/>
              </w:rPr>
              <w:t>0,00</w:t>
            </w:r>
          </w:p>
        </w:tc>
        <w:tc>
          <w:tcPr>
            <w:tcW w:w="585" w:type="pct"/>
            <w:tcBorders>
              <w:top w:val="nil"/>
              <w:left w:val="nil"/>
              <w:bottom w:val="nil"/>
              <w:right w:val="nil"/>
            </w:tcBorders>
            <w:shd w:val="clear" w:color="000000" w:fill="FFFFFF"/>
          </w:tcPr>
          <w:p w14:paraId="241770F5" w14:textId="77777777" w:rsidR="0097400B" w:rsidRPr="00850B72" w:rsidRDefault="004C51D6" w:rsidP="003F1AD4">
            <w:pPr>
              <w:keepNext/>
              <w:keepLines/>
              <w:jc w:val="right"/>
              <w:rPr>
                <w:rFonts w:ascii="Arial Narrow" w:hAnsi="Arial Narrow"/>
                <w:sz w:val="20"/>
                <w:lang w:eastAsia="es-ES"/>
              </w:rPr>
            </w:pPr>
            <w:r>
              <w:rPr>
                <w:rFonts w:ascii="Arial Narrow" w:hAnsi="Arial Narrow"/>
                <w:sz w:val="20"/>
                <w:lang w:eastAsia="es-ES"/>
              </w:rPr>
              <w:t>0,00</w:t>
            </w:r>
          </w:p>
        </w:tc>
        <w:tc>
          <w:tcPr>
            <w:tcW w:w="632" w:type="pct"/>
            <w:tcBorders>
              <w:top w:val="nil"/>
              <w:left w:val="nil"/>
              <w:bottom w:val="nil"/>
              <w:right w:val="nil"/>
            </w:tcBorders>
            <w:shd w:val="clear" w:color="000000" w:fill="FFFFFF"/>
          </w:tcPr>
          <w:p w14:paraId="32552246" w14:textId="77777777" w:rsidR="0097400B" w:rsidRPr="00850B72" w:rsidRDefault="009F744E" w:rsidP="000851CF">
            <w:pPr>
              <w:keepNext/>
              <w:keepLines/>
              <w:jc w:val="right"/>
              <w:rPr>
                <w:rFonts w:ascii="Arial Narrow" w:hAnsi="Arial Narrow"/>
                <w:sz w:val="20"/>
                <w:lang w:eastAsia="es-ES"/>
              </w:rPr>
            </w:pPr>
            <w:r>
              <w:rPr>
                <w:rFonts w:ascii="Arial Narrow" w:hAnsi="Arial Narrow"/>
                <w:sz w:val="20"/>
                <w:lang w:eastAsia="es-ES"/>
              </w:rPr>
              <w:t>0,00</w:t>
            </w:r>
          </w:p>
        </w:tc>
        <w:tc>
          <w:tcPr>
            <w:tcW w:w="863" w:type="pct"/>
            <w:tcBorders>
              <w:top w:val="nil"/>
              <w:left w:val="nil"/>
              <w:bottom w:val="nil"/>
              <w:right w:val="nil"/>
            </w:tcBorders>
            <w:shd w:val="clear" w:color="000000" w:fill="FFFFFF"/>
            <w:vAlign w:val="center"/>
          </w:tcPr>
          <w:p w14:paraId="0710A4E9" w14:textId="77777777" w:rsidR="0097400B" w:rsidRPr="00DE4D7B" w:rsidRDefault="003F1AD4" w:rsidP="000851CF">
            <w:pPr>
              <w:keepNext/>
              <w:keepLines/>
              <w:jc w:val="right"/>
              <w:rPr>
                <w:rFonts w:ascii="Arial Narrow" w:hAnsi="Arial Narrow"/>
                <w:sz w:val="20"/>
                <w:lang w:eastAsia="es-ES"/>
              </w:rPr>
            </w:pPr>
            <w:r>
              <w:rPr>
                <w:rFonts w:ascii="Arial Narrow" w:hAnsi="Arial Narrow"/>
                <w:sz w:val="20"/>
                <w:lang w:eastAsia="es-ES"/>
              </w:rPr>
              <w:t>0,00</w:t>
            </w:r>
          </w:p>
        </w:tc>
      </w:tr>
      <w:tr w:rsidR="0097400B" w:rsidRPr="00DE4D7B" w14:paraId="60048938" w14:textId="77777777" w:rsidTr="00A53079">
        <w:trPr>
          <w:trHeight w:val="234"/>
          <w:jc w:val="center"/>
        </w:trPr>
        <w:tc>
          <w:tcPr>
            <w:tcW w:w="646" w:type="pct"/>
            <w:tcBorders>
              <w:top w:val="nil"/>
              <w:left w:val="nil"/>
              <w:bottom w:val="nil"/>
              <w:right w:val="nil"/>
            </w:tcBorders>
            <w:shd w:val="clear" w:color="000000" w:fill="FFFFFF"/>
            <w:vAlign w:val="center"/>
            <w:hideMark/>
          </w:tcPr>
          <w:p w14:paraId="3CE86D17" w14:textId="77777777" w:rsidR="0097400B" w:rsidRPr="00DE4D7B" w:rsidRDefault="0097400B" w:rsidP="000851CF">
            <w:pPr>
              <w:keepNext/>
              <w:keepLines/>
              <w:rPr>
                <w:rFonts w:ascii="Arial Narrow" w:hAnsi="Arial Narrow"/>
                <w:sz w:val="20"/>
                <w:lang w:eastAsia="es-ES"/>
              </w:rPr>
            </w:pPr>
            <w:r w:rsidRPr="00DE4D7B">
              <w:rPr>
                <w:rFonts w:ascii="Arial Narrow" w:hAnsi="Arial Narrow"/>
                <w:sz w:val="20"/>
                <w:lang w:eastAsia="es-ES"/>
              </w:rPr>
              <w:t>Aplicaciones</w:t>
            </w:r>
          </w:p>
        </w:tc>
        <w:tc>
          <w:tcPr>
            <w:tcW w:w="613" w:type="pct"/>
            <w:tcBorders>
              <w:top w:val="nil"/>
              <w:left w:val="nil"/>
              <w:bottom w:val="nil"/>
              <w:right w:val="nil"/>
            </w:tcBorders>
            <w:shd w:val="clear" w:color="000000" w:fill="FFFFFF"/>
            <w:vAlign w:val="center"/>
          </w:tcPr>
          <w:p w14:paraId="3BADE87E" w14:textId="77777777" w:rsidR="0097400B" w:rsidRPr="00DE4D7B" w:rsidRDefault="0097400B" w:rsidP="000851CF">
            <w:pPr>
              <w:pStyle w:val="Prrafodelista"/>
              <w:keepNext/>
              <w:keepLines/>
              <w:ind w:left="0"/>
              <w:jc w:val="right"/>
              <w:rPr>
                <w:rFonts w:ascii="Arial Narrow" w:hAnsi="Arial Narrow"/>
              </w:rPr>
            </w:pPr>
            <w:r w:rsidRPr="00850B72">
              <w:rPr>
                <w:rFonts w:ascii="Arial Narrow" w:hAnsi="Arial Narrow"/>
              </w:rPr>
              <w:t>0,00</w:t>
            </w:r>
          </w:p>
        </w:tc>
        <w:tc>
          <w:tcPr>
            <w:tcW w:w="802" w:type="pct"/>
            <w:tcBorders>
              <w:top w:val="nil"/>
              <w:left w:val="nil"/>
              <w:bottom w:val="nil"/>
              <w:right w:val="nil"/>
            </w:tcBorders>
            <w:shd w:val="clear" w:color="000000" w:fill="FFFFFF"/>
            <w:vAlign w:val="center"/>
          </w:tcPr>
          <w:p w14:paraId="19BCFB26" w14:textId="77777777" w:rsidR="0097400B" w:rsidRPr="00DE4D7B" w:rsidRDefault="009F744E" w:rsidP="000851CF">
            <w:pPr>
              <w:keepNext/>
              <w:keepLines/>
              <w:jc w:val="right"/>
              <w:rPr>
                <w:rFonts w:ascii="Arial Narrow" w:hAnsi="Arial Narrow"/>
                <w:sz w:val="20"/>
              </w:rPr>
            </w:pPr>
            <w:r>
              <w:rPr>
                <w:rFonts w:ascii="Arial Narrow" w:hAnsi="Arial Narrow"/>
                <w:sz w:val="20"/>
              </w:rPr>
              <w:t>0,00</w:t>
            </w:r>
          </w:p>
        </w:tc>
        <w:tc>
          <w:tcPr>
            <w:tcW w:w="858" w:type="pct"/>
            <w:tcBorders>
              <w:top w:val="nil"/>
              <w:left w:val="nil"/>
              <w:bottom w:val="nil"/>
              <w:right w:val="nil"/>
            </w:tcBorders>
            <w:shd w:val="clear" w:color="000000" w:fill="FFFFFF"/>
            <w:vAlign w:val="center"/>
          </w:tcPr>
          <w:p w14:paraId="01FB9E53" w14:textId="77777777" w:rsidR="0097400B" w:rsidRPr="00DE4D7B" w:rsidRDefault="003F1AD4" w:rsidP="000851CF">
            <w:pPr>
              <w:keepNext/>
              <w:keepLines/>
              <w:jc w:val="right"/>
              <w:rPr>
                <w:rFonts w:ascii="Arial Narrow" w:hAnsi="Arial Narrow"/>
                <w:sz w:val="20"/>
              </w:rPr>
            </w:pPr>
            <w:r>
              <w:rPr>
                <w:rFonts w:ascii="Arial Narrow" w:hAnsi="Arial Narrow"/>
                <w:sz w:val="20"/>
              </w:rPr>
              <w:t>2.990,92</w:t>
            </w:r>
          </w:p>
        </w:tc>
        <w:tc>
          <w:tcPr>
            <w:tcW w:w="585" w:type="pct"/>
            <w:tcBorders>
              <w:top w:val="nil"/>
              <w:left w:val="nil"/>
              <w:bottom w:val="nil"/>
              <w:right w:val="nil"/>
            </w:tcBorders>
            <w:shd w:val="clear" w:color="000000" w:fill="FFFFFF"/>
          </w:tcPr>
          <w:p w14:paraId="2CF58E80" w14:textId="77777777" w:rsidR="0097400B" w:rsidRPr="00850B72" w:rsidRDefault="004C51D6" w:rsidP="000851CF">
            <w:pPr>
              <w:keepNext/>
              <w:keepLines/>
              <w:jc w:val="right"/>
              <w:rPr>
                <w:rFonts w:ascii="Arial Narrow" w:hAnsi="Arial Narrow"/>
                <w:sz w:val="20"/>
              </w:rPr>
            </w:pPr>
            <w:r>
              <w:rPr>
                <w:rFonts w:ascii="Arial Narrow" w:hAnsi="Arial Narrow"/>
                <w:sz w:val="20"/>
              </w:rPr>
              <w:t>226.066,05</w:t>
            </w:r>
          </w:p>
        </w:tc>
        <w:tc>
          <w:tcPr>
            <w:tcW w:w="632" w:type="pct"/>
            <w:tcBorders>
              <w:top w:val="nil"/>
              <w:left w:val="nil"/>
              <w:bottom w:val="nil"/>
              <w:right w:val="nil"/>
            </w:tcBorders>
            <w:shd w:val="clear" w:color="000000" w:fill="FFFFFF"/>
          </w:tcPr>
          <w:p w14:paraId="63688EC1" w14:textId="77777777" w:rsidR="0097400B" w:rsidRPr="00850B72" w:rsidRDefault="003F1AD4" w:rsidP="000851CF">
            <w:pPr>
              <w:keepNext/>
              <w:keepLines/>
              <w:jc w:val="right"/>
              <w:rPr>
                <w:rFonts w:ascii="Arial Narrow" w:hAnsi="Arial Narrow"/>
                <w:sz w:val="20"/>
              </w:rPr>
            </w:pPr>
            <w:r>
              <w:rPr>
                <w:rFonts w:ascii="Arial Narrow" w:hAnsi="Arial Narrow"/>
                <w:sz w:val="20"/>
              </w:rPr>
              <w:t>61.253,57</w:t>
            </w:r>
          </w:p>
        </w:tc>
        <w:tc>
          <w:tcPr>
            <w:tcW w:w="863" w:type="pct"/>
            <w:tcBorders>
              <w:top w:val="nil"/>
              <w:left w:val="nil"/>
              <w:bottom w:val="nil"/>
              <w:right w:val="nil"/>
            </w:tcBorders>
            <w:shd w:val="clear" w:color="000000" w:fill="FFFFFF"/>
            <w:vAlign w:val="center"/>
          </w:tcPr>
          <w:p w14:paraId="3D39732E" w14:textId="77777777" w:rsidR="0097400B" w:rsidRPr="00DE4D7B" w:rsidRDefault="003F1AD4" w:rsidP="000851CF">
            <w:pPr>
              <w:keepNext/>
              <w:keepLines/>
              <w:jc w:val="right"/>
              <w:rPr>
                <w:rFonts w:ascii="Arial Narrow" w:hAnsi="Arial Narrow"/>
                <w:sz w:val="20"/>
              </w:rPr>
            </w:pPr>
            <w:r>
              <w:rPr>
                <w:rFonts w:ascii="Arial Narrow" w:hAnsi="Arial Narrow"/>
                <w:sz w:val="20"/>
              </w:rPr>
              <w:t>290.310,54</w:t>
            </w:r>
          </w:p>
        </w:tc>
      </w:tr>
      <w:tr w:rsidR="0097400B" w:rsidRPr="00DE4D7B" w14:paraId="4C5ECD30" w14:textId="77777777" w:rsidTr="00A53079">
        <w:trPr>
          <w:trHeight w:val="234"/>
          <w:jc w:val="center"/>
        </w:trPr>
        <w:tc>
          <w:tcPr>
            <w:tcW w:w="646" w:type="pct"/>
            <w:tcBorders>
              <w:top w:val="nil"/>
              <w:left w:val="nil"/>
              <w:bottom w:val="nil"/>
              <w:right w:val="nil"/>
            </w:tcBorders>
            <w:shd w:val="clear" w:color="000000" w:fill="F2F2F2"/>
            <w:vAlign w:val="center"/>
            <w:hideMark/>
          </w:tcPr>
          <w:p w14:paraId="29111D8F" w14:textId="77777777" w:rsidR="0097400B" w:rsidRPr="00DE4D7B" w:rsidRDefault="0097400B" w:rsidP="000851CF">
            <w:pPr>
              <w:keepNext/>
              <w:keepLines/>
              <w:rPr>
                <w:rFonts w:ascii="Arial Narrow" w:hAnsi="Arial Narrow"/>
                <w:b/>
                <w:bCs/>
                <w:sz w:val="20"/>
                <w:lang w:eastAsia="es-ES"/>
              </w:rPr>
            </w:pPr>
            <w:r w:rsidRPr="00DE4D7B">
              <w:rPr>
                <w:rFonts w:ascii="Arial Narrow" w:hAnsi="Arial Narrow"/>
                <w:b/>
                <w:bCs/>
                <w:sz w:val="20"/>
                <w:lang w:eastAsia="es-ES"/>
              </w:rPr>
              <w:t>Saldo final</w:t>
            </w:r>
          </w:p>
        </w:tc>
        <w:tc>
          <w:tcPr>
            <w:tcW w:w="613" w:type="pct"/>
            <w:tcBorders>
              <w:top w:val="nil"/>
              <w:left w:val="nil"/>
              <w:bottom w:val="nil"/>
              <w:right w:val="nil"/>
            </w:tcBorders>
            <w:shd w:val="clear" w:color="000000" w:fill="F2F2F2"/>
            <w:vAlign w:val="center"/>
          </w:tcPr>
          <w:p w14:paraId="10A7C63A" w14:textId="77777777" w:rsidR="0097400B" w:rsidRPr="00DE4D7B" w:rsidRDefault="0097400B" w:rsidP="000851CF">
            <w:pPr>
              <w:keepNext/>
              <w:keepLines/>
              <w:overflowPunct w:val="0"/>
              <w:autoSpaceDE w:val="0"/>
              <w:autoSpaceDN w:val="0"/>
              <w:adjustRightInd w:val="0"/>
              <w:spacing w:before="40" w:after="40"/>
              <w:jc w:val="right"/>
              <w:textAlignment w:val="baseline"/>
              <w:rPr>
                <w:rFonts w:ascii="Arial Narrow" w:hAnsi="Arial Narrow"/>
                <w:b/>
                <w:bCs/>
                <w:sz w:val="20"/>
              </w:rPr>
            </w:pPr>
            <w:r w:rsidRPr="00DE4D7B">
              <w:rPr>
                <w:rFonts w:ascii="Arial Narrow" w:hAnsi="Arial Narrow"/>
                <w:b/>
                <w:bCs/>
                <w:sz w:val="20"/>
              </w:rPr>
              <w:t>154.024,55</w:t>
            </w:r>
          </w:p>
        </w:tc>
        <w:tc>
          <w:tcPr>
            <w:tcW w:w="802" w:type="pct"/>
            <w:tcBorders>
              <w:top w:val="nil"/>
              <w:left w:val="nil"/>
              <w:bottom w:val="nil"/>
              <w:right w:val="nil"/>
            </w:tcBorders>
            <w:shd w:val="clear" w:color="000000" w:fill="F2F2F2"/>
            <w:vAlign w:val="center"/>
          </w:tcPr>
          <w:p w14:paraId="0F6C594B" w14:textId="77777777" w:rsidR="0097400B" w:rsidRPr="00DE4D7B" w:rsidRDefault="0097400B" w:rsidP="000851CF">
            <w:pPr>
              <w:keepNext/>
              <w:keepLines/>
              <w:overflowPunct w:val="0"/>
              <w:autoSpaceDE w:val="0"/>
              <w:autoSpaceDN w:val="0"/>
              <w:adjustRightInd w:val="0"/>
              <w:spacing w:before="40" w:after="40"/>
              <w:jc w:val="right"/>
              <w:textAlignment w:val="baseline"/>
              <w:rPr>
                <w:rFonts w:ascii="Arial Narrow" w:hAnsi="Arial Narrow"/>
                <w:b/>
                <w:bCs/>
                <w:sz w:val="20"/>
              </w:rPr>
            </w:pPr>
            <w:r w:rsidRPr="00DE4D7B">
              <w:rPr>
                <w:rFonts w:ascii="Arial Narrow" w:hAnsi="Arial Narrow"/>
                <w:b/>
                <w:bCs/>
                <w:sz w:val="20"/>
              </w:rPr>
              <w:t>57.</w:t>
            </w:r>
            <w:r w:rsidRPr="00850B72">
              <w:rPr>
                <w:rFonts w:ascii="Arial Narrow" w:hAnsi="Arial Narrow"/>
                <w:b/>
                <w:bCs/>
                <w:sz w:val="20"/>
              </w:rPr>
              <w:t>833,38</w:t>
            </w:r>
          </w:p>
        </w:tc>
        <w:tc>
          <w:tcPr>
            <w:tcW w:w="858" w:type="pct"/>
            <w:tcBorders>
              <w:top w:val="nil"/>
              <w:left w:val="nil"/>
              <w:bottom w:val="nil"/>
              <w:right w:val="nil"/>
            </w:tcBorders>
            <w:shd w:val="clear" w:color="000000" w:fill="F2F2F2"/>
            <w:vAlign w:val="center"/>
          </w:tcPr>
          <w:p w14:paraId="4AAA4AE4" w14:textId="77777777" w:rsidR="0097400B" w:rsidRPr="00DE4D7B" w:rsidRDefault="003F1AD4" w:rsidP="000851CF">
            <w:pPr>
              <w:keepNext/>
              <w:keepLines/>
              <w:overflowPunct w:val="0"/>
              <w:autoSpaceDE w:val="0"/>
              <w:autoSpaceDN w:val="0"/>
              <w:adjustRightInd w:val="0"/>
              <w:spacing w:before="40" w:after="40"/>
              <w:jc w:val="right"/>
              <w:textAlignment w:val="baseline"/>
              <w:rPr>
                <w:rFonts w:ascii="Arial Narrow" w:hAnsi="Arial Narrow"/>
                <w:b/>
                <w:bCs/>
                <w:sz w:val="20"/>
              </w:rPr>
            </w:pPr>
            <w:r>
              <w:rPr>
                <w:rFonts w:ascii="Arial Narrow" w:hAnsi="Arial Narrow"/>
                <w:b/>
                <w:bCs/>
                <w:sz w:val="20"/>
              </w:rPr>
              <w:t>0,00</w:t>
            </w:r>
          </w:p>
        </w:tc>
        <w:tc>
          <w:tcPr>
            <w:tcW w:w="585" w:type="pct"/>
            <w:tcBorders>
              <w:top w:val="nil"/>
              <w:left w:val="nil"/>
              <w:bottom w:val="nil"/>
              <w:right w:val="nil"/>
            </w:tcBorders>
            <w:shd w:val="clear" w:color="000000" w:fill="F2F2F2"/>
          </w:tcPr>
          <w:p w14:paraId="0207F2F6" w14:textId="77777777" w:rsidR="0097400B" w:rsidRPr="00850B72" w:rsidRDefault="004C51D6" w:rsidP="000851CF">
            <w:pPr>
              <w:keepNext/>
              <w:keepLines/>
              <w:overflowPunct w:val="0"/>
              <w:autoSpaceDE w:val="0"/>
              <w:autoSpaceDN w:val="0"/>
              <w:adjustRightInd w:val="0"/>
              <w:spacing w:before="40" w:after="40"/>
              <w:jc w:val="right"/>
              <w:textAlignment w:val="baseline"/>
              <w:rPr>
                <w:rFonts w:ascii="Arial Narrow" w:hAnsi="Arial Narrow"/>
                <w:b/>
                <w:bCs/>
                <w:sz w:val="20"/>
              </w:rPr>
            </w:pPr>
            <w:r>
              <w:rPr>
                <w:rFonts w:ascii="Arial Narrow" w:hAnsi="Arial Narrow"/>
                <w:b/>
                <w:bCs/>
                <w:sz w:val="20"/>
              </w:rPr>
              <w:t>164.620,76</w:t>
            </w:r>
          </w:p>
        </w:tc>
        <w:tc>
          <w:tcPr>
            <w:tcW w:w="632" w:type="pct"/>
            <w:tcBorders>
              <w:top w:val="nil"/>
              <w:left w:val="nil"/>
              <w:bottom w:val="nil"/>
              <w:right w:val="nil"/>
            </w:tcBorders>
            <w:shd w:val="clear" w:color="000000" w:fill="F2F2F2"/>
          </w:tcPr>
          <w:p w14:paraId="06006A96" w14:textId="77777777" w:rsidR="0097400B" w:rsidRPr="00850B72" w:rsidRDefault="003F1AD4" w:rsidP="000851CF">
            <w:pPr>
              <w:keepNext/>
              <w:keepLines/>
              <w:overflowPunct w:val="0"/>
              <w:autoSpaceDE w:val="0"/>
              <w:autoSpaceDN w:val="0"/>
              <w:adjustRightInd w:val="0"/>
              <w:spacing w:before="40" w:after="40"/>
              <w:jc w:val="right"/>
              <w:textAlignment w:val="baseline"/>
              <w:rPr>
                <w:rFonts w:ascii="Arial Narrow" w:hAnsi="Arial Narrow"/>
                <w:b/>
                <w:bCs/>
                <w:sz w:val="20"/>
              </w:rPr>
            </w:pPr>
            <w:r>
              <w:rPr>
                <w:rFonts w:ascii="Arial Narrow" w:hAnsi="Arial Narrow"/>
                <w:b/>
                <w:bCs/>
                <w:sz w:val="20"/>
              </w:rPr>
              <w:t>0,00</w:t>
            </w:r>
          </w:p>
        </w:tc>
        <w:tc>
          <w:tcPr>
            <w:tcW w:w="863" w:type="pct"/>
            <w:tcBorders>
              <w:top w:val="nil"/>
              <w:left w:val="nil"/>
              <w:bottom w:val="nil"/>
              <w:right w:val="nil"/>
            </w:tcBorders>
            <w:shd w:val="clear" w:color="000000" w:fill="F2F2F2"/>
            <w:vAlign w:val="center"/>
          </w:tcPr>
          <w:p w14:paraId="5905BE35" w14:textId="77777777" w:rsidR="0097400B" w:rsidRPr="00DE4D7B" w:rsidRDefault="004C51D6" w:rsidP="000851CF">
            <w:pPr>
              <w:keepNext/>
              <w:keepLines/>
              <w:overflowPunct w:val="0"/>
              <w:autoSpaceDE w:val="0"/>
              <w:autoSpaceDN w:val="0"/>
              <w:adjustRightInd w:val="0"/>
              <w:spacing w:before="40" w:after="40"/>
              <w:jc w:val="right"/>
              <w:textAlignment w:val="baseline"/>
              <w:rPr>
                <w:rFonts w:ascii="Arial Narrow" w:hAnsi="Arial Narrow"/>
                <w:b/>
                <w:bCs/>
                <w:sz w:val="20"/>
              </w:rPr>
            </w:pPr>
            <w:r>
              <w:rPr>
                <w:rFonts w:ascii="Arial Narrow" w:hAnsi="Arial Narrow"/>
                <w:b/>
                <w:bCs/>
                <w:sz w:val="20"/>
              </w:rPr>
              <w:t>376.478,69</w:t>
            </w:r>
          </w:p>
        </w:tc>
      </w:tr>
    </w:tbl>
    <w:p w14:paraId="6BF2821A" w14:textId="77777777" w:rsidR="00A53079" w:rsidRDefault="00A53079" w:rsidP="0027398A">
      <w:pPr>
        <w:spacing w:before="120" w:after="120"/>
        <w:jc w:val="both"/>
        <w:rPr>
          <w:rFonts w:ascii="Arial Narrow" w:hAnsi="Arial Narrow" w:cs="Arial"/>
          <w:sz w:val="24"/>
          <w:szCs w:val="24"/>
        </w:rPr>
      </w:pPr>
    </w:p>
    <w:p w14:paraId="51760D37" w14:textId="77777777" w:rsidR="003B2A3E" w:rsidRPr="00985378" w:rsidRDefault="00F05ADA" w:rsidP="00EA24A9">
      <w:pPr>
        <w:spacing w:before="240" w:after="120"/>
        <w:jc w:val="both"/>
        <w:rPr>
          <w:rFonts w:ascii="Arial Narrow" w:hAnsi="Arial Narrow" w:cs="Arial"/>
          <w:sz w:val="24"/>
          <w:szCs w:val="24"/>
          <w:u w:val="single"/>
        </w:rPr>
      </w:pPr>
      <w:r w:rsidRPr="00985378">
        <w:rPr>
          <w:rFonts w:ascii="Arial Narrow" w:hAnsi="Arial Narrow" w:cs="Arial"/>
          <w:sz w:val="24"/>
          <w:szCs w:val="24"/>
          <w:u w:val="single"/>
        </w:rPr>
        <w:t>P</w:t>
      </w:r>
      <w:r w:rsidR="003B2A3E" w:rsidRPr="00985378">
        <w:rPr>
          <w:rFonts w:ascii="Arial Narrow" w:hAnsi="Arial Narrow" w:cs="Arial"/>
          <w:sz w:val="24"/>
          <w:szCs w:val="24"/>
          <w:u w:val="single"/>
        </w:rPr>
        <w:t>rovisión por costes de desmantelamiento</w:t>
      </w:r>
    </w:p>
    <w:p w14:paraId="38E5D4DE" w14:textId="77777777" w:rsidR="00461130" w:rsidRPr="00F91AC0" w:rsidRDefault="003B2A3E" w:rsidP="00461130">
      <w:pPr>
        <w:spacing w:before="120" w:after="120"/>
        <w:jc w:val="both"/>
        <w:rPr>
          <w:rFonts w:ascii="Arial Narrow" w:hAnsi="Arial Narrow" w:cs="Arial"/>
          <w:sz w:val="24"/>
          <w:szCs w:val="24"/>
        </w:rPr>
      </w:pPr>
      <w:r w:rsidRPr="00F91AC0">
        <w:rPr>
          <w:rFonts w:ascii="Arial Narrow" w:hAnsi="Arial Narrow" w:cs="Arial"/>
          <w:sz w:val="24"/>
          <w:szCs w:val="24"/>
        </w:rPr>
        <w:t>Corresponde a la provisión estimada para hacer frente al coste de desmantelamiento de los parques eólicos explotados por la sociedad al vencimiento de sus autoriza</w:t>
      </w:r>
      <w:r w:rsidR="006B08FC" w:rsidRPr="00F91AC0">
        <w:rPr>
          <w:rFonts w:ascii="Arial Narrow" w:hAnsi="Arial Narrow" w:cs="Arial"/>
          <w:sz w:val="24"/>
          <w:szCs w:val="24"/>
        </w:rPr>
        <w:t>ciones administrativas.</w:t>
      </w:r>
    </w:p>
    <w:p w14:paraId="2425B612" w14:textId="77777777" w:rsidR="003209DA" w:rsidRDefault="003209DA" w:rsidP="003209DA">
      <w:pPr>
        <w:spacing w:before="240" w:after="120"/>
        <w:jc w:val="both"/>
        <w:rPr>
          <w:rFonts w:ascii="Arial Narrow" w:hAnsi="Arial Narrow" w:cs="Arial"/>
          <w:sz w:val="24"/>
          <w:szCs w:val="24"/>
          <w:u w:val="single"/>
        </w:rPr>
      </w:pPr>
      <w:bookmarkStart w:id="16" w:name="_Hlk34905488"/>
      <w:r w:rsidRPr="00F10B31">
        <w:rPr>
          <w:rFonts w:ascii="Arial Narrow" w:hAnsi="Arial Narrow" w:cs="Arial"/>
          <w:sz w:val="24"/>
          <w:szCs w:val="24"/>
          <w:u w:val="single"/>
        </w:rPr>
        <w:t>Interés reintegro Encomiendas</w:t>
      </w:r>
    </w:p>
    <w:p w14:paraId="55C69C5E" w14:textId="77777777" w:rsidR="00F10B31" w:rsidRPr="00F10B31" w:rsidRDefault="00F10B31" w:rsidP="003209DA">
      <w:pPr>
        <w:spacing w:before="240" w:after="120"/>
        <w:jc w:val="both"/>
        <w:rPr>
          <w:rFonts w:ascii="Arial Narrow" w:hAnsi="Arial Narrow" w:cs="Arial"/>
          <w:sz w:val="24"/>
          <w:szCs w:val="24"/>
        </w:rPr>
      </w:pPr>
      <w:r w:rsidRPr="00F10B31">
        <w:rPr>
          <w:rFonts w:ascii="Arial Narrow" w:hAnsi="Arial Narrow" w:cs="Arial"/>
          <w:sz w:val="24"/>
          <w:szCs w:val="24"/>
        </w:rPr>
        <w:t>En 2019 se han abonado 7.067,04 euros en concepto de intereses por reintegros solicitados por los organismos financiadores correspondientes a proyectos concedidos en 2014 y 2015. También el ITC abonó en 2019 401,26 euros por intereses de demora de los fondos no ejecutados relativos a encomiendas concedidas en 2018 con abono anticipado, por el periodo correspondiente a la disposición de los fondos en las cuentas bancarias del ITC y la fecha del reintegro de los fondos no ejecutados.</w:t>
      </w:r>
    </w:p>
    <w:p w14:paraId="3F699518" w14:textId="3B18CFEE" w:rsidR="003209DA" w:rsidRDefault="003209DA" w:rsidP="00EA24A9">
      <w:pPr>
        <w:spacing w:before="240" w:after="120"/>
        <w:jc w:val="both"/>
        <w:rPr>
          <w:rFonts w:ascii="Arial Narrow" w:hAnsi="Arial Narrow" w:cs="Arial"/>
          <w:sz w:val="24"/>
          <w:szCs w:val="24"/>
          <w:u w:val="single"/>
        </w:rPr>
      </w:pPr>
      <w:r w:rsidRPr="00D232FC">
        <w:rPr>
          <w:rFonts w:ascii="Arial Narrow" w:hAnsi="Arial Narrow" w:cs="Arial"/>
          <w:sz w:val="24"/>
          <w:szCs w:val="24"/>
          <w:u w:val="single"/>
        </w:rPr>
        <w:t>P</w:t>
      </w:r>
      <w:r w:rsidR="00DF4FF4">
        <w:rPr>
          <w:rFonts w:ascii="Arial Narrow" w:hAnsi="Arial Narrow" w:cs="Arial"/>
          <w:sz w:val="24"/>
          <w:szCs w:val="24"/>
          <w:u w:val="single"/>
        </w:rPr>
        <w:t>é</w:t>
      </w:r>
      <w:r w:rsidRPr="00D232FC">
        <w:rPr>
          <w:rFonts w:ascii="Arial Narrow" w:hAnsi="Arial Narrow" w:cs="Arial"/>
          <w:sz w:val="24"/>
          <w:szCs w:val="24"/>
          <w:u w:val="single"/>
        </w:rPr>
        <w:t>rdida Bonificación SSCC 2017</w:t>
      </w:r>
    </w:p>
    <w:p w14:paraId="5089967B" w14:textId="77777777" w:rsidR="00D232FC" w:rsidRPr="00D232FC" w:rsidRDefault="00D232FC" w:rsidP="00D232FC">
      <w:pPr>
        <w:spacing w:before="240" w:after="120"/>
        <w:jc w:val="both"/>
        <w:rPr>
          <w:rFonts w:ascii="Arial Narrow" w:hAnsi="Arial Narrow" w:cs="Arial"/>
          <w:sz w:val="24"/>
          <w:szCs w:val="24"/>
        </w:rPr>
      </w:pPr>
      <w:r w:rsidRPr="00D232FC">
        <w:rPr>
          <w:rFonts w:ascii="Arial Narrow" w:hAnsi="Arial Narrow" w:cs="Arial"/>
          <w:sz w:val="24"/>
          <w:szCs w:val="24"/>
        </w:rPr>
        <w:t xml:space="preserve">Durante el 2017 el ITC, realizo una serie de cursos de formación para el personal del ITC, con la bonificación de los mismos a través de la Fundación Tripartita para la Formación y el empleo por un importe de 10.164,00 Euros, esta bonificación se aplicó en los boletines de la TGSS (DCL) del mes de diciembre de 2017. </w:t>
      </w:r>
    </w:p>
    <w:p w14:paraId="495EC194" w14:textId="77777777" w:rsidR="00D232FC" w:rsidRPr="00D232FC" w:rsidRDefault="00D232FC" w:rsidP="00D232FC">
      <w:pPr>
        <w:spacing w:before="240" w:after="120"/>
        <w:jc w:val="both"/>
        <w:rPr>
          <w:rFonts w:ascii="Arial Narrow" w:hAnsi="Arial Narrow" w:cs="Arial"/>
          <w:sz w:val="24"/>
          <w:szCs w:val="24"/>
        </w:rPr>
      </w:pPr>
      <w:r w:rsidRPr="00D232FC">
        <w:rPr>
          <w:rFonts w:ascii="Arial Narrow" w:hAnsi="Arial Narrow" w:cs="Arial"/>
          <w:sz w:val="24"/>
          <w:szCs w:val="24"/>
        </w:rPr>
        <w:t>En mayo de 2019 nos llega una comunicación del SEPE, donde nos indican que se ha detectado diferencias en las bonificaciones de cuotas por formación profesional, en el empleo en la iniciativa de formación programada por la empresa, para sus trabajadores , efectuadas en los boletines de cotización a la SS en el ejercicio 2017, ante esta comunicación la empresa Instituto Tecnológico de Canarias, ha presentado las alegaciones pertinentes, estando pendiente  de la contestación a las mismas por parte del Servicio Público Estatal de Empleo.</w:t>
      </w:r>
    </w:p>
    <w:bookmarkEnd w:id="16"/>
    <w:p w14:paraId="53351CE3" w14:textId="77777777" w:rsidR="00355BA4" w:rsidRPr="00F91AC0" w:rsidRDefault="00355BA4" w:rsidP="00EA24A9">
      <w:pPr>
        <w:spacing w:before="240" w:after="120"/>
        <w:jc w:val="both"/>
        <w:rPr>
          <w:rFonts w:ascii="Arial Narrow" w:hAnsi="Arial Narrow" w:cs="Arial"/>
          <w:sz w:val="24"/>
          <w:szCs w:val="24"/>
          <w:u w:val="single"/>
        </w:rPr>
      </w:pPr>
      <w:r w:rsidRPr="00F91AC0">
        <w:rPr>
          <w:rFonts w:ascii="Arial Narrow" w:hAnsi="Arial Narrow" w:cs="Arial"/>
          <w:sz w:val="24"/>
          <w:szCs w:val="24"/>
          <w:u w:val="single"/>
        </w:rPr>
        <w:t>Contingencias laborales por revisión salarial</w:t>
      </w:r>
    </w:p>
    <w:p w14:paraId="37A20D4D" w14:textId="77777777" w:rsidR="000B688E" w:rsidRPr="00F91AC0" w:rsidRDefault="000B688E" w:rsidP="000B688E">
      <w:pPr>
        <w:spacing w:before="120" w:after="120"/>
        <w:jc w:val="both"/>
        <w:rPr>
          <w:rFonts w:ascii="Arial Narrow" w:hAnsi="Arial Narrow" w:cs="Arial"/>
          <w:sz w:val="24"/>
          <w:szCs w:val="24"/>
        </w:rPr>
      </w:pPr>
      <w:r w:rsidRPr="00F91AC0">
        <w:rPr>
          <w:rFonts w:ascii="Arial Narrow" w:hAnsi="Arial Narrow" w:cs="Arial"/>
          <w:sz w:val="24"/>
          <w:szCs w:val="24"/>
        </w:rPr>
        <w:t>Con fecha 5 de diciembre de 2014, se dictó sentencia por el Tribunal Constitucional, estimando la cuestión de inconstitucionalidad y declara inconstitucional y nulo el art. 41.1 de la ley 11/2010 de 30 de diciembre de Presupuestos Generales de la Comunidad Autónoma de Canarias para 2011, en los términos y con los efectos establecidos en el fundamento jurídico 5 de la Sentencia, notificándose a la Sociedad el 11 de diciembre de 2014 y publicándose en el Boletín Oficial del Estado el 13 de enero de 2015.</w:t>
      </w:r>
    </w:p>
    <w:p w14:paraId="5EE51ED5" w14:textId="77777777" w:rsidR="000B688E" w:rsidRDefault="000B688E" w:rsidP="000B688E">
      <w:pPr>
        <w:spacing w:before="120" w:after="120"/>
        <w:jc w:val="both"/>
        <w:rPr>
          <w:rFonts w:ascii="Arial Narrow" w:hAnsi="Arial Narrow" w:cs="Arial"/>
          <w:sz w:val="24"/>
          <w:szCs w:val="24"/>
        </w:rPr>
      </w:pPr>
      <w:r w:rsidRPr="00F91AC0">
        <w:rPr>
          <w:rFonts w:ascii="Arial Narrow" w:hAnsi="Arial Narrow" w:cs="Arial"/>
          <w:sz w:val="24"/>
          <w:szCs w:val="24"/>
        </w:rPr>
        <w:t>El art.41.1 establecía una reducción salarial del 5% para el personal de la Sociedad a partir de marzo de 2011, pero con efectos desde junio de 2010.</w:t>
      </w:r>
    </w:p>
    <w:p w14:paraId="2E9AE73C" w14:textId="77777777" w:rsidR="00781F4A" w:rsidRDefault="00781F4A" w:rsidP="000B688E">
      <w:pPr>
        <w:spacing w:before="120" w:after="120"/>
        <w:jc w:val="both"/>
        <w:rPr>
          <w:rFonts w:ascii="Arial Narrow" w:hAnsi="Arial Narrow" w:cs="Arial"/>
          <w:sz w:val="24"/>
          <w:szCs w:val="24"/>
        </w:rPr>
      </w:pPr>
      <w:r w:rsidRPr="00032181">
        <w:rPr>
          <w:rFonts w:ascii="Arial Narrow" w:hAnsi="Arial Narrow" w:cs="Arial"/>
          <w:sz w:val="24"/>
          <w:szCs w:val="24"/>
        </w:rPr>
        <w:t xml:space="preserve">Con fecha 31 de octubre de 2017, el </w:t>
      </w:r>
      <w:r w:rsidR="00FE219B">
        <w:rPr>
          <w:rFonts w:ascii="Arial Narrow" w:hAnsi="Arial Narrow" w:cs="Arial"/>
          <w:sz w:val="24"/>
          <w:szCs w:val="24"/>
        </w:rPr>
        <w:t>T</w:t>
      </w:r>
      <w:r w:rsidRPr="00032181">
        <w:rPr>
          <w:rFonts w:ascii="Arial Narrow" w:hAnsi="Arial Narrow" w:cs="Arial"/>
          <w:sz w:val="24"/>
          <w:szCs w:val="24"/>
        </w:rPr>
        <w:t xml:space="preserve">ribunal </w:t>
      </w:r>
      <w:r w:rsidR="00FE219B">
        <w:rPr>
          <w:rFonts w:ascii="Arial Narrow" w:hAnsi="Arial Narrow" w:cs="Arial"/>
          <w:sz w:val="24"/>
          <w:szCs w:val="24"/>
        </w:rPr>
        <w:t>S</w:t>
      </w:r>
      <w:r w:rsidRPr="00032181">
        <w:rPr>
          <w:rFonts w:ascii="Arial Narrow" w:hAnsi="Arial Narrow" w:cs="Arial"/>
          <w:sz w:val="24"/>
          <w:szCs w:val="24"/>
        </w:rPr>
        <w:t>upremo emiti</w:t>
      </w:r>
      <w:r w:rsidR="004522F0">
        <w:rPr>
          <w:rFonts w:ascii="Arial Narrow" w:hAnsi="Arial Narrow" w:cs="Arial"/>
          <w:sz w:val="24"/>
          <w:szCs w:val="24"/>
        </w:rPr>
        <w:t>ó</w:t>
      </w:r>
      <w:r w:rsidRPr="00032181">
        <w:rPr>
          <w:rFonts w:ascii="Arial Narrow" w:hAnsi="Arial Narrow" w:cs="Arial"/>
          <w:sz w:val="24"/>
          <w:szCs w:val="24"/>
        </w:rPr>
        <w:t xml:space="preserve"> sentencia en la que condenaba al Instituto </w:t>
      </w:r>
      <w:r w:rsidR="00845159" w:rsidRPr="00032181">
        <w:rPr>
          <w:rFonts w:ascii="Arial Narrow" w:hAnsi="Arial Narrow" w:cs="Arial"/>
          <w:sz w:val="24"/>
          <w:szCs w:val="24"/>
        </w:rPr>
        <w:t>Tecnológico</w:t>
      </w:r>
      <w:r w:rsidRPr="00032181">
        <w:rPr>
          <w:rFonts w:ascii="Arial Narrow" w:hAnsi="Arial Narrow" w:cs="Arial"/>
          <w:sz w:val="24"/>
          <w:szCs w:val="24"/>
        </w:rPr>
        <w:t xml:space="preserve"> de Canarias al pago de la reducción salarial del 5% realizada en el 2011, </w:t>
      </w:r>
      <w:r w:rsidR="00845159" w:rsidRPr="00032181">
        <w:rPr>
          <w:rFonts w:ascii="Arial Narrow" w:hAnsi="Arial Narrow" w:cs="Arial"/>
          <w:sz w:val="24"/>
          <w:szCs w:val="24"/>
        </w:rPr>
        <w:t>más</w:t>
      </w:r>
      <w:r w:rsidRPr="00032181">
        <w:rPr>
          <w:rFonts w:ascii="Arial Narrow" w:hAnsi="Arial Narrow" w:cs="Arial"/>
          <w:sz w:val="24"/>
          <w:szCs w:val="24"/>
        </w:rPr>
        <w:t xml:space="preserve"> los intereses de demora.</w:t>
      </w:r>
    </w:p>
    <w:p w14:paraId="07A5C124" w14:textId="77777777" w:rsidR="00781F4A" w:rsidRPr="00F91AC0" w:rsidRDefault="00781F4A" w:rsidP="000B688E">
      <w:pPr>
        <w:spacing w:before="120" w:after="120"/>
        <w:jc w:val="both"/>
        <w:rPr>
          <w:rFonts w:ascii="Arial Narrow" w:hAnsi="Arial Narrow" w:cs="Arial"/>
          <w:sz w:val="24"/>
          <w:szCs w:val="24"/>
        </w:rPr>
      </w:pPr>
      <w:r>
        <w:rPr>
          <w:rFonts w:ascii="Arial Narrow" w:hAnsi="Arial Narrow" w:cs="Arial"/>
          <w:sz w:val="24"/>
          <w:szCs w:val="24"/>
        </w:rPr>
        <w:t>En 201</w:t>
      </w:r>
      <w:r w:rsidR="00902C57">
        <w:rPr>
          <w:rFonts w:ascii="Arial Narrow" w:hAnsi="Arial Narrow" w:cs="Arial"/>
          <w:sz w:val="24"/>
          <w:szCs w:val="24"/>
        </w:rPr>
        <w:t>9</w:t>
      </w:r>
      <w:r>
        <w:rPr>
          <w:rFonts w:ascii="Arial Narrow" w:hAnsi="Arial Narrow" w:cs="Arial"/>
          <w:sz w:val="24"/>
          <w:szCs w:val="24"/>
        </w:rPr>
        <w:t>, aún quedaban sentencias pendientes</w:t>
      </w:r>
      <w:r w:rsidR="004522F0">
        <w:rPr>
          <w:rFonts w:ascii="Arial Narrow" w:hAnsi="Arial Narrow" w:cs="Arial"/>
          <w:sz w:val="24"/>
          <w:szCs w:val="24"/>
        </w:rPr>
        <w:t xml:space="preserve"> correspondientes a extrabajadores</w:t>
      </w:r>
      <w:r w:rsidR="000129EA">
        <w:rPr>
          <w:rFonts w:ascii="Arial Narrow" w:hAnsi="Arial Narrow" w:cs="Arial"/>
          <w:sz w:val="24"/>
          <w:szCs w:val="24"/>
        </w:rPr>
        <w:t xml:space="preserve"> que ya no estaban trabajando en el ITC</w:t>
      </w:r>
      <w:r>
        <w:rPr>
          <w:rFonts w:ascii="Arial Narrow" w:hAnsi="Arial Narrow" w:cs="Arial"/>
          <w:sz w:val="24"/>
          <w:szCs w:val="24"/>
        </w:rPr>
        <w:t>, es por lo que esta provisión aún arroja un saldo que será aplicado cuando todas las demandas sean firmes.</w:t>
      </w:r>
    </w:p>
    <w:p w14:paraId="00C9700C" w14:textId="64BCCF2F" w:rsidR="00D232FC" w:rsidRDefault="00D232FC" w:rsidP="00D6097D">
      <w:pPr>
        <w:widowControl w:val="0"/>
        <w:spacing w:before="120" w:after="120"/>
        <w:rPr>
          <w:rFonts w:ascii="Arial Narrow" w:hAnsi="Arial Narrow" w:cs="Arial"/>
          <w:b/>
          <w:caps/>
          <w:snapToGrid w:val="0"/>
          <w:sz w:val="24"/>
          <w:szCs w:val="24"/>
          <w:lang w:eastAsia="es-ES"/>
        </w:rPr>
      </w:pPr>
    </w:p>
    <w:p w14:paraId="20D41523" w14:textId="77777777" w:rsidR="00DD368E" w:rsidRPr="00491081" w:rsidRDefault="00D6097D" w:rsidP="00D6097D">
      <w:pPr>
        <w:widowControl w:val="0"/>
        <w:spacing w:before="120" w:after="120"/>
        <w:rPr>
          <w:rFonts w:ascii="Arial Narrow" w:hAnsi="Arial Narrow" w:cs="Arial"/>
          <w:b/>
          <w:caps/>
          <w:snapToGrid w:val="0"/>
          <w:sz w:val="24"/>
          <w:szCs w:val="24"/>
          <w:u w:val="single"/>
          <w:lang w:eastAsia="es-ES"/>
        </w:rPr>
      </w:pPr>
      <w:r w:rsidRPr="00491081">
        <w:rPr>
          <w:rFonts w:ascii="Arial Narrow" w:hAnsi="Arial Narrow" w:cs="Arial"/>
          <w:b/>
          <w:caps/>
          <w:snapToGrid w:val="0"/>
          <w:sz w:val="24"/>
          <w:szCs w:val="24"/>
          <w:lang w:eastAsia="es-ES"/>
        </w:rPr>
        <w:t>NOTA 1</w:t>
      </w:r>
      <w:r w:rsidR="00230948" w:rsidRPr="00491081">
        <w:rPr>
          <w:rFonts w:ascii="Arial Narrow" w:hAnsi="Arial Narrow" w:cs="Arial"/>
          <w:b/>
          <w:caps/>
          <w:snapToGrid w:val="0"/>
          <w:sz w:val="24"/>
          <w:szCs w:val="24"/>
          <w:lang w:eastAsia="es-ES"/>
        </w:rPr>
        <w:t>3</w:t>
      </w:r>
      <w:r w:rsidRPr="00491081">
        <w:rPr>
          <w:rFonts w:ascii="Arial Narrow" w:hAnsi="Arial Narrow" w:cs="Arial"/>
          <w:b/>
          <w:caps/>
          <w:snapToGrid w:val="0"/>
          <w:sz w:val="24"/>
          <w:szCs w:val="24"/>
          <w:lang w:eastAsia="es-ES"/>
        </w:rPr>
        <w:t>.</w:t>
      </w:r>
      <w:r w:rsidRPr="00491081">
        <w:rPr>
          <w:rFonts w:ascii="Arial Narrow" w:hAnsi="Arial Narrow" w:cs="Arial"/>
          <w:b/>
          <w:caps/>
          <w:snapToGrid w:val="0"/>
          <w:sz w:val="24"/>
          <w:szCs w:val="24"/>
          <w:u w:val="single"/>
          <w:lang w:eastAsia="es-ES"/>
        </w:rPr>
        <w:t xml:space="preserve"> </w:t>
      </w:r>
      <w:r w:rsidR="00DD368E" w:rsidRPr="00491081">
        <w:rPr>
          <w:rFonts w:ascii="Arial Narrow" w:hAnsi="Arial Narrow" w:cs="Arial"/>
          <w:b/>
          <w:caps/>
          <w:snapToGrid w:val="0"/>
          <w:sz w:val="24"/>
          <w:szCs w:val="24"/>
          <w:u w:val="single"/>
          <w:lang w:eastAsia="es-ES"/>
        </w:rPr>
        <w:t>Información sobre medio ambiente</w:t>
      </w:r>
    </w:p>
    <w:p w14:paraId="033B937F" w14:textId="77777777" w:rsidR="007A7C4C" w:rsidRPr="003E0D4D" w:rsidRDefault="007A7C4C" w:rsidP="00EA24A9">
      <w:pPr>
        <w:spacing w:before="240" w:after="120"/>
        <w:jc w:val="both"/>
        <w:rPr>
          <w:rFonts w:ascii="Arial Narrow" w:hAnsi="Arial Narrow" w:cs="Arial"/>
          <w:sz w:val="24"/>
          <w:szCs w:val="24"/>
        </w:rPr>
      </w:pPr>
      <w:r w:rsidRPr="00491081">
        <w:rPr>
          <w:rFonts w:ascii="Arial Narrow" w:hAnsi="Arial Narrow" w:cs="Arial"/>
          <w:sz w:val="24"/>
          <w:szCs w:val="24"/>
        </w:rPr>
        <w:t>Los equipos e instalaciones incorporad</w:t>
      </w:r>
      <w:r w:rsidR="00D5579E" w:rsidRPr="00491081">
        <w:rPr>
          <w:rFonts w:ascii="Arial Narrow" w:hAnsi="Arial Narrow" w:cs="Arial"/>
          <w:sz w:val="24"/>
          <w:szCs w:val="24"/>
        </w:rPr>
        <w:t>os al inmovilizado material cuyo</w:t>
      </w:r>
      <w:r w:rsidRPr="00491081">
        <w:rPr>
          <w:rFonts w:ascii="Arial Narrow" w:hAnsi="Arial Narrow" w:cs="Arial"/>
          <w:sz w:val="24"/>
          <w:szCs w:val="24"/>
        </w:rPr>
        <w:t xml:space="preserve"> fin es</w:t>
      </w:r>
      <w:r w:rsidR="00D5579E" w:rsidRPr="00491081">
        <w:rPr>
          <w:rFonts w:ascii="Arial Narrow" w:hAnsi="Arial Narrow" w:cs="Arial"/>
          <w:sz w:val="24"/>
          <w:szCs w:val="24"/>
        </w:rPr>
        <w:t xml:space="preserve"> la minimización del impacto medioambiental y</w:t>
      </w:r>
      <w:r w:rsidRPr="00491081">
        <w:rPr>
          <w:rFonts w:ascii="Arial Narrow" w:hAnsi="Arial Narrow" w:cs="Arial"/>
          <w:sz w:val="24"/>
          <w:szCs w:val="24"/>
        </w:rPr>
        <w:t xml:space="preserve"> la protección y mejora del medio ambiente se encuentran registrados en la </w:t>
      </w:r>
      <w:r w:rsidRPr="003E0D4D">
        <w:rPr>
          <w:rFonts w:ascii="Arial Narrow" w:hAnsi="Arial Narrow" w:cs="Arial"/>
          <w:sz w:val="24"/>
          <w:szCs w:val="24"/>
        </w:rPr>
        <w:t>partida de “Instalaciones Técnicas y otro inmovilizado material”.</w:t>
      </w:r>
    </w:p>
    <w:p w14:paraId="1F960FF5" w14:textId="77777777" w:rsidR="004F52FD" w:rsidRPr="003E0D4D" w:rsidRDefault="004F52FD" w:rsidP="00EA24A9">
      <w:pPr>
        <w:spacing w:before="120" w:after="120"/>
        <w:jc w:val="both"/>
        <w:rPr>
          <w:rFonts w:ascii="Arial Narrow" w:hAnsi="Arial Narrow" w:cs="Arial"/>
          <w:sz w:val="24"/>
          <w:szCs w:val="24"/>
        </w:rPr>
      </w:pPr>
      <w:r w:rsidRPr="003E0D4D">
        <w:rPr>
          <w:rFonts w:ascii="Arial Narrow" w:hAnsi="Arial Narrow" w:cs="Arial"/>
          <w:sz w:val="24"/>
          <w:szCs w:val="24"/>
        </w:rPr>
        <w:t xml:space="preserve">Durante </w:t>
      </w:r>
      <w:r w:rsidR="00F10B31">
        <w:rPr>
          <w:rFonts w:ascii="Arial Narrow" w:hAnsi="Arial Narrow" w:cs="Arial"/>
          <w:sz w:val="24"/>
          <w:szCs w:val="24"/>
        </w:rPr>
        <w:t>los ejercicios</w:t>
      </w:r>
      <w:r w:rsidR="00F91AC0">
        <w:rPr>
          <w:rFonts w:ascii="Arial Narrow" w:hAnsi="Arial Narrow" w:cs="Arial"/>
          <w:sz w:val="24"/>
          <w:szCs w:val="24"/>
        </w:rPr>
        <w:t xml:space="preserve"> 201</w:t>
      </w:r>
      <w:r w:rsidR="003209DA">
        <w:rPr>
          <w:rFonts w:ascii="Arial Narrow" w:hAnsi="Arial Narrow" w:cs="Arial"/>
          <w:sz w:val="24"/>
          <w:szCs w:val="24"/>
        </w:rPr>
        <w:t>9</w:t>
      </w:r>
      <w:r w:rsidR="00F91AC0">
        <w:rPr>
          <w:rFonts w:ascii="Arial Narrow" w:hAnsi="Arial Narrow" w:cs="Arial"/>
          <w:sz w:val="24"/>
          <w:szCs w:val="24"/>
        </w:rPr>
        <w:t xml:space="preserve"> y 201</w:t>
      </w:r>
      <w:r w:rsidR="003209DA">
        <w:rPr>
          <w:rFonts w:ascii="Arial Narrow" w:hAnsi="Arial Narrow" w:cs="Arial"/>
          <w:sz w:val="24"/>
          <w:szCs w:val="24"/>
        </w:rPr>
        <w:t>8</w:t>
      </w:r>
      <w:r w:rsidRPr="00850B72">
        <w:rPr>
          <w:rFonts w:ascii="Arial Narrow" w:hAnsi="Arial Narrow" w:cs="Arial"/>
          <w:color w:val="FF0000"/>
          <w:sz w:val="24"/>
          <w:szCs w:val="24"/>
        </w:rPr>
        <w:t xml:space="preserve"> </w:t>
      </w:r>
      <w:r w:rsidRPr="003E0D4D">
        <w:rPr>
          <w:rFonts w:ascii="Arial Narrow" w:hAnsi="Arial Narrow" w:cs="Arial"/>
          <w:sz w:val="24"/>
          <w:szCs w:val="24"/>
        </w:rPr>
        <w:t>la Sociedad no ha realizado inversiones significat</w:t>
      </w:r>
      <w:r w:rsidR="00A94629" w:rsidRPr="003E0D4D">
        <w:rPr>
          <w:rFonts w:ascii="Arial Narrow" w:hAnsi="Arial Narrow" w:cs="Arial"/>
          <w:sz w:val="24"/>
          <w:szCs w:val="24"/>
        </w:rPr>
        <w:t>ivas en materia medioambiental.</w:t>
      </w:r>
      <w:r w:rsidR="00D5579E" w:rsidRPr="003E0D4D">
        <w:rPr>
          <w:rFonts w:ascii="Arial Narrow" w:hAnsi="Arial Narrow" w:cs="Arial"/>
          <w:sz w:val="24"/>
          <w:szCs w:val="24"/>
        </w:rPr>
        <w:t xml:space="preserve"> </w:t>
      </w:r>
    </w:p>
    <w:p w14:paraId="5AEEF2E9" w14:textId="77777777" w:rsidR="004F52FD" w:rsidRPr="00491081" w:rsidRDefault="004F52FD" w:rsidP="00EA24A9">
      <w:pPr>
        <w:spacing w:before="120" w:after="120"/>
        <w:jc w:val="both"/>
        <w:rPr>
          <w:rFonts w:ascii="Arial Narrow" w:hAnsi="Arial Narrow" w:cs="Arial"/>
          <w:sz w:val="24"/>
          <w:szCs w:val="24"/>
        </w:rPr>
      </w:pPr>
      <w:r w:rsidRPr="00491081">
        <w:rPr>
          <w:rFonts w:ascii="Arial Narrow" w:hAnsi="Arial Narrow" w:cs="Arial"/>
          <w:sz w:val="24"/>
          <w:szCs w:val="24"/>
        </w:rPr>
        <w:t>Los Administradores de la Sociedad estiman que no existen contingencias significativas relativas a la protección y mejora del medio ambiente, no considerando necesario registrar provisión alguna en tal sentido.</w:t>
      </w:r>
    </w:p>
    <w:p w14:paraId="70C60679" w14:textId="77777777" w:rsidR="005F13DD" w:rsidRPr="00491081" w:rsidRDefault="005F13DD" w:rsidP="005F13DD">
      <w:pPr>
        <w:widowControl w:val="0"/>
        <w:spacing w:before="120" w:after="60"/>
        <w:rPr>
          <w:rFonts w:ascii="Arial Narrow" w:hAnsi="Arial Narrow" w:cs="Arial"/>
          <w:b/>
          <w:caps/>
          <w:snapToGrid w:val="0"/>
          <w:sz w:val="24"/>
          <w:szCs w:val="24"/>
          <w:u w:val="single"/>
          <w:lang w:eastAsia="es-ES"/>
        </w:rPr>
      </w:pPr>
      <w:r w:rsidRPr="00491081">
        <w:rPr>
          <w:rFonts w:ascii="Arial Narrow" w:hAnsi="Arial Narrow" w:cs="Arial"/>
          <w:b/>
          <w:caps/>
          <w:snapToGrid w:val="0"/>
          <w:sz w:val="24"/>
          <w:szCs w:val="24"/>
          <w:lang w:eastAsia="es-ES"/>
        </w:rPr>
        <w:t>nota 1</w:t>
      </w:r>
      <w:r w:rsidR="00157A67" w:rsidRPr="00491081">
        <w:rPr>
          <w:rFonts w:ascii="Arial Narrow" w:hAnsi="Arial Narrow" w:cs="Arial"/>
          <w:b/>
          <w:caps/>
          <w:snapToGrid w:val="0"/>
          <w:sz w:val="24"/>
          <w:szCs w:val="24"/>
          <w:lang w:eastAsia="es-ES"/>
        </w:rPr>
        <w:t>4</w:t>
      </w:r>
      <w:r w:rsidRPr="00491081">
        <w:rPr>
          <w:rFonts w:ascii="Arial Narrow" w:hAnsi="Arial Narrow" w:cs="Arial"/>
          <w:b/>
          <w:caps/>
          <w:snapToGrid w:val="0"/>
          <w:sz w:val="24"/>
          <w:szCs w:val="24"/>
          <w:lang w:eastAsia="es-ES"/>
        </w:rPr>
        <w:t xml:space="preserve">. </w:t>
      </w:r>
      <w:r w:rsidRPr="00491081">
        <w:rPr>
          <w:rFonts w:ascii="Arial Narrow" w:hAnsi="Arial Narrow" w:cs="Arial"/>
          <w:b/>
          <w:caps/>
          <w:snapToGrid w:val="0"/>
          <w:sz w:val="24"/>
          <w:szCs w:val="24"/>
          <w:u w:val="single"/>
          <w:lang w:eastAsia="es-ES"/>
        </w:rPr>
        <w:t xml:space="preserve">subvenciones, donaciones y gastos </w:t>
      </w:r>
    </w:p>
    <w:p w14:paraId="77F33D6D" w14:textId="77777777" w:rsidR="00230948" w:rsidRDefault="005F13DD" w:rsidP="005F13DD">
      <w:pPr>
        <w:spacing w:before="120" w:after="60"/>
        <w:jc w:val="both"/>
        <w:rPr>
          <w:rFonts w:ascii="Arial Narrow" w:hAnsi="Arial Narrow" w:cs="Arial"/>
          <w:spacing w:val="-2"/>
          <w:sz w:val="24"/>
          <w:szCs w:val="24"/>
        </w:rPr>
      </w:pPr>
      <w:r w:rsidRPr="00491081">
        <w:rPr>
          <w:rFonts w:ascii="Arial Narrow" w:hAnsi="Arial Narrow" w:cs="Arial"/>
          <w:spacing w:val="-2"/>
          <w:sz w:val="24"/>
          <w:szCs w:val="24"/>
        </w:rPr>
        <w:t xml:space="preserve">El detalle de las subvenciones de capital no reintegrables que aparecen en el epígrafe “Subvenciones, donaciones y legados </w:t>
      </w:r>
      <w:r w:rsidRPr="00C502B0">
        <w:rPr>
          <w:rFonts w:ascii="Arial Narrow" w:hAnsi="Arial Narrow" w:cs="Arial"/>
          <w:spacing w:val="-2"/>
          <w:sz w:val="24"/>
          <w:szCs w:val="24"/>
        </w:rPr>
        <w:t>reci</w:t>
      </w:r>
      <w:r w:rsidR="00491081" w:rsidRPr="00C502B0">
        <w:rPr>
          <w:rFonts w:ascii="Arial Narrow" w:hAnsi="Arial Narrow" w:cs="Arial"/>
          <w:spacing w:val="-2"/>
          <w:sz w:val="24"/>
          <w:szCs w:val="24"/>
        </w:rPr>
        <w:t>bidos” a 31 de diciembre de 201</w:t>
      </w:r>
      <w:r w:rsidR="003209DA">
        <w:rPr>
          <w:rFonts w:ascii="Arial Narrow" w:hAnsi="Arial Narrow" w:cs="Arial"/>
          <w:spacing w:val="-2"/>
          <w:sz w:val="24"/>
          <w:szCs w:val="24"/>
        </w:rPr>
        <w:t>9</w:t>
      </w:r>
      <w:r w:rsidRPr="00C502B0">
        <w:rPr>
          <w:rFonts w:ascii="Arial Narrow" w:hAnsi="Arial Narrow" w:cs="Arial"/>
          <w:spacing w:val="-2"/>
          <w:sz w:val="24"/>
          <w:szCs w:val="24"/>
        </w:rPr>
        <w:t xml:space="preserve"> y 201</w:t>
      </w:r>
      <w:r w:rsidR="003209DA">
        <w:rPr>
          <w:rFonts w:ascii="Arial Narrow" w:hAnsi="Arial Narrow" w:cs="Arial"/>
          <w:spacing w:val="-2"/>
          <w:sz w:val="24"/>
          <w:szCs w:val="24"/>
        </w:rPr>
        <w:t>8</w:t>
      </w:r>
      <w:r w:rsidRPr="00C502B0">
        <w:rPr>
          <w:rFonts w:ascii="Arial Narrow" w:hAnsi="Arial Narrow" w:cs="Arial"/>
          <w:spacing w:val="-2"/>
          <w:sz w:val="24"/>
          <w:szCs w:val="24"/>
        </w:rPr>
        <w:t xml:space="preserve"> es el siguiente</w:t>
      </w:r>
      <w:r w:rsidRPr="00491081">
        <w:rPr>
          <w:rFonts w:ascii="Arial Narrow" w:hAnsi="Arial Narrow" w:cs="Arial"/>
          <w:spacing w:val="-2"/>
          <w:sz w:val="24"/>
          <w:szCs w:val="24"/>
        </w:rPr>
        <w:t>, en euros:</w:t>
      </w:r>
    </w:p>
    <w:p w14:paraId="10E33959" w14:textId="77777777" w:rsidR="005F13DD" w:rsidRDefault="003209DA" w:rsidP="00443A72">
      <w:pPr>
        <w:widowControl w:val="0"/>
        <w:jc w:val="center"/>
        <w:rPr>
          <w:rFonts w:ascii="Arial" w:hAnsi="Arial" w:cs="Arial"/>
          <w:snapToGrid w:val="0"/>
          <w:szCs w:val="22"/>
        </w:rPr>
      </w:pPr>
      <w:r w:rsidRPr="003209DA">
        <w:rPr>
          <w:noProof/>
          <w:lang w:val="es-ES" w:eastAsia="es-ES"/>
        </w:rPr>
        <w:drawing>
          <wp:inline distT="0" distB="0" distL="0" distR="0" wp14:anchorId="3B2BCED7" wp14:editId="1AAAE241">
            <wp:extent cx="2684085" cy="6844553"/>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03860" cy="6894981"/>
                    </a:xfrm>
                    <a:prstGeom prst="rect">
                      <a:avLst/>
                    </a:prstGeom>
                    <a:noFill/>
                    <a:ln>
                      <a:noFill/>
                    </a:ln>
                  </pic:spPr>
                </pic:pic>
              </a:graphicData>
            </a:graphic>
          </wp:inline>
        </w:drawing>
      </w:r>
    </w:p>
    <w:p w14:paraId="781BCB78" w14:textId="77777777" w:rsidR="00A2166B" w:rsidRDefault="00A2166B" w:rsidP="005F13DD">
      <w:pPr>
        <w:widowControl w:val="0"/>
        <w:jc w:val="both"/>
        <w:rPr>
          <w:rFonts w:ascii="Arial" w:hAnsi="Arial" w:cs="Arial"/>
          <w:snapToGrid w:val="0"/>
          <w:szCs w:val="22"/>
        </w:rPr>
      </w:pPr>
    </w:p>
    <w:p w14:paraId="5D59A703" w14:textId="77777777" w:rsidR="005F13DD" w:rsidRPr="003208F0" w:rsidRDefault="005F13DD" w:rsidP="005F13DD">
      <w:pPr>
        <w:spacing w:before="120"/>
        <w:jc w:val="both"/>
        <w:rPr>
          <w:rFonts w:ascii="Arial Narrow" w:hAnsi="Arial Narrow" w:cs="Arial"/>
          <w:spacing w:val="-2"/>
          <w:sz w:val="24"/>
          <w:szCs w:val="24"/>
        </w:rPr>
      </w:pPr>
      <w:r w:rsidRPr="003208F0">
        <w:rPr>
          <w:rFonts w:ascii="Arial Narrow" w:hAnsi="Arial Narrow" w:cs="Arial"/>
          <w:spacing w:val="-2"/>
          <w:sz w:val="24"/>
          <w:szCs w:val="24"/>
        </w:rPr>
        <w:t>Adicionalmente</w:t>
      </w:r>
      <w:r w:rsidR="003208F0">
        <w:rPr>
          <w:rFonts w:ascii="Arial Narrow" w:hAnsi="Arial Narrow" w:cs="Arial"/>
          <w:spacing w:val="-2"/>
          <w:sz w:val="24"/>
          <w:szCs w:val="24"/>
        </w:rPr>
        <w:t>,</w:t>
      </w:r>
      <w:r w:rsidRPr="003208F0">
        <w:rPr>
          <w:rFonts w:ascii="Arial Narrow" w:hAnsi="Arial Narrow" w:cs="Arial"/>
          <w:spacing w:val="-2"/>
          <w:sz w:val="24"/>
          <w:szCs w:val="24"/>
        </w:rPr>
        <w:t xml:space="preserve"> señalar que dentro del epígrafe “Subvenciones, donaciones y legados recibidos” se incluye un importe de </w:t>
      </w:r>
      <w:r w:rsidR="003209DA">
        <w:rPr>
          <w:rFonts w:ascii="Arial Narrow" w:hAnsi="Arial Narrow" w:cs="Arial"/>
          <w:spacing w:val="-2"/>
          <w:sz w:val="24"/>
          <w:szCs w:val="24"/>
        </w:rPr>
        <w:t>88.646,17</w:t>
      </w:r>
      <w:r w:rsidRPr="003208F0">
        <w:rPr>
          <w:rFonts w:ascii="Arial Narrow" w:hAnsi="Arial Narrow" w:cs="Arial"/>
          <w:spacing w:val="-2"/>
          <w:sz w:val="24"/>
          <w:szCs w:val="24"/>
        </w:rPr>
        <w:t xml:space="preserve"> euros (</w:t>
      </w:r>
      <w:r w:rsidR="003209DA" w:rsidRPr="003209DA">
        <w:rPr>
          <w:rFonts w:ascii="Arial Narrow" w:hAnsi="Arial Narrow" w:cs="Arial"/>
          <w:spacing w:val="-2"/>
          <w:sz w:val="24"/>
          <w:szCs w:val="24"/>
        </w:rPr>
        <w:t>136.922,94</w:t>
      </w:r>
      <w:r w:rsidRPr="003208F0">
        <w:rPr>
          <w:rFonts w:ascii="Arial Narrow" w:hAnsi="Arial Narrow" w:cs="Arial"/>
          <w:spacing w:val="-2"/>
          <w:sz w:val="24"/>
          <w:szCs w:val="24"/>
        </w:rPr>
        <w:t xml:space="preserve"> euros en el ejercicio anterior</w:t>
      </w:r>
      <w:r w:rsidR="002703C2" w:rsidRPr="003208F0">
        <w:rPr>
          <w:rFonts w:ascii="Arial Narrow" w:hAnsi="Arial Narrow" w:cs="Arial"/>
          <w:spacing w:val="-2"/>
          <w:sz w:val="24"/>
          <w:szCs w:val="24"/>
        </w:rPr>
        <w:t>)</w:t>
      </w:r>
      <w:r w:rsidR="003208F0">
        <w:rPr>
          <w:rFonts w:ascii="Arial Narrow" w:hAnsi="Arial Narrow" w:cs="Arial"/>
          <w:spacing w:val="-2"/>
          <w:sz w:val="24"/>
          <w:szCs w:val="24"/>
        </w:rPr>
        <w:t>, correspondiente a la subvención de los intereses del préstamo recibido de la Agencia Canaria de Investigación, Innovación y Sociedad de la Información (ACIISI), tal y como se ha descrito en la nota 9.3.1 anterior</w:t>
      </w:r>
      <w:r w:rsidR="002703C2" w:rsidRPr="003208F0">
        <w:rPr>
          <w:rFonts w:ascii="Arial Narrow" w:hAnsi="Arial Narrow" w:cs="Arial"/>
          <w:spacing w:val="-2"/>
          <w:sz w:val="24"/>
          <w:szCs w:val="24"/>
        </w:rPr>
        <w:t>.</w:t>
      </w:r>
    </w:p>
    <w:p w14:paraId="536917FF" w14:textId="77777777" w:rsidR="00A94629" w:rsidRPr="003208F0" w:rsidRDefault="00A94629" w:rsidP="00F84E35">
      <w:pPr>
        <w:jc w:val="both"/>
        <w:rPr>
          <w:rFonts w:ascii="Arial Narrow" w:hAnsi="Arial Narrow" w:cs="Arial"/>
          <w:spacing w:val="-2"/>
          <w:sz w:val="24"/>
          <w:szCs w:val="24"/>
        </w:rPr>
      </w:pPr>
    </w:p>
    <w:p w14:paraId="01CA7FC9" w14:textId="77777777" w:rsidR="00DD368E" w:rsidRPr="003208F0" w:rsidRDefault="00D6097D" w:rsidP="00D6097D">
      <w:pPr>
        <w:keepNext/>
        <w:keepLines/>
        <w:widowControl w:val="0"/>
        <w:spacing w:before="120" w:after="120"/>
        <w:rPr>
          <w:rFonts w:ascii="Arial Narrow" w:hAnsi="Arial Narrow" w:cs="Arial"/>
          <w:b/>
          <w:caps/>
          <w:snapToGrid w:val="0"/>
          <w:sz w:val="24"/>
          <w:szCs w:val="24"/>
          <w:u w:val="single"/>
          <w:lang w:eastAsia="es-ES"/>
        </w:rPr>
      </w:pPr>
      <w:bookmarkStart w:id="17" w:name="_Hlk34905563"/>
      <w:r w:rsidRPr="003208F0">
        <w:rPr>
          <w:rFonts w:ascii="Arial Narrow" w:hAnsi="Arial Narrow" w:cs="Arial"/>
          <w:b/>
          <w:caps/>
          <w:snapToGrid w:val="0"/>
          <w:sz w:val="24"/>
          <w:szCs w:val="24"/>
          <w:lang w:eastAsia="es-ES"/>
        </w:rPr>
        <w:t xml:space="preserve">NOTA </w:t>
      </w:r>
      <w:r w:rsidR="00230948" w:rsidRPr="003208F0">
        <w:rPr>
          <w:rFonts w:ascii="Arial Narrow" w:hAnsi="Arial Narrow" w:cs="Arial"/>
          <w:b/>
          <w:caps/>
          <w:snapToGrid w:val="0"/>
          <w:sz w:val="24"/>
          <w:szCs w:val="24"/>
          <w:lang w:eastAsia="es-ES"/>
        </w:rPr>
        <w:t>1</w:t>
      </w:r>
      <w:r w:rsidR="00157A67" w:rsidRPr="003208F0">
        <w:rPr>
          <w:rFonts w:ascii="Arial Narrow" w:hAnsi="Arial Narrow" w:cs="Arial"/>
          <w:b/>
          <w:caps/>
          <w:snapToGrid w:val="0"/>
          <w:sz w:val="24"/>
          <w:szCs w:val="24"/>
          <w:lang w:eastAsia="es-ES"/>
        </w:rPr>
        <w:t>5</w:t>
      </w:r>
      <w:r w:rsidRPr="003208F0">
        <w:rPr>
          <w:rFonts w:ascii="Arial Narrow" w:hAnsi="Arial Narrow" w:cs="Arial"/>
          <w:b/>
          <w:caps/>
          <w:snapToGrid w:val="0"/>
          <w:sz w:val="24"/>
          <w:szCs w:val="24"/>
          <w:lang w:eastAsia="es-ES"/>
        </w:rPr>
        <w:t>.</w:t>
      </w:r>
      <w:r w:rsidRPr="003208F0">
        <w:rPr>
          <w:rFonts w:ascii="Arial Narrow" w:hAnsi="Arial Narrow" w:cs="Arial"/>
          <w:b/>
          <w:caps/>
          <w:snapToGrid w:val="0"/>
          <w:sz w:val="24"/>
          <w:szCs w:val="24"/>
          <w:u w:val="single"/>
          <w:lang w:eastAsia="es-ES"/>
        </w:rPr>
        <w:t xml:space="preserve"> </w:t>
      </w:r>
      <w:r w:rsidR="00DD368E" w:rsidRPr="003208F0">
        <w:rPr>
          <w:rFonts w:ascii="Arial Narrow" w:hAnsi="Arial Narrow" w:cs="Arial"/>
          <w:b/>
          <w:caps/>
          <w:snapToGrid w:val="0"/>
          <w:sz w:val="24"/>
          <w:szCs w:val="24"/>
          <w:u w:val="single"/>
          <w:lang w:eastAsia="es-ES"/>
        </w:rPr>
        <w:t>Hechos posteriores al cierre</w:t>
      </w:r>
    </w:p>
    <w:p w14:paraId="5094F5F2" w14:textId="77777777" w:rsidR="00D232FC" w:rsidRPr="00D232FC" w:rsidRDefault="00D232FC" w:rsidP="00D232FC">
      <w:pPr>
        <w:jc w:val="both"/>
        <w:rPr>
          <w:rFonts w:ascii="Arial Narrow" w:hAnsi="Arial Narrow" w:cs="Arial"/>
          <w:sz w:val="24"/>
          <w:szCs w:val="24"/>
        </w:rPr>
      </w:pPr>
      <w:r w:rsidRPr="00D232FC">
        <w:rPr>
          <w:rFonts w:ascii="Arial Narrow" w:hAnsi="Arial Narrow" w:cs="Arial"/>
          <w:sz w:val="24"/>
          <w:szCs w:val="24"/>
        </w:rPr>
        <w:t>Con posterioridad al 31 de diciembre de 2019, no han acaecido hechos relevantes posteriores que afecten a las cuentas anuales de la Sociedad a dicha fecha con lo que respecta a la actividad normal de la empresa.</w:t>
      </w:r>
    </w:p>
    <w:p w14:paraId="7DAC1A08" w14:textId="77777777" w:rsidR="00D232FC" w:rsidRPr="00D232FC" w:rsidRDefault="00D232FC" w:rsidP="00D232FC">
      <w:pPr>
        <w:jc w:val="both"/>
        <w:rPr>
          <w:rFonts w:ascii="Arial Narrow" w:hAnsi="Arial Narrow" w:cs="Arial"/>
          <w:sz w:val="24"/>
          <w:szCs w:val="24"/>
        </w:rPr>
      </w:pPr>
    </w:p>
    <w:p w14:paraId="4E6FA2EF" w14:textId="77777777" w:rsidR="00D232FC" w:rsidRPr="00D232FC" w:rsidRDefault="00D232FC" w:rsidP="00D232FC">
      <w:pPr>
        <w:jc w:val="both"/>
        <w:rPr>
          <w:rFonts w:ascii="Arial Narrow" w:hAnsi="Arial Narrow" w:cs="Arial"/>
          <w:sz w:val="24"/>
          <w:szCs w:val="24"/>
        </w:rPr>
      </w:pPr>
      <w:r w:rsidRPr="00D232FC">
        <w:rPr>
          <w:rFonts w:ascii="Arial Narrow" w:hAnsi="Arial Narrow" w:cs="Arial"/>
          <w:sz w:val="24"/>
          <w:szCs w:val="24"/>
        </w:rPr>
        <w:t xml:space="preserve">Sin embargo, la Organización Mundial de la Salud elevó el pasado 11 de marzo de 2020 la situación de emergencia de salud pública ocasionada por el COVID-19 a pandemia internacional. La rapidez en la evolución de los hechos, a escala nacional e internacional, requiere la adopción de medidas inmediatas y eficaces para hacer frente a esta coyuntura. Las circunstancias extraordinarias que concurren constituyen, sin duda, una crisis sanitaria sin precedentes y de enorme magnitud tanto por el muy elevado número de ciudadanos afectados como por el extraordinario riesgo para sus derechos. La autoridad sanitaria ha instado a la adopción inmediata de medidas de distanciamiento en el ámbito educativo y laboral y la reducción máxima de la movilidad. </w:t>
      </w:r>
    </w:p>
    <w:p w14:paraId="2BCA98BF" w14:textId="77777777" w:rsidR="00D232FC" w:rsidRPr="00D232FC" w:rsidRDefault="00D232FC" w:rsidP="00D232FC">
      <w:pPr>
        <w:jc w:val="both"/>
        <w:rPr>
          <w:rFonts w:ascii="Arial Narrow" w:hAnsi="Arial Narrow" w:cs="Arial"/>
          <w:sz w:val="24"/>
          <w:szCs w:val="24"/>
        </w:rPr>
      </w:pPr>
    </w:p>
    <w:p w14:paraId="16529CC6" w14:textId="77777777" w:rsidR="00D232FC" w:rsidRPr="00D232FC" w:rsidRDefault="00D232FC" w:rsidP="00D232FC">
      <w:pPr>
        <w:jc w:val="both"/>
        <w:rPr>
          <w:rFonts w:ascii="Arial Narrow" w:hAnsi="Arial Narrow" w:cs="Arial"/>
          <w:sz w:val="24"/>
          <w:szCs w:val="24"/>
        </w:rPr>
      </w:pPr>
      <w:r w:rsidRPr="00D232FC">
        <w:rPr>
          <w:rFonts w:ascii="Arial Narrow" w:hAnsi="Arial Narrow" w:cs="Arial"/>
          <w:sz w:val="24"/>
          <w:szCs w:val="24"/>
        </w:rPr>
        <w:t>En este primer momento, el Instituto Tecnológico de Canarias, S.A., elaboró un “PROTOCOLO DE MEDIDAS DE PREVENCIÓN Y RECOMENDACIONES ANTE EL COVID-19”, en línea a la información que el Gobierno de Canarias efectuaba. Dicho Protocolo está dirigido no solo al personal del ITC, sino a todas las personas que por alguna razón (prestación de servicios, alquiler o visitas, etc.) trabajen o se encuentren en alguno de los centros de trabajo del ITC. Además, se procede a suspender cualquier tipo de actividad formativa, eventos, convenciones y otras reuniones numerosas.</w:t>
      </w:r>
    </w:p>
    <w:p w14:paraId="71C5480F" w14:textId="77777777" w:rsidR="00420C37" w:rsidRDefault="00420C37" w:rsidP="00420C37">
      <w:pPr>
        <w:jc w:val="both"/>
        <w:rPr>
          <w:rFonts w:ascii="Arial Narrow" w:hAnsi="Arial Narrow" w:cs="Arial"/>
          <w:sz w:val="24"/>
          <w:szCs w:val="24"/>
        </w:rPr>
      </w:pPr>
      <w:bookmarkStart w:id="18" w:name="_Hlk36026072"/>
    </w:p>
    <w:p w14:paraId="6DB52533" w14:textId="2A3FEF1F" w:rsidR="00420C37" w:rsidRPr="00420C37" w:rsidRDefault="00420C37" w:rsidP="00420C37">
      <w:pPr>
        <w:jc w:val="both"/>
        <w:rPr>
          <w:rFonts w:ascii="Arial Narrow" w:hAnsi="Arial Narrow" w:cs="Arial"/>
          <w:sz w:val="24"/>
          <w:szCs w:val="24"/>
        </w:rPr>
      </w:pPr>
      <w:r w:rsidRPr="00420C37">
        <w:rPr>
          <w:rFonts w:ascii="Arial Narrow" w:hAnsi="Arial Narrow" w:cs="Arial"/>
          <w:sz w:val="24"/>
          <w:szCs w:val="24"/>
        </w:rPr>
        <w:t>El Gobierno de España publicó el Real Decreto 463/2020, de 14 de marzo, en virtud del cual se declaró en España el estado de alarma para la gestión de la situación de crisis sanitaria ocasionada por el COVID-19</w:t>
      </w:r>
      <w:bookmarkEnd w:id="18"/>
      <w:r w:rsidRPr="00420C37">
        <w:rPr>
          <w:rFonts w:ascii="Arial Narrow" w:hAnsi="Arial Narrow" w:cs="Arial"/>
          <w:sz w:val="24"/>
          <w:szCs w:val="24"/>
        </w:rPr>
        <w:t xml:space="preserve">. También se aprobaron los Reales Decretos 465/2020, de 17 de marzo, junto con el RDL 8/2020, de 17 de marzo, de medidas urgentes extraordinarias para hacer frente al impacto económico y social del COVID-19. </w:t>
      </w:r>
    </w:p>
    <w:p w14:paraId="5960F715" w14:textId="58E41E79" w:rsidR="00420C37" w:rsidRPr="00420C37" w:rsidRDefault="00420C37" w:rsidP="00420C37">
      <w:pPr>
        <w:jc w:val="both"/>
        <w:rPr>
          <w:rFonts w:ascii="Arial Narrow" w:hAnsi="Arial Narrow" w:cs="Arial"/>
          <w:sz w:val="24"/>
          <w:szCs w:val="24"/>
        </w:rPr>
      </w:pPr>
    </w:p>
    <w:p w14:paraId="77F3CDA5" w14:textId="77777777" w:rsidR="00420C37" w:rsidRPr="00420C37" w:rsidRDefault="00420C37" w:rsidP="00420C37">
      <w:pPr>
        <w:jc w:val="both"/>
        <w:rPr>
          <w:rFonts w:ascii="Arial Narrow" w:hAnsi="Arial Narrow" w:cs="Arial"/>
          <w:sz w:val="24"/>
          <w:szCs w:val="24"/>
        </w:rPr>
      </w:pPr>
      <w:r w:rsidRPr="00420C37">
        <w:rPr>
          <w:rFonts w:ascii="Arial Narrow" w:hAnsi="Arial Narrow" w:cs="Arial"/>
          <w:sz w:val="24"/>
          <w:szCs w:val="24"/>
        </w:rPr>
        <w:t xml:space="preserve">Mediante el Real Decreto 476/2020, de 27 de marzo, por el que se prorroga por el estado de alarma declarado por el Real Decreto 463/2020, de 14 de marzo, por el que se declara el estado de alarma para la gestión de la situación de crisis sanitaria ocasionada por el COVID-19, quedando prorrogado el estado de alarma hasta las 00:00 horas del 12 de abril de 2020, y se someterá a las mismas condiciones establecidas en el Real Decreto 463/2020, de 14 de marzo, modificado por el Real Decreto 465/2020, de 17 de marzo e incorporada la disposición adicional solicitada por el Congreso. </w:t>
      </w:r>
    </w:p>
    <w:p w14:paraId="5F253E28" w14:textId="72419453" w:rsidR="00420C37" w:rsidRPr="00420C37" w:rsidRDefault="00420C37" w:rsidP="00420C37">
      <w:pPr>
        <w:jc w:val="both"/>
        <w:rPr>
          <w:rFonts w:ascii="Arial Narrow" w:hAnsi="Arial Narrow" w:cs="Arial"/>
          <w:sz w:val="24"/>
          <w:szCs w:val="24"/>
        </w:rPr>
      </w:pPr>
    </w:p>
    <w:p w14:paraId="32CE7141" w14:textId="77777777" w:rsidR="00420C37" w:rsidRPr="00420C37" w:rsidRDefault="00420C37" w:rsidP="00420C37">
      <w:pPr>
        <w:jc w:val="both"/>
        <w:rPr>
          <w:rFonts w:ascii="Arial Narrow" w:hAnsi="Arial Narrow" w:cs="Arial"/>
          <w:sz w:val="24"/>
          <w:szCs w:val="24"/>
        </w:rPr>
      </w:pPr>
      <w:r w:rsidRPr="00420C37">
        <w:rPr>
          <w:rFonts w:ascii="Arial Narrow" w:hAnsi="Arial Narrow" w:cs="Arial"/>
          <w:sz w:val="24"/>
          <w:szCs w:val="24"/>
        </w:rPr>
        <w:t>Mediante el Real Decreto 487/2020, de 10 de abril, por el que se vuelve a prorrogar el estado de alarma declarado por el Real Decreto 463/2020, de 14 de marzo, por el que se declara el estado de alarma para la gestión de la situación de crisis sanitaria ocasionada por el COVID-19, quedando prorrogado el estado de alarma hasta las 00:00 horas del día 26 de abril de 2020, sometiéndose a las mismas condiciones establecidas en el Real Decreto 463/2020, de 14 de marzo, modificado por el Real Decreto 465/2020, de 17 de marzo, y por el Real Decreto 476/2020, de 27 de marzo, por el que se prorroga el estado de alarma declarado por el Real Decreto 463/2020, de 14 de marzo, por el que se declara el estado de alarma para la gestión de la situación de crisis sanitaria ocasionada por el COVID-19.</w:t>
      </w:r>
    </w:p>
    <w:p w14:paraId="34DB9398" w14:textId="465627CC" w:rsidR="00420C37" w:rsidRPr="00420C37" w:rsidRDefault="00420C37" w:rsidP="00420C37">
      <w:pPr>
        <w:jc w:val="both"/>
        <w:rPr>
          <w:rFonts w:ascii="Arial Narrow" w:hAnsi="Arial Narrow" w:cs="Arial"/>
          <w:sz w:val="24"/>
          <w:szCs w:val="24"/>
        </w:rPr>
      </w:pPr>
    </w:p>
    <w:p w14:paraId="66BA04E9" w14:textId="79229783" w:rsidR="00420C37" w:rsidRPr="00DF4FF4" w:rsidRDefault="00420C37" w:rsidP="00DF4FF4">
      <w:pPr>
        <w:jc w:val="both"/>
        <w:rPr>
          <w:rFonts w:ascii="Arial Narrow" w:hAnsi="Arial Narrow" w:cs="Arial"/>
          <w:sz w:val="24"/>
          <w:szCs w:val="24"/>
        </w:rPr>
      </w:pPr>
      <w:r w:rsidRPr="00420C37">
        <w:rPr>
          <w:rFonts w:ascii="Arial Narrow" w:hAnsi="Arial Narrow" w:cs="Arial"/>
          <w:sz w:val="24"/>
          <w:szCs w:val="24"/>
        </w:rPr>
        <w:t>Mediante Real Decreto 492/2020, de 24 de abril, por el que se prorroga el estado de alarma declarado por el Real Decreto 463/2020, de 14 de marzo, por el que se declara el estado de alarma para la gestión de la situación de crisis sanitaria ocasionada por el COVID-19, quedando prorrogado hasta las 00:00 horas del día 10 de mayo de 2020, y se someterá a las mismas cond</w:t>
      </w:r>
      <w:r w:rsidR="00DF4FF4">
        <w:rPr>
          <w:rFonts w:ascii="Arial Narrow" w:hAnsi="Arial Narrow" w:cs="Arial"/>
          <w:sz w:val="24"/>
          <w:szCs w:val="24"/>
        </w:rPr>
        <w:t xml:space="preserve">iciones establecidas en el Real </w:t>
      </w:r>
      <w:r w:rsidRPr="00420C37">
        <w:rPr>
          <w:rFonts w:ascii="Arial Narrow" w:hAnsi="Arial Narrow" w:cs="Arial"/>
          <w:sz w:val="24"/>
          <w:szCs w:val="24"/>
        </w:rPr>
        <w:t>Decreto 463/2020, de</w:t>
      </w:r>
      <w:r w:rsidR="00DF4FF4">
        <w:rPr>
          <w:rFonts w:ascii="Arial Narrow" w:hAnsi="Arial Narrow" w:cs="Arial"/>
          <w:sz w:val="24"/>
          <w:szCs w:val="24"/>
        </w:rPr>
        <w:t xml:space="preserve"> </w:t>
      </w:r>
      <w:r w:rsidRPr="00420C37">
        <w:rPr>
          <w:rFonts w:ascii="Arial Narrow" w:hAnsi="Arial Narrow" w:cs="Arial"/>
          <w:sz w:val="24"/>
          <w:szCs w:val="24"/>
        </w:rPr>
        <w:t>14 de marzo, y sus modificaciones.</w:t>
      </w:r>
      <w:r w:rsidRPr="00420C37">
        <w:rPr>
          <w:rFonts w:ascii="Arial Narrow" w:hAnsi="Arial Narrow" w:cs="Arial"/>
          <w:sz w:val="24"/>
          <w:szCs w:val="24"/>
        </w:rPr>
        <w:br/>
      </w:r>
    </w:p>
    <w:p w14:paraId="0C7B943F" w14:textId="77777777" w:rsidR="00420C37" w:rsidRPr="00420C37" w:rsidRDefault="00420C37" w:rsidP="00420C37">
      <w:pPr>
        <w:jc w:val="both"/>
        <w:rPr>
          <w:rFonts w:ascii="Arial Narrow" w:hAnsi="Arial Narrow" w:cs="Arial"/>
          <w:sz w:val="24"/>
          <w:szCs w:val="24"/>
          <w:lang w:val="es-ES"/>
        </w:rPr>
      </w:pPr>
      <w:r w:rsidRPr="00420C37">
        <w:rPr>
          <w:rFonts w:ascii="Arial Narrow" w:hAnsi="Arial Narrow" w:cs="Arial"/>
          <w:sz w:val="24"/>
          <w:szCs w:val="24"/>
        </w:rPr>
        <w:t>Desde la publicación del Real Decreto 463/2020, de 14 de marzo, en virtud del cual se declaró en España el estado de alarma para la gestión de la situación de crisis sanitaria ocasionada por el COVID-19, el Instituto Tecnológico de Canarias, S.A. está adoptando las siguientes medidas:</w:t>
      </w:r>
    </w:p>
    <w:p w14:paraId="7A55130B" w14:textId="77777777" w:rsidR="00D232FC" w:rsidRPr="00D232FC" w:rsidRDefault="00D232FC" w:rsidP="00D232FC">
      <w:pPr>
        <w:jc w:val="both"/>
        <w:rPr>
          <w:rFonts w:ascii="Arial Narrow" w:hAnsi="Arial Narrow" w:cs="Arial"/>
          <w:sz w:val="24"/>
          <w:szCs w:val="24"/>
        </w:rPr>
      </w:pPr>
    </w:p>
    <w:p w14:paraId="2CC89943" w14:textId="77777777" w:rsidR="00D232FC" w:rsidRPr="00D232FC" w:rsidRDefault="00D232FC" w:rsidP="00D232FC">
      <w:pPr>
        <w:jc w:val="both"/>
        <w:rPr>
          <w:rFonts w:ascii="Arial Narrow" w:hAnsi="Arial Narrow" w:cs="Arial"/>
          <w:sz w:val="24"/>
          <w:szCs w:val="24"/>
        </w:rPr>
      </w:pPr>
      <w:r w:rsidRPr="00D232FC">
        <w:rPr>
          <w:rFonts w:ascii="Arial Narrow" w:hAnsi="Arial Narrow" w:cs="Arial"/>
          <w:sz w:val="24"/>
          <w:szCs w:val="24"/>
        </w:rPr>
        <w:t>Tras la publicación del Real Decreto 463/2020, de 14 de marzo, en virtud del cual se declaró en España el estado de alarma para la gestión de la situación de crisis sanitaria ocasionada por el COVID-19. Y la aprobación de los Reales Decretos 465/2020, de 17 de marzo, junto con el RDL 8/2020, de 17 de marzo, de medidas urgentes extraordinarias para hacer frente al impacto económico y social del COVID-19, el Instituto Tecnológico de Canarias, S.A. está adoptando las siguientes medidas:</w:t>
      </w:r>
    </w:p>
    <w:p w14:paraId="26AC7A61" w14:textId="77777777" w:rsidR="00D232FC" w:rsidRPr="00D232FC" w:rsidRDefault="00D232FC" w:rsidP="00D232FC">
      <w:pPr>
        <w:jc w:val="both"/>
        <w:rPr>
          <w:rFonts w:ascii="Arial Narrow" w:hAnsi="Arial Narrow" w:cs="Arial"/>
          <w:sz w:val="24"/>
          <w:szCs w:val="24"/>
        </w:rPr>
      </w:pPr>
    </w:p>
    <w:p w14:paraId="41DFA950" w14:textId="77777777" w:rsidR="00D232FC" w:rsidRPr="00D232FC" w:rsidRDefault="00D232FC" w:rsidP="00D232FC">
      <w:pPr>
        <w:jc w:val="both"/>
        <w:rPr>
          <w:rFonts w:ascii="Arial Narrow" w:hAnsi="Arial Narrow" w:cs="Arial"/>
          <w:b/>
          <w:bCs/>
          <w:sz w:val="24"/>
          <w:szCs w:val="24"/>
        </w:rPr>
      </w:pPr>
      <w:r w:rsidRPr="00D232FC">
        <w:rPr>
          <w:rFonts w:ascii="Wingdings" w:hAnsi="Wingdings"/>
          <w:b/>
          <w:bCs/>
          <w:sz w:val="24"/>
          <w:szCs w:val="24"/>
        </w:rPr>
        <w:t></w:t>
      </w:r>
      <w:r w:rsidRPr="00D232FC">
        <w:rPr>
          <w:rFonts w:ascii="Arial Narrow" w:hAnsi="Arial Narrow" w:cs="Arial"/>
          <w:b/>
          <w:bCs/>
          <w:sz w:val="24"/>
          <w:szCs w:val="24"/>
        </w:rPr>
        <w:t>Teletrabajo (art. 5 del RDL 8/2020)</w:t>
      </w:r>
    </w:p>
    <w:p w14:paraId="3C6F463E" w14:textId="77777777" w:rsidR="00D232FC" w:rsidRPr="00D232FC" w:rsidRDefault="00D232FC" w:rsidP="00D232FC">
      <w:pPr>
        <w:jc w:val="both"/>
        <w:rPr>
          <w:rFonts w:ascii="Arial Narrow" w:hAnsi="Arial Narrow" w:cs="Arial"/>
          <w:sz w:val="24"/>
          <w:szCs w:val="24"/>
        </w:rPr>
      </w:pPr>
      <w:r w:rsidRPr="00D232FC">
        <w:rPr>
          <w:rFonts w:ascii="Arial Narrow" w:hAnsi="Arial Narrow" w:cs="Arial"/>
          <w:sz w:val="24"/>
          <w:szCs w:val="24"/>
        </w:rPr>
        <w:t xml:space="preserve">Se ha facilitado al 90% de los trabajadores de la empresa el teletrabajo, lo cual minimiza los riesgos y facilita el cumplimiento de las medidas de aislamiento que se están dictando. Se han adoptado medidas para minimizar los riesgos de contagios de aquellos trabajadores, que por la condición de su puesto no se pueden acoger al teletrabajo alguna de estas medidas es: el cierre de áreas sin actividad, la concentración de la limpieza en las áreas donde se trabaja, el fichaje mediante la aplicación </w:t>
      </w:r>
      <w:proofErr w:type="spellStart"/>
      <w:r w:rsidRPr="00D232FC">
        <w:rPr>
          <w:rFonts w:ascii="Arial Narrow" w:hAnsi="Arial Narrow" w:cs="Arial"/>
          <w:sz w:val="24"/>
          <w:szCs w:val="24"/>
        </w:rPr>
        <w:t>Geogestión</w:t>
      </w:r>
      <w:proofErr w:type="spellEnd"/>
      <w:r w:rsidRPr="00D232FC">
        <w:rPr>
          <w:rFonts w:ascii="Arial Narrow" w:hAnsi="Arial Narrow" w:cs="Arial"/>
          <w:sz w:val="24"/>
          <w:szCs w:val="24"/>
        </w:rPr>
        <w:t xml:space="preserve"> horaria, evitando el fichaje mediante huella, etc.).</w:t>
      </w:r>
    </w:p>
    <w:p w14:paraId="13E68CBF" w14:textId="77777777" w:rsidR="00D232FC" w:rsidRPr="00D232FC" w:rsidRDefault="00D232FC" w:rsidP="00D232FC">
      <w:pPr>
        <w:jc w:val="both"/>
        <w:rPr>
          <w:rFonts w:ascii="Arial Narrow" w:hAnsi="Arial Narrow" w:cs="Arial"/>
          <w:b/>
          <w:bCs/>
          <w:sz w:val="24"/>
          <w:szCs w:val="24"/>
        </w:rPr>
      </w:pPr>
    </w:p>
    <w:p w14:paraId="0EB23529" w14:textId="77777777" w:rsidR="00D232FC" w:rsidRPr="00D232FC" w:rsidRDefault="00D232FC" w:rsidP="00D232FC">
      <w:pPr>
        <w:jc w:val="both"/>
        <w:rPr>
          <w:rFonts w:ascii="Arial Narrow" w:hAnsi="Arial Narrow" w:cs="Arial"/>
          <w:b/>
          <w:bCs/>
          <w:sz w:val="24"/>
          <w:szCs w:val="24"/>
        </w:rPr>
      </w:pPr>
      <w:r w:rsidRPr="00D232FC">
        <w:rPr>
          <w:rFonts w:ascii="Wingdings" w:hAnsi="Wingdings"/>
          <w:b/>
          <w:bCs/>
          <w:sz w:val="24"/>
          <w:szCs w:val="24"/>
        </w:rPr>
        <w:t></w:t>
      </w:r>
      <w:r w:rsidRPr="00D232FC">
        <w:rPr>
          <w:rFonts w:ascii="Arial Narrow" w:hAnsi="Arial Narrow" w:cs="Arial"/>
          <w:b/>
          <w:bCs/>
          <w:sz w:val="24"/>
          <w:szCs w:val="24"/>
        </w:rPr>
        <w:t xml:space="preserve">  Medidas en materia de contratación pública para paliar las consecuencias del COVID-19 (art. 34 del RDL 8/2020)</w:t>
      </w:r>
    </w:p>
    <w:p w14:paraId="65AE1B17" w14:textId="77777777" w:rsidR="00D232FC" w:rsidRPr="00D232FC" w:rsidRDefault="00D232FC" w:rsidP="00D232FC">
      <w:pPr>
        <w:jc w:val="both"/>
        <w:rPr>
          <w:rFonts w:ascii="Arial Narrow" w:hAnsi="Arial Narrow" w:cs="Arial"/>
          <w:sz w:val="24"/>
          <w:szCs w:val="24"/>
        </w:rPr>
      </w:pPr>
      <w:r w:rsidRPr="00D232FC">
        <w:rPr>
          <w:rFonts w:ascii="Arial Narrow" w:hAnsi="Arial Narrow" w:cs="Arial"/>
          <w:sz w:val="24"/>
          <w:szCs w:val="24"/>
        </w:rPr>
        <w:t>Suspensión de algunos contratos por COVID-19 hasta que se pueda reanudar la prestación una vez finalizado el estado de alarma.</w:t>
      </w:r>
    </w:p>
    <w:p w14:paraId="63524035" w14:textId="77777777" w:rsidR="00D232FC" w:rsidRPr="00D232FC" w:rsidRDefault="00D232FC" w:rsidP="00D232FC">
      <w:pPr>
        <w:jc w:val="both"/>
        <w:rPr>
          <w:rFonts w:ascii="Arial Narrow" w:hAnsi="Arial Narrow" w:cs="Arial"/>
          <w:sz w:val="24"/>
          <w:szCs w:val="24"/>
        </w:rPr>
      </w:pPr>
    </w:p>
    <w:p w14:paraId="65761EF2" w14:textId="77777777" w:rsidR="00D232FC" w:rsidRPr="00D232FC" w:rsidRDefault="00D232FC" w:rsidP="00C60DD6">
      <w:pPr>
        <w:keepNext/>
        <w:keepLines/>
        <w:jc w:val="both"/>
        <w:rPr>
          <w:rFonts w:ascii="Arial Narrow" w:hAnsi="Arial Narrow" w:cs="Arial"/>
          <w:b/>
          <w:bCs/>
          <w:sz w:val="24"/>
          <w:szCs w:val="24"/>
        </w:rPr>
      </w:pPr>
      <w:r w:rsidRPr="00D232FC">
        <w:rPr>
          <w:rFonts w:ascii="Wingdings" w:hAnsi="Wingdings"/>
          <w:b/>
          <w:bCs/>
          <w:sz w:val="24"/>
          <w:szCs w:val="24"/>
        </w:rPr>
        <w:t></w:t>
      </w:r>
      <w:r w:rsidRPr="00D232FC">
        <w:rPr>
          <w:rFonts w:ascii="Arial Narrow" w:hAnsi="Arial Narrow" w:cs="Arial"/>
          <w:b/>
          <w:bCs/>
          <w:sz w:val="24"/>
          <w:szCs w:val="24"/>
        </w:rPr>
        <w:t xml:space="preserve">  Suspensión de plazos administrativos.</w:t>
      </w:r>
    </w:p>
    <w:p w14:paraId="7F8E271E" w14:textId="77777777" w:rsidR="008E749E" w:rsidRPr="00C502B0" w:rsidRDefault="00D232FC" w:rsidP="00C60DD6">
      <w:pPr>
        <w:keepNext/>
        <w:keepLines/>
        <w:jc w:val="both"/>
        <w:rPr>
          <w:rFonts w:ascii="Arial Narrow" w:hAnsi="Arial Narrow" w:cs="Arial"/>
          <w:sz w:val="24"/>
          <w:szCs w:val="24"/>
        </w:rPr>
      </w:pPr>
      <w:r w:rsidRPr="00D232FC">
        <w:rPr>
          <w:rFonts w:ascii="Arial Narrow" w:hAnsi="Arial Narrow" w:cs="Arial"/>
          <w:sz w:val="24"/>
          <w:szCs w:val="24"/>
        </w:rPr>
        <w:t>Nos vamos a acoger a las suspensiones de plazo para la justificación de subvenciones y encargos de prestación de servicios a la Comunidad autónoma, siempre que por motivos del COVID-19 no puedan completarse la totalidad de las actuaciones objeto de los proyectos</w:t>
      </w:r>
    </w:p>
    <w:bookmarkEnd w:id="17"/>
    <w:p w14:paraId="0B7F97BF" w14:textId="77777777" w:rsidR="003569CE" w:rsidRPr="003208F0" w:rsidRDefault="003569CE">
      <w:pPr>
        <w:rPr>
          <w:rFonts w:ascii="Arial Narrow" w:hAnsi="Arial Narrow" w:cs="Arial"/>
          <w:sz w:val="24"/>
          <w:szCs w:val="24"/>
        </w:rPr>
      </w:pPr>
    </w:p>
    <w:p w14:paraId="38ED38F4" w14:textId="77777777" w:rsidR="008B5E17" w:rsidRPr="003208F0" w:rsidRDefault="00D6097D" w:rsidP="00A47157">
      <w:pPr>
        <w:keepNext/>
        <w:keepLines/>
        <w:spacing w:before="120" w:after="120"/>
        <w:rPr>
          <w:rFonts w:ascii="Arial Narrow" w:hAnsi="Arial Narrow" w:cs="Arial"/>
          <w:b/>
          <w:caps/>
          <w:snapToGrid w:val="0"/>
          <w:sz w:val="24"/>
          <w:szCs w:val="24"/>
          <w:u w:val="single"/>
          <w:lang w:eastAsia="es-ES"/>
        </w:rPr>
      </w:pPr>
      <w:r w:rsidRPr="003208F0">
        <w:rPr>
          <w:rFonts w:ascii="Arial Narrow" w:hAnsi="Arial Narrow" w:cs="Arial"/>
          <w:b/>
          <w:caps/>
          <w:snapToGrid w:val="0"/>
          <w:sz w:val="24"/>
          <w:szCs w:val="24"/>
          <w:lang w:eastAsia="es-ES"/>
        </w:rPr>
        <w:t xml:space="preserve">nota </w:t>
      </w:r>
      <w:r w:rsidR="00230948" w:rsidRPr="003208F0">
        <w:rPr>
          <w:rFonts w:ascii="Arial Narrow" w:hAnsi="Arial Narrow" w:cs="Arial"/>
          <w:b/>
          <w:caps/>
          <w:snapToGrid w:val="0"/>
          <w:sz w:val="24"/>
          <w:szCs w:val="24"/>
          <w:lang w:eastAsia="es-ES"/>
        </w:rPr>
        <w:t>1</w:t>
      </w:r>
      <w:r w:rsidR="00157A67" w:rsidRPr="003208F0">
        <w:rPr>
          <w:rFonts w:ascii="Arial Narrow" w:hAnsi="Arial Narrow" w:cs="Arial"/>
          <w:b/>
          <w:caps/>
          <w:snapToGrid w:val="0"/>
          <w:sz w:val="24"/>
          <w:szCs w:val="24"/>
          <w:lang w:eastAsia="es-ES"/>
        </w:rPr>
        <w:t>6</w:t>
      </w:r>
      <w:r w:rsidRPr="003208F0">
        <w:rPr>
          <w:rFonts w:ascii="Arial Narrow" w:hAnsi="Arial Narrow" w:cs="Arial"/>
          <w:b/>
          <w:caps/>
          <w:snapToGrid w:val="0"/>
          <w:sz w:val="24"/>
          <w:szCs w:val="24"/>
          <w:lang w:eastAsia="es-ES"/>
        </w:rPr>
        <w:t xml:space="preserve">. </w:t>
      </w:r>
      <w:r w:rsidR="008B5E17" w:rsidRPr="003208F0">
        <w:rPr>
          <w:rFonts w:ascii="Arial Narrow" w:hAnsi="Arial Narrow" w:cs="Arial"/>
          <w:b/>
          <w:caps/>
          <w:snapToGrid w:val="0"/>
          <w:sz w:val="24"/>
          <w:szCs w:val="24"/>
          <w:u w:val="single"/>
          <w:lang w:eastAsia="es-ES"/>
        </w:rPr>
        <w:t>operaciones con partes vinculadas</w:t>
      </w:r>
    </w:p>
    <w:p w14:paraId="7FAEB5D0" w14:textId="77777777" w:rsidR="008B5E17" w:rsidRPr="00892DA0" w:rsidRDefault="008B5E17" w:rsidP="00A47157">
      <w:pPr>
        <w:keepNext/>
        <w:keepLines/>
        <w:spacing w:before="240" w:after="120"/>
        <w:jc w:val="both"/>
        <w:rPr>
          <w:rFonts w:ascii="Arial Narrow" w:hAnsi="Arial Narrow" w:cs="Arial"/>
          <w:color w:val="FF0000"/>
          <w:sz w:val="24"/>
          <w:szCs w:val="24"/>
        </w:rPr>
      </w:pPr>
      <w:r w:rsidRPr="003208F0">
        <w:rPr>
          <w:rFonts w:ascii="Arial Narrow" w:hAnsi="Arial Narrow" w:cs="Arial"/>
          <w:sz w:val="24"/>
          <w:szCs w:val="24"/>
        </w:rPr>
        <w:t xml:space="preserve">Las partes vinculadas con las que la Sociedad ha realizado </w:t>
      </w:r>
      <w:r w:rsidRPr="00261515">
        <w:rPr>
          <w:rFonts w:ascii="Arial Narrow" w:hAnsi="Arial Narrow" w:cs="Arial"/>
          <w:sz w:val="24"/>
          <w:szCs w:val="24"/>
        </w:rPr>
        <w:t xml:space="preserve">transacciones durante el </w:t>
      </w:r>
      <w:r w:rsidR="005E6DBF" w:rsidRPr="00261515">
        <w:rPr>
          <w:rFonts w:ascii="Arial Narrow" w:hAnsi="Arial Narrow" w:cs="Arial"/>
          <w:sz w:val="24"/>
          <w:szCs w:val="24"/>
        </w:rPr>
        <w:t>ejercicio 201</w:t>
      </w:r>
      <w:r w:rsidR="00087148">
        <w:rPr>
          <w:rFonts w:ascii="Arial Narrow" w:hAnsi="Arial Narrow" w:cs="Arial"/>
          <w:sz w:val="24"/>
          <w:szCs w:val="24"/>
        </w:rPr>
        <w:t>9</w:t>
      </w:r>
      <w:r w:rsidRPr="00261515">
        <w:rPr>
          <w:rFonts w:ascii="Arial Narrow" w:hAnsi="Arial Narrow" w:cs="Arial"/>
          <w:sz w:val="24"/>
          <w:szCs w:val="24"/>
        </w:rPr>
        <w:t xml:space="preserve"> y 201</w:t>
      </w:r>
      <w:r w:rsidR="00087148">
        <w:rPr>
          <w:rFonts w:ascii="Arial Narrow" w:hAnsi="Arial Narrow" w:cs="Arial"/>
          <w:sz w:val="24"/>
          <w:szCs w:val="24"/>
        </w:rPr>
        <w:t>8</w:t>
      </w:r>
      <w:r w:rsidRPr="00261515">
        <w:rPr>
          <w:rFonts w:ascii="Arial Narrow" w:hAnsi="Arial Narrow" w:cs="Arial"/>
          <w:sz w:val="24"/>
          <w:szCs w:val="24"/>
        </w:rPr>
        <w:t xml:space="preserve">, así como </w:t>
      </w:r>
      <w:r w:rsidRPr="00892DA0">
        <w:rPr>
          <w:rFonts w:ascii="Arial Narrow" w:hAnsi="Arial Narrow" w:cs="Arial"/>
          <w:sz w:val="24"/>
          <w:szCs w:val="24"/>
        </w:rPr>
        <w:t>la naturaleza de dicha vinculación, es la siguiente:</w:t>
      </w:r>
    </w:p>
    <w:tbl>
      <w:tblPr>
        <w:tblW w:w="4536" w:type="dxa"/>
        <w:jc w:val="center"/>
        <w:tblLayout w:type="fixed"/>
        <w:tblCellMar>
          <w:left w:w="70" w:type="dxa"/>
          <w:right w:w="70" w:type="dxa"/>
        </w:tblCellMar>
        <w:tblLook w:val="04A0" w:firstRow="1" w:lastRow="0" w:firstColumn="1" w:lastColumn="0" w:noHBand="0" w:noVBand="1"/>
      </w:tblPr>
      <w:tblGrid>
        <w:gridCol w:w="2429"/>
        <w:gridCol w:w="2107"/>
      </w:tblGrid>
      <w:tr w:rsidR="000E37AC" w:rsidRPr="00892DA0" w14:paraId="3E8A0DAE" w14:textId="77777777" w:rsidTr="003208F0">
        <w:trPr>
          <w:trHeight w:val="284"/>
          <w:jc w:val="center"/>
        </w:trPr>
        <w:tc>
          <w:tcPr>
            <w:tcW w:w="2677" w:type="pct"/>
            <w:tcBorders>
              <w:top w:val="nil"/>
              <w:left w:val="nil"/>
              <w:bottom w:val="nil"/>
              <w:right w:val="nil"/>
            </w:tcBorders>
            <w:shd w:val="clear" w:color="000000" w:fill="D9D9D9" w:themeFill="background1" w:themeFillShade="D9"/>
            <w:vAlign w:val="center"/>
            <w:hideMark/>
          </w:tcPr>
          <w:p w14:paraId="6C81F036" w14:textId="77777777" w:rsidR="00A61D82" w:rsidRPr="00433C75" w:rsidRDefault="00A61D82" w:rsidP="003208F0">
            <w:pPr>
              <w:ind w:left="214"/>
              <w:jc w:val="center"/>
              <w:rPr>
                <w:rFonts w:ascii="Arial Narrow" w:hAnsi="Arial Narrow"/>
                <w:b/>
                <w:bCs/>
                <w:sz w:val="20"/>
                <w:lang w:eastAsia="es-ES"/>
              </w:rPr>
            </w:pPr>
            <w:r w:rsidRPr="00433C75">
              <w:rPr>
                <w:rFonts w:ascii="Arial Narrow" w:hAnsi="Arial Narrow"/>
                <w:b/>
                <w:bCs/>
                <w:sz w:val="20"/>
                <w:lang w:eastAsia="es-ES"/>
              </w:rPr>
              <w:t>Sociedad</w:t>
            </w:r>
          </w:p>
        </w:tc>
        <w:tc>
          <w:tcPr>
            <w:tcW w:w="2323" w:type="pct"/>
            <w:tcBorders>
              <w:top w:val="nil"/>
              <w:left w:val="nil"/>
              <w:bottom w:val="nil"/>
              <w:right w:val="nil"/>
            </w:tcBorders>
            <w:shd w:val="clear" w:color="000000" w:fill="D9D9D9" w:themeFill="background1" w:themeFillShade="D9"/>
            <w:vAlign w:val="center"/>
            <w:hideMark/>
          </w:tcPr>
          <w:p w14:paraId="4FE92700" w14:textId="77777777" w:rsidR="00A61D82" w:rsidRPr="00433C75" w:rsidRDefault="00A61D82" w:rsidP="003208F0">
            <w:pPr>
              <w:jc w:val="center"/>
              <w:rPr>
                <w:rFonts w:ascii="Arial Narrow" w:hAnsi="Arial Narrow"/>
                <w:b/>
                <w:bCs/>
                <w:sz w:val="20"/>
                <w:lang w:eastAsia="es-ES"/>
              </w:rPr>
            </w:pPr>
            <w:r w:rsidRPr="00433C75">
              <w:rPr>
                <w:rFonts w:ascii="Arial Narrow" w:hAnsi="Arial Narrow"/>
                <w:b/>
                <w:bCs/>
                <w:sz w:val="20"/>
                <w:lang w:eastAsia="es-ES"/>
              </w:rPr>
              <w:t>Naturaleza de la vinculación</w:t>
            </w:r>
          </w:p>
        </w:tc>
      </w:tr>
      <w:tr w:rsidR="000E37AC" w:rsidRPr="00892DA0" w14:paraId="790943B9" w14:textId="77777777" w:rsidTr="003208F0">
        <w:trPr>
          <w:trHeight w:val="340"/>
          <w:jc w:val="center"/>
        </w:trPr>
        <w:tc>
          <w:tcPr>
            <w:tcW w:w="2677" w:type="pct"/>
            <w:tcBorders>
              <w:top w:val="nil"/>
              <w:left w:val="nil"/>
              <w:bottom w:val="nil"/>
              <w:right w:val="nil"/>
            </w:tcBorders>
            <w:shd w:val="clear" w:color="auto" w:fill="auto"/>
            <w:noWrap/>
            <w:vAlign w:val="center"/>
            <w:hideMark/>
          </w:tcPr>
          <w:p w14:paraId="513BAE84" w14:textId="77777777" w:rsidR="00A61D82" w:rsidRPr="00433C75" w:rsidRDefault="00A61D82" w:rsidP="003208F0">
            <w:pPr>
              <w:rPr>
                <w:rFonts w:ascii="Arial Narrow" w:hAnsi="Arial Narrow"/>
                <w:sz w:val="20"/>
                <w:lang w:eastAsia="es-ES"/>
              </w:rPr>
            </w:pPr>
            <w:r w:rsidRPr="00433C75">
              <w:rPr>
                <w:rFonts w:ascii="Arial Narrow" w:hAnsi="Arial Narrow"/>
                <w:sz w:val="20"/>
                <w:lang w:eastAsia="es-ES"/>
              </w:rPr>
              <w:t>Parques Eólicos Gaviota, S.A.</w:t>
            </w:r>
          </w:p>
        </w:tc>
        <w:tc>
          <w:tcPr>
            <w:tcW w:w="2323" w:type="pct"/>
            <w:tcBorders>
              <w:top w:val="nil"/>
              <w:left w:val="nil"/>
              <w:bottom w:val="nil"/>
              <w:right w:val="nil"/>
            </w:tcBorders>
            <w:shd w:val="clear" w:color="auto" w:fill="auto"/>
            <w:noWrap/>
            <w:vAlign w:val="center"/>
            <w:hideMark/>
          </w:tcPr>
          <w:p w14:paraId="79A2E3C7" w14:textId="77777777" w:rsidR="00A61D82" w:rsidRPr="00433C75" w:rsidRDefault="00A61D82" w:rsidP="003208F0">
            <w:pPr>
              <w:rPr>
                <w:rFonts w:ascii="Arial Narrow" w:hAnsi="Arial Narrow"/>
                <w:sz w:val="20"/>
                <w:lang w:eastAsia="es-ES"/>
              </w:rPr>
            </w:pPr>
            <w:r w:rsidRPr="00433C75">
              <w:rPr>
                <w:rFonts w:ascii="Arial Narrow" w:hAnsi="Arial Narrow"/>
                <w:sz w:val="20"/>
                <w:lang w:eastAsia="es-ES"/>
              </w:rPr>
              <w:t>Empresa asociada</w:t>
            </w:r>
          </w:p>
        </w:tc>
      </w:tr>
      <w:tr w:rsidR="000E37AC" w:rsidRPr="000E37AC" w14:paraId="5B0F7731" w14:textId="77777777" w:rsidTr="003208F0">
        <w:trPr>
          <w:trHeight w:val="340"/>
          <w:jc w:val="center"/>
        </w:trPr>
        <w:tc>
          <w:tcPr>
            <w:tcW w:w="2677" w:type="pct"/>
            <w:tcBorders>
              <w:top w:val="nil"/>
              <w:left w:val="nil"/>
              <w:bottom w:val="nil"/>
              <w:right w:val="nil"/>
            </w:tcBorders>
            <w:shd w:val="clear" w:color="auto" w:fill="auto"/>
            <w:noWrap/>
            <w:vAlign w:val="center"/>
          </w:tcPr>
          <w:p w14:paraId="737808EA" w14:textId="77777777" w:rsidR="002703C2" w:rsidRPr="00433C75" w:rsidRDefault="002703C2" w:rsidP="003208F0">
            <w:pPr>
              <w:rPr>
                <w:rFonts w:ascii="Arial Narrow" w:hAnsi="Arial Narrow"/>
                <w:sz w:val="20"/>
                <w:lang w:eastAsia="es-ES"/>
              </w:rPr>
            </w:pPr>
            <w:r w:rsidRPr="00433C75">
              <w:rPr>
                <w:rFonts w:ascii="Arial Narrow" w:hAnsi="Arial Narrow"/>
                <w:sz w:val="20"/>
                <w:lang w:eastAsia="es-ES"/>
              </w:rPr>
              <w:t>Megaturbinas Arinaga, S.A.</w:t>
            </w:r>
          </w:p>
        </w:tc>
        <w:tc>
          <w:tcPr>
            <w:tcW w:w="2323" w:type="pct"/>
            <w:tcBorders>
              <w:top w:val="nil"/>
              <w:left w:val="nil"/>
              <w:bottom w:val="nil"/>
              <w:right w:val="nil"/>
            </w:tcBorders>
            <w:shd w:val="clear" w:color="auto" w:fill="auto"/>
            <w:noWrap/>
            <w:vAlign w:val="center"/>
          </w:tcPr>
          <w:p w14:paraId="5EFAEAD3" w14:textId="77777777" w:rsidR="002703C2" w:rsidRPr="000E37AC" w:rsidRDefault="002703C2" w:rsidP="003208F0">
            <w:pPr>
              <w:rPr>
                <w:rFonts w:ascii="Arial Narrow" w:hAnsi="Arial Narrow"/>
                <w:sz w:val="20"/>
                <w:lang w:eastAsia="es-ES"/>
              </w:rPr>
            </w:pPr>
            <w:r w:rsidRPr="00433C75">
              <w:rPr>
                <w:rFonts w:ascii="Arial Narrow" w:hAnsi="Arial Narrow"/>
                <w:sz w:val="20"/>
                <w:lang w:eastAsia="es-ES"/>
              </w:rPr>
              <w:t>Empresa asociada</w:t>
            </w:r>
          </w:p>
        </w:tc>
      </w:tr>
      <w:tr w:rsidR="000E37AC" w:rsidRPr="000E37AC" w14:paraId="01E94738" w14:textId="77777777" w:rsidTr="000E37AC">
        <w:trPr>
          <w:trHeight w:val="227"/>
          <w:jc w:val="center"/>
        </w:trPr>
        <w:tc>
          <w:tcPr>
            <w:tcW w:w="2677" w:type="pct"/>
            <w:tcBorders>
              <w:top w:val="nil"/>
              <w:left w:val="nil"/>
              <w:bottom w:val="nil"/>
              <w:right w:val="nil"/>
            </w:tcBorders>
            <w:shd w:val="clear" w:color="000000" w:fill="E0E0E0"/>
            <w:vAlign w:val="bottom"/>
          </w:tcPr>
          <w:p w14:paraId="7B5C8B22" w14:textId="77777777" w:rsidR="00A61D82" w:rsidRPr="000E37AC" w:rsidRDefault="00A61D82" w:rsidP="00254374">
            <w:pPr>
              <w:ind w:left="214"/>
              <w:rPr>
                <w:rFonts w:ascii="Arial Narrow" w:hAnsi="Arial Narrow"/>
                <w:b/>
                <w:bCs/>
                <w:sz w:val="20"/>
                <w:lang w:eastAsia="es-ES"/>
              </w:rPr>
            </w:pPr>
          </w:p>
        </w:tc>
        <w:tc>
          <w:tcPr>
            <w:tcW w:w="2323" w:type="pct"/>
            <w:tcBorders>
              <w:top w:val="nil"/>
              <w:left w:val="nil"/>
              <w:bottom w:val="nil"/>
              <w:right w:val="nil"/>
            </w:tcBorders>
            <w:shd w:val="clear" w:color="000000" w:fill="E0E0E0"/>
            <w:vAlign w:val="bottom"/>
          </w:tcPr>
          <w:p w14:paraId="28528C9E" w14:textId="77777777" w:rsidR="00A61D82" w:rsidRPr="000E37AC" w:rsidRDefault="00A61D82" w:rsidP="00A61D82">
            <w:pPr>
              <w:jc w:val="right"/>
              <w:rPr>
                <w:rFonts w:ascii="Arial Narrow" w:hAnsi="Arial Narrow"/>
                <w:b/>
                <w:bCs/>
                <w:sz w:val="20"/>
                <w:lang w:eastAsia="es-ES"/>
              </w:rPr>
            </w:pPr>
          </w:p>
        </w:tc>
      </w:tr>
    </w:tbl>
    <w:p w14:paraId="6D5DDD33" w14:textId="77777777" w:rsidR="00FF4B47" w:rsidRPr="00F56ADE" w:rsidRDefault="00FF4B47" w:rsidP="00E43BB4">
      <w:pPr>
        <w:spacing w:before="120" w:after="120"/>
        <w:jc w:val="both"/>
        <w:rPr>
          <w:rFonts w:ascii="Arial Narrow" w:hAnsi="Arial Narrow" w:cs="Arial"/>
          <w:color w:val="FF0000"/>
          <w:sz w:val="24"/>
          <w:szCs w:val="24"/>
        </w:rPr>
      </w:pPr>
    </w:p>
    <w:p w14:paraId="44FBCDAA" w14:textId="77777777" w:rsidR="003373CD" w:rsidRDefault="003373CD" w:rsidP="003373CD">
      <w:pPr>
        <w:spacing w:before="120" w:after="120"/>
        <w:rPr>
          <w:rFonts w:ascii="Arial Narrow" w:hAnsi="Arial Narrow" w:cs="Arial"/>
          <w:sz w:val="24"/>
          <w:szCs w:val="24"/>
        </w:rPr>
      </w:pPr>
      <w:r w:rsidRPr="004C51D6">
        <w:rPr>
          <w:rFonts w:ascii="Arial Narrow" w:hAnsi="Arial Narrow" w:cs="Arial"/>
          <w:sz w:val="24"/>
          <w:szCs w:val="24"/>
        </w:rPr>
        <w:t xml:space="preserve">El detalle de las transacciones efectuadas con partes vinculadas durante el </w:t>
      </w:r>
      <w:r w:rsidRPr="00433C75">
        <w:rPr>
          <w:rFonts w:ascii="Arial Narrow" w:hAnsi="Arial Narrow" w:cs="Arial"/>
          <w:sz w:val="24"/>
          <w:szCs w:val="24"/>
        </w:rPr>
        <w:t>ejercicio 201</w:t>
      </w:r>
      <w:r w:rsidR="00087148">
        <w:rPr>
          <w:rFonts w:ascii="Arial Narrow" w:hAnsi="Arial Narrow" w:cs="Arial"/>
          <w:sz w:val="24"/>
          <w:szCs w:val="24"/>
        </w:rPr>
        <w:t>9</w:t>
      </w:r>
      <w:r w:rsidRPr="00433C75">
        <w:rPr>
          <w:rFonts w:ascii="Arial Narrow" w:hAnsi="Arial Narrow" w:cs="Arial"/>
          <w:sz w:val="24"/>
          <w:szCs w:val="24"/>
        </w:rPr>
        <w:t xml:space="preserve"> y 201</w:t>
      </w:r>
      <w:r w:rsidR="00087148">
        <w:rPr>
          <w:rFonts w:ascii="Arial Narrow" w:hAnsi="Arial Narrow" w:cs="Arial"/>
          <w:sz w:val="24"/>
          <w:szCs w:val="24"/>
        </w:rPr>
        <w:t>8</w:t>
      </w:r>
      <w:r w:rsidRPr="00433C75">
        <w:rPr>
          <w:rFonts w:ascii="Arial Narrow" w:hAnsi="Arial Narrow" w:cs="Arial"/>
          <w:sz w:val="24"/>
          <w:szCs w:val="24"/>
        </w:rPr>
        <w:t xml:space="preserve"> se</w:t>
      </w:r>
      <w:r>
        <w:rPr>
          <w:rFonts w:ascii="Arial Narrow" w:hAnsi="Arial Narrow" w:cs="Arial"/>
          <w:sz w:val="24"/>
          <w:szCs w:val="24"/>
        </w:rPr>
        <w:t xml:space="preserve"> </w:t>
      </w:r>
      <w:r w:rsidRPr="00433C75">
        <w:rPr>
          <w:rFonts w:ascii="Arial Narrow" w:hAnsi="Arial Narrow" w:cs="Arial"/>
          <w:sz w:val="24"/>
          <w:szCs w:val="24"/>
        </w:rPr>
        <w:t>indica a continuación, en euros:</w:t>
      </w:r>
    </w:p>
    <w:p w14:paraId="0B0DBEF7" w14:textId="77777777" w:rsidR="00433C75" w:rsidRDefault="00087148" w:rsidP="00032181">
      <w:pPr>
        <w:spacing w:before="120" w:after="120"/>
        <w:jc w:val="center"/>
        <w:rPr>
          <w:rFonts w:ascii="Arial Narrow" w:hAnsi="Arial Narrow" w:cs="Arial"/>
          <w:sz w:val="24"/>
          <w:szCs w:val="24"/>
        </w:rPr>
      </w:pPr>
      <w:r w:rsidRPr="00087148">
        <w:rPr>
          <w:noProof/>
          <w:lang w:val="es-ES" w:eastAsia="es-ES"/>
        </w:rPr>
        <w:drawing>
          <wp:inline distT="0" distB="0" distL="0" distR="0" wp14:anchorId="28B68A6B" wp14:editId="7DE8E430">
            <wp:extent cx="3847381" cy="983615"/>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52975" cy="985045"/>
                    </a:xfrm>
                    <a:prstGeom prst="rect">
                      <a:avLst/>
                    </a:prstGeom>
                    <a:noFill/>
                    <a:ln>
                      <a:noFill/>
                    </a:ln>
                  </pic:spPr>
                </pic:pic>
              </a:graphicData>
            </a:graphic>
          </wp:inline>
        </w:drawing>
      </w:r>
    </w:p>
    <w:p w14:paraId="2963B2CB" w14:textId="77777777" w:rsidR="00FF4B47" w:rsidRPr="000E37AC" w:rsidRDefault="00FF4B47" w:rsidP="00032181">
      <w:pPr>
        <w:spacing w:before="120" w:after="120"/>
        <w:jc w:val="both"/>
        <w:rPr>
          <w:rFonts w:ascii="Arial Narrow" w:hAnsi="Arial Narrow" w:cs="Arial"/>
          <w:sz w:val="24"/>
          <w:szCs w:val="24"/>
        </w:rPr>
      </w:pPr>
    </w:p>
    <w:p w14:paraId="70CEDDE6" w14:textId="77777777" w:rsidR="007D6025" w:rsidRPr="00660191" w:rsidRDefault="007D6025" w:rsidP="00254374">
      <w:pPr>
        <w:spacing w:before="120" w:after="120"/>
        <w:jc w:val="both"/>
        <w:rPr>
          <w:rFonts w:ascii="Arial Narrow" w:hAnsi="Arial Narrow" w:cs="Arial"/>
          <w:sz w:val="24"/>
          <w:szCs w:val="24"/>
        </w:rPr>
      </w:pPr>
      <w:r w:rsidRPr="000E37AC">
        <w:rPr>
          <w:rFonts w:ascii="Arial Narrow" w:hAnsi="Arial Narrow" w:cs="Arial"/>
          <w:sz w:val="24"/>
          <w:szCs w:val="24"/>
        </w:rPr>
        <w:t xml:space="preserve">Los </w:t>
      </w:r>
      <w:r w:rsidRPr="00660191">
        <w:rPr>
          <w:rFonts w:ascii="Arial Narrow" w:hAnsi="Arial Narrow" w:cs="Arial"/>
          <w:sz w:val="24"/>
          <w:szCs w:val="24"/>
        </w:rPr>
        <w:t>saldos más significativos que se mantenían con partes vinculadas a 3</w:t>
      </w:r>
      <w:r w:rsidR="000E37AC" w:rsidRPr="00660191">
        <w:rPr>
          <w:rFonts w:ascii="Arial Narrow" w:hAnsi="Arial Narrow" w:cs="Arial"/>
          <w:sz w:val="24"/>
          <w:szCs w:val="24"/>
        </w:rPr>
        <w:t>1</w:t>
      </w:r>
      <w:r w:rsidRPr="00660191">
        <w:rPr>
          <w:rFonts w:ascii="Arial Narrow" w:hAnsi="Arial Narrow" w:cs="Arial"/>
          <w:sz w:val="24"/>
          <w:szCs w:val="24"/>
        </w:rPr>
        <w:t xml:space="preserve"> de diciembre </w:t>
      </w:r>
      <w:r w:rsidRPr="00433C75">
        <w:rPr>
          <w:rFonts w:ascii="Arial Narrow" w:hAnsi="Arial Narrow" w:cs="Arial"/>
          <w:sz w:val="24"/>
          <w:szCs w:val="24"/>
        </w:rPr>
        <w:t>del 201</w:t>
      </w:r>
      <w:r w:rsidR="00087148">
        <w:rPr>
          <w:rFonts w:ascii="Arial Narrow" w:hAnsi="Arial Narrow" w:cs="Arial"/>
          <w:sz w:val="24"/>
          <w:szCs w:val="24"/>
        </w:rPr>
        <w:t>9</w:t>
      </w:r>
      <w:r w:rsidRPr="00433C75">
        <w:rPr>
          <w:rFonts w:ascii="Arial Narrow" w:hAnsi="Arial Narrow" w:cs="Arial"/>
          <w:sz w:val="24"/>
          <w:szCs w:val="24"/>
        </w:rPr>
        <w:t xml:space="preserve"> y 201</w:t>
      </w:r>
      <w:r w:rsidR="00087148">
        <w:rPr>
          <w:rFonts w:ascii="Arial Narrow" w:hAnsi="Arial Narrow" w:cs="Arial"/>
          <w:sz w:val="24"/>
          <w:szCs w:val="24"/>
        </w:rPr>
        <w:t>8</w:t>
      </w:r>
      <w:r w:rsidRPr="00660191">
        <w:rPr>
          <w:rFonts w:ascii="Arial Narrow" w:hAnsi="Arial Narrow" w:cs="Arial"/>
          <w:sz w:val="24"/>
          <w:szCs w:val="24"/>
        </w:rPr>
        <w:t xml:space="preserve"> se detallan a continuación, en euros:</w:t>
      </w:r>
    </w:p>
    <w:tbl>
      <w:tblPr>
        <w:tblW w:w="4579" w:type="dxa"/>
        <w:jc w:val="center"/>
        <w:tblCellMar>
          <w:left w:w="70" w:type="dxa"/>
          <w:right w:w="70" w:type="dxa"/>
        </w:tblCellMar>
        <w:tblLook w:val="04A0" w:firstRow="1" w:lastRow="0" w:firstColumn="1" w:lastColumn="0" w:noHBand="0" w:noVBand="1"/>
      </w:tblPr>
      <w:tblGrid>
        <w:gridCol w:w="2520"/>
        <w:gridCol w:w="1098"/>
        <w:gridCol w:w="961"/>
      </w:tblGrid>
      <w:tr w:rsidR="00087148" w:rsidRPr="00660191" w14:paraId="09B18ADC" w14:textId="77777777" w:rsidTr="00087148">
        <w:trPr>
          <w:trHeight w:val="340"/>
          <w:jc w:val="center"/>
        </w:trPr>
        <w:tc>
          <w:tcPr>
            <w:tcW w:w="2752" w:type="pct"/>
            <w:tcBorders>
              <w:top w:val="nil"/>
              <w:left w:val="nil"/>
              <w:bottom w:val="nil"/>
              <w:right w:val="nil"/>
            </w:tcBorders>
            <w:shd w:val="clear" w:color="000000" w:fill="D9D9D9" w:themeFill="background1" w:themeFillShade="D9"/>
            <w:vAlign w:val="center"/>
            <w:hideMark/>
          </w:tcPr>
          <w:p w14:paraId="4B23BDAF" w14:textId="77777777" w:rsidR="00087148" w:rsidRPr="00660191" w:rsidRDefault="00087148" w:rsidP="00087148">
            <w:pPr>
              <w:jc w:val="center"/>
              <w:rPr>
                <w:rFonts w:ascii="Arial Narrow" w:hAnsi="Arial Narrow"/>
                <w:b/>
                <w:bCs/>
                <w:sz w:val="20"/>
                <w:lang w:eastAsia="es-ES"/>
              </w:rPr>
            </w:pPr>
            <w:r w:rsidRPr="00660191">
              <w:rPr>
                <w:rFonts w:ascii="Arial Narrow" w:hAnsi="Arial Narrow"/>
                <w:b/>
                <w:bCs/>
                <w:sz w:val="20"/>
                <w:lang w:eastAsia="es-ES"/>
              </w:rPr>
              <w:t>Clientes Empresas del Grupo</w:t>
            </w:r>
          </w:p>
        </w:tc>
        <w:tc>
          <w:tcPr>
            <w:tcW w:w="1199" w:type="pct"/>
            <w:tcBorders>
              <w:top w:val="nil"/>
              <w:left w:val="nil"/>
              <w:bottom w:val="nil"/>
              <w:right w:val="nil"/>
            </w:tcBorders>
            <w:shd w:val="clear" w:color="000000" w:fill="D9D9D9" w:themeFill="background1" w:themeFillShade="D9"/>
            <w:vAlign w:val="center"/>
            <w:hideMark/>
          </w:tcPr>
          <w:p w14:paraId="3530C99A" w14:textId="77777777" w:rsidR="00087148" w:rsidRPr="00660191" w:rsidRDefault="00087148" w:rsidP="00087148">
            <w:pPr>
              <w:jc w:val="center"/>
              <w:rPr>
                <w:rFonts w:ascii="Arial Narrow" w:hAnsi="Arial Narrow"/>
                <w:b/>
                <w:bCs/>
                <w:sz w:val="20"/>
                <w:lang w:eastAsia="es-ES"/>
              </w:rPr>
            </w:pPr>
            <w:r>
              <w:rPr>
                <w:rFonts w:ascii="Arial Narrow" w:hAnsi="Arial Narrow"/>
                <w:b/>
                <w:bCs/>
                <w:sz w:val="20"/>
                <w:lang w:eastAsia="es-ES"/>
              </w:rPr>
              <w:t xml:space="preserve">       </w:t>
            </w:r>
            <w:r w:rsidRPr="00660191">
              <w:rPr>
                <w:rFonts w:ascii="Arial Narrow" w:hAnsi="Arial Narrow"/>
                <w:b/>
                <w:bCs/>
                <w:sz w:val="20"/>
                <w:lang w:eastAsia="es-ES"/>
              </w:rPr>
              <w:t>201</w:t>
            </w:r>
            <w:r>
              <w:rPr>
                <w:rFonts w:ascii="Arial Narrow" w:hAnsi="Arial Narrow"/>
                <w:b/>
                <w:bCs/>
                <w:sz w:val="20"/>
                <w:lang w:eastAsia="es-ES"/>
              </w:rPr>
              <w:t>9</w:t>
            </w:r>
          </w:p>
        </w:tc>
        <w:tc>
          <w:tcPr>
            <w:tcW w:w="1049" w:type="pct"/>
            <w:tcBorders>
              <w:top w:val="nil"/>
              <w:left w:val="nil"/>
              <w:bottom w:val="nil"/>
              <w:right w:val="nil"/>
            </w:tcBorders>
            <w:shd w:val="clear" w:color="000000" w:fill="D9D9D9" w:themeFill="background1" w:themeFillShade="D9"/>
            <w:vAlign w:val="center"/>
          </w:tcPr>
          <w:p w14:paraId="2BB2E96B" w14:textId="77777777" w:rsidR="00087148" w:rsidRPr="00660191" w:rsidRDefault="00087148" w:rsidP="00087148">
            <w:pPr>
              <w:jc w:val="center"/>
              <w:rPr>
                <w:rFonts w:ascii="Arial Narrow" w:hAnsi="Arial Narrow"/>
                <w:b/>
                <w:bCs/>
                <w:sz w:val="20"/>
                <w:lang w:eastAsia="es-ES"/>
              </w:rPr>
            </w:pPr>
            <w:r>
              <w:rPr>
                <w:rFonts w:ascii="Arial Narrow" w:hAnsi="Arial Narrow"/>
                <w:b/>
                <w:bCs/>
                <w:sz w:val="20"/>
                <w:lang w:eastAsia="es-ES"/>
              </w:rPr>
              <w:t xml:space="preserve">       </w:t>
            </w:r>
            <w:r w:rsidRPr="00660191">
              <w:rPr>
                <w:rFonts w:ascii="Arial Narrow" w:hAnsi="Arial Narrow"/>
                <w:b/>
                <w:bCs/>
                <w:sz w:val="20"/>
                <w:lang w:eastAsia="es-ES"/>
              </w:rPr>
              <w:t>201</w:t>
            </w:r>
            <w:r>
              <w:rPr>
                <w:rFonts w:ascii="Arial Narrow" w:hAnsi="Arial Narrow"/>
                <w:b/>
                <w:bCs/>
                <w:sz w:val="20"/>
                <w:lang w:eastAsia="es-ES"/>
              </w:rPr>
              <w:t>8</w:t>
            </w:r>
          </w:p>
        </w:tc>
      </w:tr>
      <w:tr w:rsidR="00087148" w:rsidRPr="00660191" w14:paraId="700489A6" w14:textId="77777777" w:rsidTr="00087148">
        <w:trPr>
          <w:trHeight w:val="272"/>
          <w:jc w:val="center"/>
        </w:trPr>
        <w:tc>
          <w:tcPr>
            <w:tcW w:w="2752" w:type="pct"/>
            <w:tcBorders>
              <w:top w:val="nil"/>
              <w:left w:val="nil"/>
              <w:bottom w:val="nil"/>
              <w:right w:val="nil"/>
            </w:tcBorders>
            <w:shd w:val="clear" w:color="auto" w:fill="auto"/>
            <w:noWrap/>
            <w:vAlign w:val="center"/>
            <w:hideMark/>
          </w:tcPr>
          <w:p w14:paraId="7B28DD5B" w14:textId="77777777" w:rsidR="00087148" w:rsidRPr="00660191" w:rsidRDefault="00087148" w:rsidP="00087148">
            <w:pPr>
              <w:rPr>
                <w:rFonts w:ascii="Arial Narrow" w:hAnsi="Arial Narrow"/>
                <w:sz w:val="20"/>
                <w:lang w:eastAsia="es-ES"/>
              </w:rPr>
            </w:pPr>
            <w:r w:rsidRPr="00660191">
              <w:rPr>
                <w:rFonts w:ascii="Arial Narrow" w:hAnsi="Arial Narrow"/>
                <w:sz w:val="20"/>
                <w:lang w:eastAsia="es-ES"/>
              </w:rPr>
              <w:t>Parques Eólicos Gaviota, S.A.</w:t>
            </w:r>
          </w:p>
        </w:tc>
        <w:tc>
          <w:tcPr>
            <w:tcW w:w="1199" w:type="pct"/>
            <w:tcBorders>
              <w:top w:val="nil"/>
              <w:left w:val="nil"/>
              <w:bottom w:val="nil"/>
              <w:right w:val="nil"/>
            </w:tcBorders>
            <w:shd w:val="clear" w:color="auto" w:fill="auto"/>
            <w:noWrap/>
            <w:vAlign w:val="bottom"/>
          </w:tcPr>
          <w:p w14:paraId="69C0D82E" w14:textId="77777777" w:rsidR="00087148" w:rsidRPr="00660191" w:rsidRDefault="00BF026A" w:rsidP="00087148">
            <w:pPr>
              <w:jc w:val="right"/>
              <w:rPr>
                <w:rFonts w:ascii="Arial Narrow" w:hAnsi="Arial Narrow"/>
                <w:sz w:val="20"/>
                <w:lang w:eastAsia="es-ES"/>
              </w:rPr>
            </w:pPr>
            <w:r>
              <w:rPr>
                <w:rFonts w:ascii="Arial Narrow" w:hAnsi="Arial Narrow"/>
                <w:sz w:val="20"/>
                <w:lang w:eastAsia="es-ES"/>
              </w:rPr>
              <w:t>0,00</w:t>
            </w:r>
          </w:p>
        </w:tc>
        <w:tc>
          <w:tcPr>
            <w:tcW w:w="1049" w:type="pct"/>
            <w:tcBorders>
              <w:top w:val="nil"/>
              <w:left w:val="nil"/>
              <w:bottom w:val="nil"/>
              <w:right w:val="nil"/>
            </w:tcBorders>
            <w:vAlign w:val="bottom"/>
          </w:tcPr>
          <w:p w14:paraId="26323ABF" w14:textId="77777777" w:rsidR="00087148" w:rsidRPr="00660191" w:rsidRDefault="00087148" w:rsidP="00087148">
            <w:pPr>
              <w:jc w:val="right"/>
              <w:rPr>
                <w:rFonts w:ascii="Arial Narrow" w:hAnsi="Arial Narrow"/>
                <w:sz w:val="20"/>
                <w:lang w:eastAsia="es-ES"/>
              </w:rPr>
            </w:pPr>
            <w:r>
              <w:rPr>
                <w:rFonts w:ascii="Arial Narrow" w:hAnsi="Arial Narrow"/>
                <w:sz w:val="20"/>
                <w:lang w:eastAsia="es-ES"/>
              </w:rPr>
              <w:t>1.081,77</w:t>
            </w:r>
          </w:p>
        </w:tc>
      </w:tr>
      <w:tr w:rsidR="00087148" w:rsidRPr="00660191" w14:paraId="3F65EE10" w14:textId="77777777" w:rsidTr="00087148">
        <w:trPr>
          <w:trHeight w:val="272"/>
          <w:jc w:val="center"/>
        </w:trPr>
        <w:tc>
          <w:tcPr>
            <w:tcW w:w="2752" w:type="pct"/>
            <w:tcBorders>
              <w:top w:val="nil"/>
              <w:left w:val="nil"/>
              <w:bottom w:val="nil"/>
              <w:right w:val="nil"/>
            </w:tcBorders>
            <w:shd w:val="clear" w:color="auto" w:fill="auto"/>
            <w:noWrap/>
            <w:vAlign w:val="center"/>
          </w:tcPr>
          <w:p w14:paraId="7921A474" w14:textId="77777777" w:rsidR="00087148" w:rsidRPr="00660191" w:rsidRDefault="00087148" w:rsidP="00087148">
            <w:pPr>
              <w:rPr>
                <w:rFonts w:ascii="Arial Narrow" w:hAnsi="Arial Narrow"/>
                <w:sz w:val="20"/>
                <w:lang w:eastAsia="es-ES"/>
              </w:rPr>
            </w:pPr>
            <w:r w:rsidRPr="00660191">
              <w:rPr>
                <w:rFonts w:ascii="Arial Narrow" w:hAnsi="Arial Narrow"/>
                <w:sz w:val="20"/>
                <w:lang w:eastAsia="es-ES"/>
              </w:rPr>
              <w:t>Mega turbinas Arinaga, S.A.</w:t>
            </w:r>
            <w:r w:rsidRPr="00660191">
              <w:rPr>
                <w:rFonts w:ascii="Arial Narrow" w:hAnsi="Arial Narrow"/>
                <w:sz w:val="20"/>
                <w:lang w:eastAsia="es-ES"/>
              </w:rPr>
              <w:tab/>
            </w:r>
            <w:r w:rsidRPr="00660191">
              <w:rPr>
                <w:rFonts w:ascii="Arial Narrow" w:hAnsi="Arial Narrow"/>
                <w:sz w:val="20"/>
                <w:lang w:eastAsia="es-ES"/>
              </w:rPr>
              <w:tab/>
            </w:r>
          </w:p>
        </w:tc>
        <w:tc>
          <w:tcPr>
            <w:tcW w:w="1199" w:type="pct"/>
            <w:tcBorders>
              <w:top w:val="nil"/>
              <w:left w:val="nil"/>
              <w:bottom w:val="nil"/>
              <w:right w:val="nil"/>
            </w:tcBorders>
            <w:shd w:val="clear" w:color="auto" w:fill="auto"/>
            <w:noWrap/>
            <w:vAlign w:val="bottom"/>
          </w:tcPr>
          <w:p w14:paraId="1AAEFFC9" w14:textId="77777777" w:rsidR="00087148" w:rsidRPr="00660191" w:rsidRDefault="00087148" w:rsidP="00087148">
            <w:pPr>
              <w:jc w:val="right"/>
              <w:rPr>
                <w:rFonts w:ascii="Arial Narrow" w:hAnsi="Arial Narrow"/>
                <w:sz w:val="20"/>
                <w:lang w:eastAsia="es-ES"/>
              </w:rPr>
            </w:pPr>
            <w:r w:rsidRPr="00660191">
              <w:rPr>
                <w:rFonts w:ascii="Arial Narrow" w:hAnsi="Arial Narrow"/>
                <w:sz w:val="20"/>
                <w:lang w:eastAsia="es-ES"/>
              </w:rPr>
              <w:t>0,00</w:t>
            </w:r>
          </w:p>
        </w:tc>
        <w:tc>
          <w:tcPr>
            <w:tcW w:w="1049" w:type="pct"/>
            <w:tcBorders>
              <w:top w:val="nil"/>
              <w:left w:val="nil"/>
              <w:bottom w:val="nil"/>
              <w:right w:val="nil"/>
            </w:tcBorders>
            <w:vAlign w:val="bottom"/>
          </w:tcPr>
          <w:p w14:paraId="46978F6C" w14:textId="77777777" w:rsidR="00087148" w:rsidRPr="00660191" w:rsidRDefault="00087148" w:rsidP="00087148">
            <w:pPr>
              <w:jc w:val="right"/>
              <w:rPr>
                <w:rFonts w:ascii="Arial Narrow" w:hAnsi="Arial Narrow"/>
                <w:sz w:val="20"/>
                <w:lang w:eastAsia="es-ES"/>
              </w:rPr>
            </w:pPr>
            <w:r w:rsidRPr="00660191">
              <w:rPr>
                <w:rFonts w:ascii="Arial Narrow" w:hAnsi="Arial Narrow"/>
                <w:sz w:val="20"/>
                <w:lang w:eastAsia="es-ES"/>
              </w:rPr>
              <w:t>0,00</w:t>
            </w:r>
          </w:p>
        </w:tc>
      </w:tr>
    </w:tbl>
    <w:p w14:paraId="446AAEC2" w14:textId="77777777" w:rsidR="006C2CB8" w:rsidRPr="00660191" w:rsidRDefault="006C2CB8" w:rsidP="00983FF2">
      <w:pPr>
        <w:keepNext/>
        <w:keepLines/>
        <w:spacing w:before="240" w:after="120"/>
        <w:rPr>
          <w:rFonts w:ascii="Arial" w:hAnsi="Arial" w:cs="Arial"/>
          <w:b/>
        </w:rPr>
      </w:pPr>
    </w:p>
    <w:p w14:paraId="4BBF253D" w14:textId="77777777" w:rsidR="00BF152B" w:rsidRPr="006C2CB8" w:rsidRDefault="00230948" w:rsidP="00983FF2">
      <w:pPr>
        <w:keepNext/>
        <w:keepLines/>
        <w:spacing w:before="240" w:after="120"/>
        <w:rPr>
          <w:rFonts w:ascii="Arial" w:hAnsi="Arial" w:cs="Arial"/>
          <w:b/>
        </w:rPr>
      </w:pPr>
      <w:r w:rsidRPr="006C2CB8">
        <w:rPr>
          <w:rFonts w:ascii="Arial" w:hAnsi="Arial" w:cs="Arial"/>
          <w:b/>
        </w:rPr>
        <w:t>1</w:t>
      </w:r>
      <w:r w:rsidR="00157A67" w:rsidRPr="006C2CB8">
        <w:rPr>
          <w:rFonts w:ascii="Arial" w:hAnsi="Arial" w:cs="Arial"/>
          <w:b/>
        </w:rPr>
        <w:t>6</w:t>
      </w:r>
      <w:r w:rsidRPr="006C2CB8">
        <w:rPr>
          <w:rFonts w:ascii="Arial" w:hAnsi="Arial" w:cs="Arial"/>
          <w:b/>
        </w:rPr>
        <w:t>.1</w:t>
      </w:r>
      <w:r w:rsidR="002F0FFA" w:rsidRPr="006C2CB8">
        <w:rPr>
          <w:rFonts w:ascii="Arial" w:hAnsi="Arial" w:cs="Arial"/>
          <w:b/>
          <w:u w:val="single"/>
        </w:rPr>
        <w:t xml:space="preserve">. </w:t>
      </w:r>
      <w:r w:rsidR="00BF152B" w:rsidRPr="006C2CB8">
        <w:rPr>
          <w:rFonts w:ascii="Arial" w:hAnsi="Arial" w:cs="Arial"/>
          <w:b/>
          <w:u w:val="single"/>
        </w:rPr>
        <w:t>Retribución a los miembros d</w:t>
      </w:r>
      <w:r w:rsidR="002F0FFA" w:rsidRPr="006C2CB8">
        <w:rPr>
          <w:rFonts w:ascii="Arial" w:hAnsi="Arial" w:cs="Arial"/>
          <w:b/>
          <w:u w:val="single"/>
        </w:rPr>
        <w:t>el Consejo de Administración y Alta D</w:t>
      </w:r>
      <w:r w:rsidR="00BF152B" w:rsidRPr="006C2CB8">
        <w:rPr>
          <w:rFonts w:ascii="Arial" w:hAnsi="Arial" w:cs="Arial"/>
          <w:b/>
          <w:u w:val="single"/>
        </w:rPr>
        <w:t>irección</w:t>
      </w:r>
    </w:p>
    <w:p w14:paraId="7F046A0D" w14:textId="77777777" w:rsidR="00BF152B" w:rsidRPr="00DA2ADA" w:rsidRDefault="00BF152B" w:rsidP="00983FF2">
      <w:pPr>
        <w:keepNext/>
        <w:keepLines/>
        <w:spacing w:before="120" w:after="120"/>
        <w:jc w:val="both"/>
        <w:rPr>
          <w:rFonts w:ascii="Arial Narrow" w:hAnsi="Arial Narrow" w:cs="Arial"/>
          <w:sz w:val="24"/>
          <w:szCs w:val="24"/>
        </w:rPr>
      </w:pPr>
      <w:r w:rsidRPr="00DA2ADA">
        <w:rPr>
          <w:rFonts w:ascii="Arial Narrow" w:hAnsi="Arial Narrow" w:cs="Arial"/>
          <w:sz w:val="24"/>
          <w:szCs w:val="24"/>
        </w:rPr>
        <w:t>El detalle de las r</w:t>
      </w:r>
      <w:r w:rsidR="002F0FFA" w:rsidRPr="00DA2ADA">
        <w:rPr>
          <w:rFonts w:ascii="Arial Narrow" w:hAnsi="Arial Narrow" w:cs="Arial"/>
          <w:sz w:val="24"/>
          <w:szCs w:val="24"/>
        </w:rPr>
        <w:t>emuneraciones devengadas por la A</w:t>
      </w:r>
      <w:r w:rsidRPr="00DA2ADA">
        <w:rPr>
          <w:rFonts w:ascii="Arial Narrow" w:hAnsi="Arial Narrow" w:cs="Arial"/>
          <w:sz w:val="24"/>
          <w:szCs w:val="24"/>
        </w:rPr>
        <w:t>lta Dirección de la Sociedad es el siguiente:</w:t>
      </w:r>
    </w:p>
    <w:tbl>
      <w:tblPr>
        <w:tblW w:w="3971" w:type="dxa"/>
        <w:jc w:val="center"/>
        <w:tblCellMar>
          <w:left w:w="70" w:type="dxa"/>
          <w:right w:w="70" w:type="dxa"/>
        </w:tblCellMar>
        <w:tblLook w:val="04A0" w:firstRow="1" w:lastRow="0" w:firstColumn="1" w:lastColumn="0" w:noHBand="0" w:noVBand="1"/>
      </w:tblPr>
      <w:tblGrid>
        <w:gridCol w:w="1612"/>
        <w:gridCol w:w="1202"/>
        <w:gridCol w:w="1157"/>
      </w:tblGrid>
      <w:tr w:rsidR="00BF026A" w:rsidRPr="004C51D6" w14:paraId="46246758" w14:textId="77777777" w:rsidTr="00BF026A">
        <w:trPr>
          <w:trHeight w:val="272"/>
          <w:jc w:val="center"/>
        </w:trPr>
        <w:tc>
          <w:tcPr>
            <w:tcW w:w="1612" w:type="dxa"/>
            <w:tcBorders>
              <w:top w:val="nil"/>
              <w:left w:val="nil"/>
              <w:bottom w:val="nil"/>
              <w:right w:val="nil"/>
            </w:tcBorders>
            <w:shd w:val="clear" w:color="auto" w:fill="D9D9D9" w:themeFill="background1" w:themeFillShade="D9"/>
            <w:noWrap/>
            <w:vAlign w:val="center"/>
            <w:hideMark/>
          </w:tcPr>
          <w:p w14:paraId="67656D35" w14:textId="77777777" w:rsidR="00BF026A" w:rsidRPr="00433C75" w:rsidRDefault="00BF026A" w:rsidP="00BF026A">
            <w:pPr>
              <w:keepNext/>
              <w:keepLines/>
              <w:ind w:left="278"/>
              <w:jc w:val="center"/>
              <w:rPr>
                <w:rFonts w:ascii="Arial Narrow" w:hAnsi="Arial Narrow"/>
                <w:sz w:val="20"/>
                <w:lang w:eastAsia="es-ES"/>
              </w:rPr>
            </w:pPr>
          </w:p>
        </w:tc>
        <w:tc>
          <w:tcPr>
            <w:tcW w:w="1202" w:type="dxa"/>
            <w:tcBorders>
              <w:top w:val="nil"/>
              <w:left w:val="nil"/>
              <w:bottom w:val="nil"/>
              <w:right w:val="nil"/>
            </w:tcBorders>
            <w:shd w:val="clear" w:color="auto" w:fill="D9D9D9" w:themeFill="background1" w:themeFillShade="D9"/>
            <w:vAlign w:val="center"/>
            <w:hideMark/>
          </w:tcPr>
          <w:p w14:paraId="391B6717" w14:textId="77777777" w:rsidR="00BF026A" w:rsidRPr="00433C75" w:rsidRDefault="00BF026A" w:rsidP="00BF026A">
            <w:pPr>
              <w:keepNext/>
              <w:keepLines/>
              <w:jc w:val="center"/>
              <w:rPr>
                <w:rFonts w:ascii="Arial Narrow" w:hAnsi="Arial Narrow"/>
                <w:b/>
                <w:bCs/>
                <w:sz w:val="20"/>
                <w:lang w:eastAsia="es-ES"/>
              </w:rPr>
            </w:pPr>
            <w:r w:rsidRPr="00433C75">
              <w:rPr>
                <w:rFonts w:ascii="Arial Narrow" w:hAnsi="Arial Narrow"/>
                <w:b/>
                <w:bCs/>
                <w:sz w:val="20"/>
                <w:lang w:eastAsia="es-ES"/>
              </w:rPr>
              <w:t>201</w:t>
            </w:r>
            <w:r>
              <w:rPr>
                <w:rFonts w:ascii="Arial Narrow" w:hAnsi="Arial Narrow"/>
                <w:b/>
                <w:bCs/>
                <w:sz w:val="20"/>
                <w:lang w:eastAsia="es-ES"/>
              </w:rPr>
              <w:t>9</w:t>
            </w:r>
          </w:p>
        </w:tc>
        <w:tc>
          <w:tcPr>
            <w:tcW w:w="1157" w:type="dxa"/>
            <w:tcBorders>
              <w:top w:val="nil"/>
              <w:left w:val="nil"/>
              <w:bottom w:val="nil"/>
              <w:right w:val="nil"/>
            </w:tcBorders>
            <w:shd w:val="clear" w:color="auto" w:fill="D9D9D9" w:themeFill="background1" w:themeFillShade="D9"/>
            <w:vAlign w:val="center"/>
          </w:tcPr>
          <w:p w14:paraId="6B4EB937" w14:textId="77777777" w:rsidR="00BF026A" w:rsidRPr="00433C75" w:rsidRDefault="00BF026A" w:rsidP="00BF026A">
            <w:pPr>
              <w:keepNext/>
              <w:keepLines/>
              <w:jc w:val="center"/>
              <w:rPr>
                <w:rFonts w:ascii="Arial Narrow" w:hAnsi="Arial Narrow"/>
                <w:b/>
                <w:bCs/>
                <w:sz w:val="20"/>
                <w:lang w:eastAsia="es-ES"/>
              </w:rPr>
            </w:pPr>
            <w:r w:rsidRPr="00433C75">
              <w:rPr>
                <w:rFonts w:ascii="Arial Narrow" w:hAnsi="Arial Narrow"/>
                <w:b/>
                <w:bCs/>
                <w:sz w:val="20"/>
                <w:lang w:eastAsia="es-ES"/>
              </w:rPr>
              <w:t>2018</w:t>
            </w:r>
          </w:p>
        </w:tc>
      </w:tr>
      <w:tr w:rsidR="00BF026A" w:rsidRPr="004C51D6" w14:paraId="5FD5A4F8" w14:textId="77777777" w:rsidTr="00BF026A">
        <w:trPr>
          <w:trHeight w:val="272"/>
          <w:jc w:val="center"/>
        </w:trPr>
        <w:tc>
          <w:tcPr>
            <w:tcW w:w="1612" w:type="dxa"/>
            <w:tcBorders>
              <w:top w:val="nil"/>
              <w:left w:val="nil"/>
              <w:bottom w:val="nil"/>
              <w:right w:val="nil"/>
            </w:tcBorders>
            <w:shd w:val="clear" w:color="auto" w:fill="auto"/>
            <w:noWrap/>
            <w:vAlign w:val="center"/>
            <w:hideMark/>
          </w:tcPr>
          <w:p w14:paraId="7D9D7840" w14:textId="77777777" w:rsidR="00BF026A" w:rsidRPr="00433C75" w:rsidRDefault="00BF026A" w:rsidP="00BF026A">
            <w:pPr>
              <w:keepNext/>
              <w:keepLines/>
              <w:ind w:left="278"/>
              <w:rPr>
                <w:rFonts w:ascii="Arial Narrow" w:hAnsi="Arial Narrow"/>
                <w:b/>
                <w:bCs/>
                <w:sz w:val="20"/>
                <w:lang w:eastAsia="es-ES"/>
              </w:rPr>
            </w:pPr>
            <w:r w:rsidRPr="00433C75">
              <w:rPr>
                <w:rFonts w:ascii="Arial Narrow" w:hAnsi="Arial Narrow"/>
                <w:b/>
                <w:bCs/>
                <w:sz w:val="20"/>
                <w:lang w:eastAsia="es-ES"/>
              </w:rPr>
              <w:t>Alta Dirección</w:t>
            </w:r>
          </w:p>
        </w:tc>
        <w:tc>
          <w:tcPr>
            <w:tcW w:w="1202" w:type="dxa"/>
            <w:tcBorders>
              <w:top w:val="nil"/>
              <w:left w:val="nil"/>
              <w:bottom w:val="nil"/>
              <w:right w:val="nil"/>
            </w:tcBorders>
            <w:shd w:val="clear" w:color="auto" w:fill="auto"/>
            <w:noWrap/>
            <w:vAlign w:val="center"/>
            <w:hideMark/>
          </w:tcPr>
          <w:p w14:paraId="1D1B34ED" w14:textId="77777777" w:rsidR="00BF026A" w:rsidRPr="00433C75" w:rsidRDefault="00BF026A" w:rsidP="00BF026A">
            <w:pPr>
              <w:keepNext/>
              <w:keepLines/>
              <w:ind w:right="104"/>
              <w:jc w:val="right"/>
              <w:rPr>
                <w:rFonts w:ascii="Arial Narrow" w:hAnsi="Arial Narrow"/>
                <w:sz w:val="20"/>
                <w:lang w:eastAsia="es-ES"/>
              </w:rPr>
            </w:pPr>
          </w:p>
        </w:tc>
        <w:tc>
          <w:tcPr>
            <w:tcW w:w="1157" w:type="dxa"/>
            <w:tcBorders>
              <w:top w:val="nil"/>
              <w:left w:val="nil"/>
              <w:bottom w:val="nil"/>
              <w:right w:val="nil"/>
            </w:tcBorders>
            <w:vAlign w:val="center"/>
          </w:tcPr>
          <w:p w14:paraId="37CA1D5F" w14:textId="77777777" w:rsidR="00BF026A" w:rsidRPr="00433C75" w:rsidRDefault="00BF026A" w:rsidP="00BF026A">
            <w:pPr>
              <w:keepNext/>
              <w:keepLines/>
              <w:ind w:right="104"/>
              <w:jc w:val="right"/>
              <w:rPr>
                <w:rFonts w:ascii="Arial Narrow" w:hAnsi="Arial Narrow"/>
                <w:sz w:val="20"/>
                <w:lang w:eastAsia="es-ES"/>
              </w:rPr>
            </w:pPr>
          </w:p>
        </w:tc>
      </w:tr>
      <w:tr w:rsidR="00BF026A" w:rsidRPr="006C2CB8" w14:paraId="4A37B5D9" w14:textId="77777777" w:rsidTr="00BF026A">
        <w:trPr>
          <w:trHeight w:val="283"/>
          <w:jc w:val="center"/>
        </w:trPr>
        <w:tc>
          <w:tcPr>
            <w:tcW w:w="1612" w:type="dxa"/>
            <w:tcBorders>
              <w:top w:val="nil"/>
              <w:left w:val="nil"/>
              <w:bottom w:val="nil"/>
              <w:right w:val="nil"/>
            </w:tcBorders>
            <w:shd w:val="clear" w:color="auto" w:fill="auto"/>
            <w:noWrap/>
            <w:vAlign w:val="center"/>
            <w:hideMark/>
          </w:tcPr>
          <w:p w14:paraId="2226A7AB" w14:textId="77777777" w:rsidR="00BF026A" w:rsidRPr="00433C75" w:rsidRDefault="00BF026A" w:rsidP="00BF026A">
            <w:pPr>
              <w:keepNext/>
              <w:keepLines/>
              <w:ind w:left="278"/>
              <w:rPr>
                <w:rFonts w:ascii="Arial Narrow" w:hAnsi="Arial Narrow"/>
                <w:sz w:val="20"/>
                <w:lang w:eastAsia="es-ES"/>
              </w:rPr>
            </w:pPr>
            <w:r w:rsidRPr="00433C75">
              <w:rPr>
                <w:rFonts w:ascii="Arial Narrow" w:hAnsi="Arial Narrow"/>
                <w:sz w:val="20"/>
                <w:lang w:eastAsia="es-ES"/>
              </w:rPr>
              <w:t xml:space="preserve">       Sueldos</w:t>
            </w:r>
          </w:p>
        </w:tc>
        <w:tc>
          <w:tcPr>
            <w:tcW w:w="1202" w:type="dxa"/>
            <w:tcBorders>
              <w:top w:val="nil"/>
              <w:left w:val="nil"/>
              <w:bottom w:val="nil"/>
              <w:right w:val="nil"/>
            </w:tcBorders>
            <w:shd w:val="clear" w:color="auto" w:fill="auto"/>
            <w:noWrap/>
            <w:vAlign w:val="center"/>
          </w:tcPr>
          <w:p w14:paraId="3FFB2257" w14:textId="77777777" w:rsidR="00BF026A" w:rsidRPr="00433C75" w:rsidRDefault="00D232FC" w:rsidP="00BF026A">
            <w:pPr>
              <w:keepNext/>
              <w:keepLines/>
              <w:ind w:right="104"/>
              <w:jc w:val="right"/>
              <w:rPr>
                <w:rFonts w:ascii="Arial Narrow" w:hAnsi="Arial Narrow"/>
                <w:sz w:val="20"/>
                <w:lang w:eastAsia="es-ES"/>
              </w:rPr>
            </w:pPr>
            <w:r>
              <w:rPr>
                <w:rFonts w:ascii="Arial Narrow" w:hAnsi="Arial Narrow"/>
                <w:sz w:val="20"/>
                <w:lang w:eastAsia="es-ES"/>
              </w:rPr>
              <w:t>67.541,70</w:t>
            </w:r>
          </w:p>
        </w:tc>
        <w:tc>
          <w:tcPr>
            <w:tcW w:w="1157" w:type="dxa"/>
            <w:tcBorders>
              <w:top w:val="nil"/>
              <w:left w:val="nil"/>
              <w:bottom w:val="nil"/>
              <w:right w:val="nil"/>
            </w:tcBorders>
            <w:vAlign w:val="center"/>
          </w:tcPr>
          <w:p w14:paraId="20612791" w14:textId="77777777" w:rsidR="00BF026A" w:rsidRPr="00433C75" w:rsidRDefault="00BF026A" w:rsidP="00BF026A">
            <w:pPr>
              <w:keepNext/>
              <w:keepLines/>
              <w:ind w:right="104"/>
              <w:jc w:val="right"/>
              <w:rPr>
                <w:rFonts w:ascii="Arial Narrow" w:hAnsi="Arial Narrow"/>
                <w:sz w:val="20"/>
                <w:lang w:eastAsia="es-ES"/>
              </w:rPr>
            </w:pPr>
            <w:r>
              <w:rPr>
                <w:rFonts w:ascii="Arial Narrow" w:hAnsi="Arial Narrow"/>
                <w:sz w:val="20"/>
                <w:lang w:eastAsia="es-ES"/>
              </w:rPr>
              <w:t>65.408,20</w:t>
            </w:r>
          </w:p>
        </w:tc>
      </w:tr>
    </w:tbl>
    <w:p w14:paraId="56482D4F" w14:textId="77777777" w:rsidR="003373CD" w:rsidRDefault="003373CD" w:rsidP="009E2C24">
      <w:pPr>
        <w:spacing w:before="240" w:after="120"/>
        <w:ind w:left="912" w:firstLine="57"/>
        <w:jc w:val="center"/>
        <w:rPr>
          <w:rFonts w:ascii="Arial Narrow" w:hAnsi="Arial Narrow" w:cs="Arial"/>
          <w:sz w:val="24"/>
          <w:szCs w:val="24"/>
        </w:rPr>
      </w:pPr>
    </w:p>
    <w:p w14:paraId="29FF039F" w14:textId="77777777" w:rsidR="00BF152B" w:rsidRPr="003373CD" w:rsidRDefault="00BF152B" w:rsidP="009E2C24">
      <w:pPr>
        <w:tabs>
          <w:tab w:val="left" w:pos="567"/>
          <w:tab w:val="left" w:pos="1134"/>
          <w:tab w:val="left" w:pos="1587"/>
        </w:tabs>
        <w:jc w:val="both"/>
        <w:rPr>
          <w:rFonts w:ascii="Arial Narrow" w:hAnsi="Arial Narrow" w:cs="Arial"/>
          <w:snapToGrid w:val="0"/>
          <w:sz w:val="24"/>
          <w:szCs w:val="24"/>
          <w:lang w:eastAsia="es-ES"/>
        </w:rPr>
      </w:pPr>
      <w:r w:rsidRPr="003373CD">
        <w:rPr>
          <w:rFonts w:ascii="Arial Narrow" w:hAnsi="Arial Narrow" w:cs="Arial"/>
          <w:snapToGrid w:val="0"/>
          <w:sz w:val="24"/>
          <w:szCs w:val="24"/>
          <w:lang w:eastAsia="es-ES"/>
        </w:rPr>
        <w:t>La Sociedad no tiene retribuido el cargo de Administrador; a 31 de diciembre de 201</w:t>
      </w:r>
      <w:r w:rsidR="00BF026A">
        <w:rPr>
          <w:rFonts w:ascii="Arial Narrow" w:hAnsi="Arial Narrow" w:cs="Arial"/>
          <w:snapToGrid w:val="0"/>
          <w:sz w:val="24"/>
          <w:szCs w:val="24"/>
          <w:lang w:eastAsia="es-ES"/>
        </w:rPr>
        <w:t>9</w:t>
      </w:r>
      <w:r w:rsidRPr="003373CD">
        <w:rPr>
          <w:rFonts w:ascii="Arial Narrow" w:hAnsi="Arial Narrow" w:cs="Arial"/>
          <w:snapToGrid w:val="0"/>
          <w:sz w:val="24"/>
          <w:szCs w:val="24"/>
          <w:lang w:eastAsia="es-ES"/>
        </w:rPr>
        <w:t xml:space="preserve"> y 201</w:t>
      </w:r>
      <w:r w:rsidR="00BF026A">
        <w:rPr>
          <w:rFonts w:ascii="Arial Narrow" w:hAnsi="Arial Narrow" w:cs="Arial"/>
          <w:snapToGrid w:val="0"/>
          <w:sz w:val="24"/>
          <w:szCs w:val="24"/>
          <w:lang w:eastAsia="es-ES"/>
        </w:rPr>
        <w:t>8</w:t>
      </w:r>
      <w:r w:rsidR="007C0629" w:rsidRPr="003373CD">
        <w:rPr>
          <w:rFonts w:ascii="Arial Narrow" w:hAnsi="Arial Narrow" w:cs="Arial"/>
          <w:snapToGrid w:val="0"/>
          <w:sz w:val="24"/>
          <w:szCs w:val="24"/>
          <w:lang w:eastAsia="es-ES"/>
        </w:rPr>
        <w:t>. L</w:t>
      </w:r>
      <w:r w:rsidRPr="003373CD">
        <w:rPr>
          <w:rFonts w:ascii="Arial Narrow" w:hAnsi="Arial Narrow" w:cs="Arial"/>
          <w:snapToGrid w:val="0"/>
          <w:sz w:val="24"/>
          <w:szCs w:val="24"/>
          <w:lang w:eastAsia="es-ES"/>
        </w:rPr>
        <w:t xml:space="preserve">a </w:t>
      </w:r>
      <w:r w:rsidR="007C0629" w:rsidRPr="003373CD">
        <w:rPr>
          <w:rFonts w:ascii="Arial Narrow" w:hAnsi="Arial Narrow" w:cs="Arial"/>
          <w:snapToGrid w:val="0"/>
          <w:sz w:val="24"/>
          <w:szCs w:val="24"/>
          <w:lang w:eastAsia="es-ES"/>
        </w:rPr>
        <w:t>S</w:t>
      </w:r>
      <w:r w:rsidRPr="003373CD">
        <w:rPr>
          <w:rFonts w:ascii="Arial Narrow" w:hAnsi="Arial Narrow" w:cs="Arial"/>
          <w:snapToGrid w:val="0"/>
          <w:sz w:val="24"/>
          <w:szCs w:val="24"/>
          <w:lang w:eastAsia="es-ES"/>
        </w:rPr>
        <w:t>ociedad no tiene obligaciones contraídas en materia de pensiones y de seguros de vida respecto a los miembros anteriores o actuales del Consejo de Administración, ni tiene obligaciones asumidas por cuenta de ellos a título de garantía.</w:t>
      </w:r>
    </w:p>
    <w:p w14:paraId="61593EDC" w14:textId="4ADECED7" w:rsidR="00BF152B" w:rsidRPr="00D55A4F" w:rsidRDefault="00230948" w:rsidP="00BC0A92">
      <w:pPr>
        <w:keepNext/>
        <w:keepLines/>
        <w:spacing w:before="120" w:after="120"/>
        <w:jc w:val="both"/>
        <w:rPr>
          <w:rFonts w:ascii="Arial Narrow" w:hAnsi="Arial Narrow" w:cs="Arial"/>
          <w:b/>
          <w:sz w:val="24"/>
          <w:szCs w:val="24"/>
          <w:u w:val="single"/>
        </w:rPr>
      </w:pPr>
      <w:r w:rsidRPr="00D55A4F">
        <w:rPr>
          <w:rFonts w:ascii="Arial Narrow" w:hAnsi="Arial Narrow" w:cs="Arial"/>
          <w:b/>
          <w:sz w:val="24"/>
          <w:szCs w:val="24"/>
        </w:rPr>
        <w:t>1</w:t>
      </w:r>
      <w:r w:rsidR="00157A67" w:rsidRPr="00D55A4F">
        <w:rPr>
          <w:rFonts w:ascii="Arial Narrow" w:hAnsi="Arial Narrow" w:cs="Arial"/>
          <w:b/>
          <w:sz w:val="24"/>
          <w:szCs w:val="24"/>
        </w:rPr>
        <w:t>6</w:t>
      </w:r>
      <w:r w:rsidRPr="00D55A4F">
        <w:rPr>
          <w:rFonts w:ascii="Arial Narrow" w:hAnsi="Arial Narrow" w:cs="Arial"/>
          <w:b/>
          <w:sz w:val="24"/>
          <w:szCs w:val="24"/>
        </w:rPr>
        <w:t>.2</w:t>
      </w:r>
      <w:r w:rsidR="00BC0A92" w:rsidRPr="00D55A4F">
        <w:rPr>
          <w:rFonts w:ascii="Arial Narrow" w:hAnsi="Arial Narrow" w:cs="Arial"/>
          <w:b/>
          <w:sz w:val="24"/>
          <w:szCs w:val="24"/>
        </w:rPr>
        <w:t xml:space="preserve">. </w:t>
      </w:r>
      <w:r w:rsidR="00BF152B" w:rsidRPr="00D55A4F">
        <w:rPr>
          <w:rFonts w:ascii="Arial Narrow" w:hAnsi="Arial Narrow" w:cs="Arial"/>
          <w:b/>
          <w:sz w:val="24"/>
          <w:szCs w:val="24"/>
          <w:u w:val="single"/>
        </w:rPr>
        <w:t>Participaciones y cargos de los miembros del Consejo de Administración en otras sociedades análogas</w:t>
      </w:r>
    </w:p>
    <w:p w14:paraId="37CD7B47" w14:textId="77777777" w:rsidR="008B5E17" w:rsidRPr="00DA2ADA" w:rsidRDefault="00F73FE2" w:rsidP="00DD368E">
      <w:pPr>
        <w:tabs>
          <w:tab w:val="left" w:pos="567"/>
          <w:tab w:val="left" w:pos="1134"/>
          <w:tab w:val="left" w:pos="1587"/>
        </w:tabs>
        <w:jc w:val="both"/>
        <w:rPr>
          <w:rFonts w:ascii="Arial Narrow" w:hAnsi="Arial Narrow" w:cs="Arial"/>
          <w:snapToGrid w:val="0"/>
          <w:sz w:val="24"/>
          <w:szCs w:val="24"/>
          <w:lang w:eastAsia="es-ES"/>
        </w:rPr>
      </w:pPr>
      <w:r w:rsidRPr="00DA2ADA">
        <w:rPr>
          <w:rFonts w:ascii="Arial Narrow" w:hAnsi="Arial Narrow" w:cs="Arial"/>
          <w:snapToGrid w:val="0"/>
          <w:sz w:val="24"/>
          <w:szCs w:val="24"/>
          <w:lang w:eastAsia="es-ES"/>
        </w:rPr>
        <w:t>Los administradores no han informado de ninguna situación de conflicto, directo o indirecto, que pudieran tener con la Sociedad, tal y como establece el artículo 229.3 de la Ley de Sociedades de Capital.</w:t>
      </w:r>
    </w:p>
    <w:p w14:paraId="60FF2836" w14:textId="77777777" w:rsidR="00134E70" w:rsidRPr="00D55A4F" w:rsidRDefault="00134E70" w:rsidP="00DD368E">
      <w:pPr>
        <w:tabs>
          <w:tab w:val="left" w:pos="567"/>
          <w:tab w:val="left" w:pos="1134"/>
          <w:tab w:val="left" w:pos="1587"/>
        </w:tabs>
        <w:jc w:val="both"/>
        <w:rPr>
          <w:rFonts w:ascii="Arial Narrow" w:hAnsi="Arial Narrow" w:cs="Arial"/>
          <w:snapToGrid w:val="0"/>
          <w:sz w:val="24"/>
          <w:szCs w:val="24"/>
          <w:lang w:eastAsia="es-ES"/>
        </w:rPr>
      </w:pPr>
    </w:p>
    <w:p w14:paraId="37B67C28" w14:textId="77777777" w:rsidR="008B5E17" w:rsidRPr="00D55A4F" w:rsidRDefault="00D6097D" w:rsidP="00D6097D">
      <w:pPr>
        <w:widowControl w:val="0"/>
        <w:spacing w:before="120" w:after="120"/>
        <w:rPr>
          <w:rFonts w:ascii="Arial Narrow" w:hAnsi="Arial Narrow" w:cs="Arial"/>
          <w:b/>
          <w:caps/>
          <w:snapToGrid w:val="0"/>
          <w:sz w:val="24"/>
          <w:szCs w:val="24"/>
          <w:u w:val="single"/>
          <w:lang w:eastAsia="es-ES"/>
        </w:rPr>
      </w:pPr>
      <w:bookmarkStart w:id="19" w:name="_Hlk34905603"/>
      <w:r w:rsidRPr="00D55A4F">
        <w:rPr>
          <w:rFonts w:ascii="Arial Narrow" w:hAnsi="Arial Narrow" w:cs="Arial"/>
          <w:b/>
          <w:caps/>
          <w:snapToGrid w:val="0"/>
          <w:sz w:val="24"/>
          <w:szCs w:val="24"/>
          <w:lang w:eastAsia="es-ES"/>
        </w:rPr>
        <w:t xml:space="preserve">NOTA </w:t>
      </w:r>
      <w:r w:rsidR="00230948" w:rsidRPr="00D55A4F">
        <w:rPr>
          <w:rFonts w:ascii="Arial Narrow" w:hAnsi="Arial Narrow" w:cs="Arial"/>
          <w:b/>
          <w:caps/>
          <w:snapToGrid w:val="0"/>
          <w:sz w:val="24"/>
          <w:szCs w:val="24"/>
          <w:lang w:eastAsia="es-ES"/>
        </w:rPr>
        <w:t>1</w:t>
      </w:r>
      <w:r w:rsidR="00157A67" w:rsidRPr="00D55A4F">
        <w:rPr>
          <w:rFonts w:ascii="Arial Narrow" w:hAnsi="Arial Narrow" w:cs="Arial"/>
          <w:b/>
          <w:caps/>
          <w:snapToGrid w:val="0"/>
          <w:sz w:val="24"/>
          <w:szCs w:val="24"/>
          <w:lang w:eastAsia="es-ES"/>
        </w:rPr>
        <w:t>7</w:t>
      </w:r>
      <w:r w:rsidR="00BC0A92" w:rsidRPr="00D55A4F">
        <w:rPr>
          <w:rFonts w:ascii="Arial Narrow" w:hAnsi="Arial Narrow" w:cs="Arial"/>
          <w:b/>
          <w:caps/>
          <w:snapToGrid w:val="0"/>
          <w:sz w:val="24"/>
          <w:szCs w:val="24"/>
          <w:lang w:eastAsia="es-ES"/>
        </w:rPr>
        <w:t xml:space="preserve">. </w:t>
      </w:r>
      <w:r w:rsidR="008B5E17" w:rsidRPr="00D55A4F">
        <w:rPr>
          <w:rFonts w:ascii="Arial Narrow" w:hAnsi="Arial Narrow" w:cs="Arial"/>
          <w:b/>
          <w:caps/>
          <w:snapToGrid w:val="0"/>
          <w:sz w:val="24"/>
          <w:szCs w:val="24"/>
          <w:u w:val="single"/>
          <w:lang w:eastAsia="es-ES"/>
        </w:rPr>
        <w:t>otra información</w:t>
      </w:r>
    </w:p>
    <w:bookmarkEnd w:id="19"/>
    <w:p w14:paraId="6EC5CA84" w14:textId="77777777" w:rsidR="007000BA" w:rsidRPr="00DA2ADA" w:rsidRDefault="007000BA" w:rsidP="00776F0A">
      <w:pPr>
        <w:jc w:val="both"/>
        <w:rPr>
          <w:rFonts w:ascii="Arial Narrow" w:hAnsi="Arial Narrow" w:cs="Arial"/>
          <w:sz w:val="24"/>
          <w:szCs w:val="24"/>
        </w:rPr>
      </w:pPr>
      <w:r w:rsidRPr="00DA2ADA">
        <w:rPr>
          <w:rFonts w:ascii="Arial Narrow" w:hAnsi="Arial Narrow" w:cs="Arial"/>
          <w:sz w:val="24"/>
          <w:szCs w:val="24"/>
        </w:rPr>
        <w:t xml:space="preserve">La distribución </w:t>
      </w:r>
      <w:r w:rsidR="00ED7906" w:rsidRPr="00DA2ADA">
        <w:rPr>
          <w:rFonts w:ascii="Arial Narrow" w:hAnsi="Arial Narrow" w:cs="Arial"/>
          <w:sz w:val="24"/>
          <w:szCs w:val="24"/>
        </w:rPr>
        <w:t xml:space="preserve">del personal de la Sociedad al término </w:t>
      </w:r>
      <w:r w:rsidR="00ED7906" w:rsidRPr="00032181">
        <w:rPr>
          <w:rFonts w:ascii="Arial Narrow" w:hAnsi="Arial Narrow" w:cs="Arial"/>
          <w:color w:val="000000" w:themeColor="text1"/>
          <w:sz w:val="24"/>
          <w:szCs w:val="24"/>
        </w:rPr>
        <w:t xml:space="preserve">del ejercicio </w:t>
      </w:r>
      <w:r w:rsidR="00AD59E1" w:rsidRPr="00032181">
        <w:rPr>
          <w:rFonts w:ascii="Arial Narrow" w:hAnsi="Arial Narrow" w:cs="Arial"/>
          <w:color w:val="000000" w:themeColor="text1"/>
          <w:sz w:val="24"/>
          <w:szCs w:val="24"/>
        </w:rPr>
        <w:t>201</w:t>
      </w:r>
      <w:r w:rsidR="00BF026A">
        <w:rPr>
          <w:rFonts w:ascii="Arial Narrow" w:hAnsi="Arial Narrow" w:cs="Arial"/>
          <w:color w:val="000000" w:themeColor="text1"/>
          <w:sz w:val="24"/>
          <w:szCs w:val="24"/>
        </w:rPr>
        <w:t>9</w:t>
      </w:r>
      <w:r w:rsidR="00AD59E1" w:rsidRPr="00032181">
        <w:rPr>
          <w:rFonts w:ascii="Arial Narrow" w:hAnsi="Arial Narrow" w:cs="Arial"/>
          <w:color w:val="000000" w:themeColor="text1"/>
          <w:sz w:val="24"/>
          <w:szCs w:val="24"/>
        </w:rPr>
        <w:t xml:space="preserve"> </w:t>
      </w:r>
      <w:r w:rsidR="00670B36" w:rsidRPr="00032181">
        <w:rPr>
          <w:rFonts w:ascii="Arial Narrow" w:hAnsi="Arial Narrow" w:cs="Arial"/>
          <w:color w:val="000000" w:themeColor="text1"/>
          <w:sz w:val="24"/>
          <w:szCs w:val="24"/>
        </w:rPr>
        <w:t xml:space="preserve">y </w:t>
      </w:r>
      <w:r w:rsidR="00AD59E1" w:rsidRPr="00032181">
        <w:rPr>
          <w:rFonts w:ascii="Arial Narrow" w:hAnsi="Arial Narrow" w:cs="Arial"/>
          <w:color w:val="000000" w:themeColor="text1"/>
          <w:sz w:val="24"/>
          <w:szCs w:val="24"/>
        </w:rPr>
        <w:t>201</w:t>
      </w:r>
      <w:r w:rsidR="00BF026A">
        <w:rPr>
          <w:rFonts w:ascii="Arial Narrow" w:hAnsi="Arial Narrow" w:cs="Arial"/>
          <w:color w:val="000000" w:themeColor="text1"/>
          <w:sz w:val="24"/>
          <w:szCs w:val="24"/>
        </w:rPr>
        <w:t>8</w:t>
      </w:r>
      <w:r w:rsidR="00ED7906" w:rsidRPr="00032181">
        <w:rPr>
          <w:rFonts w:ascii="Arial Narrow" w:hAnsi="Arial Narrow" w:cs="Arial"/>
          <w:color w:val="000000" w:themeColor="text1"/>
          <w:sz w:val="24"/>
          <w:szCs w:val="24"/>
        </w:rPr>
        <w:t xml:space="preserve">, desglosado </w:t>
      </w:r>
      <w:r w:rsidR="00ED7906" w:rsidRPr="00DA2ADA">
        <w:rPr>
          <w:rFonts w:ascii="Arial Narrow" w:hAnsi="Arial Narrow" w:cs="Arial"/>
          <w:sz w:val="24"/>
          <w:szCs w:val="24"/>
        </w:rPr>
        <w:t>por categorías y sexo</w:t>
      </w:r>
      <w:r w:rsidR="00D55A4F" w:rsidRPr="00DA2ADA">
        <w:rPr>
          <w:rFonts w:ascii="Arial Narrow" w:hAnsi="Arial Narrow" w:cs="Arial"/>
          <w:sz w:val="24"/>
          <w:szCs w:val="24"/>
        </w:rPr>
        <w:t xml:space="preserve"> </w:t>
      </w:r>
      <w:r w:rsidR="00ED7906" w:rsidRPr="00DA2ADA">
        <w:rPr>
          <w:rFonts w:ascii="Arial Narrow" w:hAnsi="Arial Narrow" w:cs="Arial"/>
          <w:sz w:val="24"/>
          <w:szCs w:val="24"/>
        </w:rPr>
        <w:t>es la siguiente:</w:t>
      </w:r>
    </w:p>
    <w:p w14:paraId="34F72ECD" w14:textId="77777777" w:rsidR="00ED7906" w:rsidRPr="00D55A4F" w:rsidRDefault="00ED7906" w:rsidP="00776F0A">
      <w:pPr>
        <w:jc w:val="both"/>
        <w:rPr>
          <w:rFonts w:ascii="Arial Narrow" w:hAnsi="Arial Narrow" w:cs="Arial"/>
          <w:sz w:val="24"/>
          <w:szCs w:val="24"/>
        </w:rPr>
      </w:pPr>
    </w:p>
    <w:p w14:paraId="09CB4A43" w14:textId="77777777" w:rsidR="00134E70" w:rsidRPr="00F56ADE" w:rsidRDefault="00D232FC" w:rsidP="00776F0A">
      <w:pPr>
        <w:jc w:val="both"/>
        <w:rPr>
          <w:rFonts w:ascii="Arial Narrow" w:hAnsi="Arial Narrow" w:cs="Arial"/>
          <w:color w:val="FF0000"/>
          <w:sz w:val="24"/>
          <w:szCs w:val="24"/>
        </w:rPr>
      </w:pPr>
      <w:r>
        <w:rPr>
          <w:rFonts w:ascii="Arial Narrow" w:hAnsi="Arial Narrow" w:cs="Arial"/>
          <w:noProof/>
          <w:color w:val="FF0000"/>
          <w:sz w:val="24"/>
          <w:szCs w:val="24"/>
          <w:lang w:val="es-ES" w:eastAsia="es-ES"/>
        </w:rPr>
        <w:drawing>
          <wp:inline distT="0" distB="0" distL="0" distR="0" wp14:anchorId="6A8703EA" wp14:editId="58AE1939">
            <wp:extent cx="5761355" cy="128016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1355" cy="1280160"/>
                    </a:xfrm>
                    <a:prstGeom prst="rect">
                      <a:avLst/>
                    </a:prstGeom>
                    <a:noFill/>
                  </pic:spPr>
                </pic:pic>
              </a:graphicData>
            </a:graphic>
          </wp:inline>
        </w:drawing>
      </w:r>
    </w:p>
    <w:p w14:paraId="56ECB35F" w14:textId="77777777" w:rsidR="00BF026A" w:rsidRDefault="00BF026A" w:rsidP="00776F0A">
      <w:pPr>
        <w:jc w:val="both"/>
        <w:rPr>
          <w:rFonts w:ascii="Arial Narrow" w:hAnsi="Arial Narrow" w:cs="Arial"/>
          <w:sz w:val="24"/>
          <w:szCs w:val="24"/>
        </w:rPr>
      </w:pPr>
    </w:p>
    <w:p w14:paraId="51AA24D8" w14:textId="77777777" w:rsidR="00ED7906" w:rsidRPr="00DA2ADA" w:rsidRDefault="00176429" w:rsidP="00776F0A">
      <w:pPr>
        <w:jc w:val="both"/>
        <w:rPr>
          <w:rFonts w:ascii="Arial Narrow" w:hAnsi="Arial Narrow" w:cs="Arial"/>
          <w:sz w:val="24"/>
          <w:szCs w:val="24"/>
        </w:rPr>
      </w:pPr>
      <w:r w:rsidRPr="00DA2ADA">
        <w:rPr>
          <w:rFonts w:ascii="Arial Narrow" w:hAnsi="Arial Narrow" w:cs="Arial"/>
          <w:sz w:val="24"/>
          <w:szCs w:val="24"/>
        </w:rPr>
        <w:t>El número de personas empleadas en el curso del ejercicio, expresado por categorías es el siguiente:</w:t>
      </w:r>
    </w:p>
    <w:p w14:paraId="07544A70" w14:textId="77777777" w:rsidR="00176429" w:rsidRPr="00F56ADE" w:rsidRDefault="00176429" w:rsidP="00776F0A">
      <w:pPr>
        <w:jc w:val="both"/>
        <w:rPr>
          <w:rFonts w:ascii="Arial Narrow" w:hAnsi="Arial Narrow" w:cs="Arial"/>
          <w:color w:val="FF0000"/>
          <w:sz w:val="24"/>
          <w:szCs w:val="24"/>
        </w:rPr>
      </w:pPr>
    </w:p>
    <w:p w14:paraId="47B8679B" w14:textId="77777777" w:rsidR="00AD59E1" w:rsidRDefault="00D232FC" w:rsidP="00776F0A">
      <w:pPr>
        <w:jc w:val="both"/>
        <w:rPr>
          <w:rFonts w:ascii="Arial Narrow" w:hAnsi="Arial Narrow" w:cs="Arial"/>
          <w:sz w:val="24"/>
          <w:szCs w:val="24"/>
        </w:rPr>
      </w:pPr>
      <w:r>
        <w:rPr>
          <w:rFonts w:ascii="Arial Narrow" w:hAnsi="Arial Narrow" w:cs="Arial"/>
          <w:noProof/>
          <w:sz w:val="24"/>
          <w:szCs w:val="24"/>
          <w:lang w:val="es-ES" w:eastAsia="es-ES"/>
        </w:rPr>
        <w:drawing>
          <wp:inline distT="0" distB="0" distL="0" distR="0" wp14:anchorId="2A0A8B28" wp14:editId="71894323">
            <wp:extent cx="5761355" cy="12255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1355" cy="1225550"/>
                    </a:xfrm>
                    <a:prstGeom prst="rect">
                      <a:avLst/>
                    </a:prstGeom>
                    <a:noFill/>
                  </pic:spPr>
                </pic:pic>
              </a:graphicData>
            </a:graphic>
          </wp:inline>
        </w:drawing>
      </w:r>
    </w:p>
    <w:p w14:paraId="086B72A3" w14:textId="77777777" w:rsidR="00BF026A" w:rsidRDefault="00BF026A" w:rsidP="00776F0A">
      <w:pPr>
        <w:jc w:val="both"/>
        <w:rPr>
          <w:rFonts w:ascii="Arial Narrow" w:hAnsi="Arial Narrow" w:cs="Arial"/>
          <w:sz w:val="24"/>
          <w:szCs w:val="24"/>
        </w:rPr>
      </w:pPr>
    </w:p>
    <w:p w14:paraId="7A855BF7" w14:textId="641D5430" w:rsidR="00BF026A" w:rsidRDefault="00D232FC" w:rsidP="00776F0A">
      <w:pPr>
        <w:jc w:val="both"/>
        <w:rPr>
          <w:rFonts w:ascii="Arial Narrow" w:hAnsi="Arial Narrow" w:cs="Arial"/>
          <w:sz w:val="24"/>
          <w:szCs w:val="24"/>
        </w:rPr>
      </w:pPr>
      <w:r w:rsidRPr="00D232FC">
        <w:rPr>
          <w:rFonts w:ascii="Arial Narrow" w:hAnsi="Arial Narrow" w:cs="Arial"/>
          <w:sz w:val="24"/>
          <w:szCs w:val="24"/>
        </w:rPr>
        <w:t xml:space="preserve">Los honorarios a facturar por los servicios de auditoria </w:t>
      </w:r>
      <w:r w:rsidR="009A42AA" w:rsidRPr="00D232FC">
        <w:rPr>
          <w:rFonts w:ascii="Arial Narrow" w:hAnsi="Arial Narrow" w:cs="Arial"/>
          <w:sz w:val="24"/>
          <w:szCs w:val="24"/>
        </w:rPr>
        <w:t>del ejercicio</w:t>
      </w:r>
      <w:r w:rsidRPr="00D232FC">
        <w:rPr>
          <w:rFonts w:ascii="Arial Narrow" w:hAnsi="Arial Narrow" w:cs="Arial"/>
          <w:sz w:val="24"/>
          <w:szCs w:val="24"/>
        </w:rPr>
        <w:t xml:space="preserve"> 2019 por los auditores de cuentas actuales ascenderán a 7.800 euros y los facturados en el ejercicio 2019 por auditoría de proyectos con financiación específica, 5.475,00 euros, de los cuales 750 € por auditoría de proyectos con financiación específica fueron realizados por otra firma </w:t>
      </w:r>
      <w:r w:rsidR="009A42AA" w:rsidRPr="00D232FC">
        <w:rPr>
          <w:rFonts w:ascii="Arial Narrow" w:hAnsi="Arial Narrow" w:cs="Arial"/>
          <w:sz w:val="24"/>
          <w:szCs w:val="24"/>
        </w:rPr>
        <w:t>auditora.</w:t>
      </w:r>
      <w:r w:rsidRPr="00D232FC">
        <w:rPr>
          <w:rFonts w:ascii="Arial Narrow" w:hAnsi="Arial Narrow" w:cs="Arial"/>
          <w:sz w:val="24"/>
          <w:szCs w:val="24"/>
        </w:rPr>
        <w:t xml:space="preserve"> Los honorarios percibidos en el ejercicio 2018 por los auditores de cuentas ascendieron a 9.635,00 euros y por auditoría de proyectos con financiación específica, 1.125,00 euros</w:t>
      </w:r>
    </w:p>
    <w:p w14:paraId="608DE01B" w14:textId="3DDB4D71" w:rsidR="009A42AA" w:rsidRDefault="009A42AA" w:rsidP="00776F0A">
      <w:pPr>
        <w:jc w:val="both"/>
        <w:rPr>
          <w:rFonts w:ascii="Arial Narrow" w:hAnsi="Arial Narrow" w:cs="Arial"/>
          <w:color w:val="FF0000"/>
          <w:sz w:val="24"/>
          <w:szCs w:val="24"/>
        </w:rPr>
      </w:pPr>
    </w:p>
    <w:p w14:paraId="7512E82C" w14:textId="77777777" w:rsidR="00684C19" w:rsidRPr="00C91E70" w:rsidRDefault="00684C19" w:rsidP="00C91E70">
      <w:pPr>
        <w:widowControl w:val="0"/>
        <w:spacing w:before="120" w:after="120"/>
        <w:rPr>
          <w:rFonts w:ascii="Arial Narrow" w:hAnsi="Arial Narrow" w:cs="Arial"/>
          <w:b/>
          <w:caps/>
          <w:snapToGrid w:val="0"/>
          <w:sz w:val="24"/>
          <w:szCs w:val="24"/>
          <w:lang w:eastAsia="es-ES"/>
        </w:rPr>
      </w:pPr>
      <w:r w:rsidRPr="00C91E70">
        <w:rPr>
          <w:rFonts w:ascii="Arial Narrow" w:hAnsi="Arial Narrow" w:cs="Arial"/>
          <w:b/>
          <w:caps/>
          <w:snapToGrid w:val="0"/>
          <w:sz w:val="24"/>
          <w:szCs w:val="24"/>
          <w:lang w:eastAsia="es-ES"/>
        </w:rPr>
        <w:t xml:space="preserve">NOTA </w:t>
      </w:r>
      <w:r w:rsidR="00230948" w:rsidRPr="00C91E70">
        <w:rPr>
          <w:rFonts w:ascii="Arial Narrow" w:hAnsi="Arial Narrow" w:cs="Arial"/>
          <w:b/>
          <w:caps/>
          <w:snapToGrid w:val="0"/>
          <w:sz w:val="24"/>
          <w:szCs w:val="24"/>
          <w:lang w:eastAsia="es-ES"/>
        </w:rPr>
        <w:t>1</w:t>
      </w:r>
      <w:r w:rsidR="00157A67" w:rsidRPr="00C91E70">
        <w:rPr>
          <w:rFonts w:ascii="Arial Narrow" w:hAnsi="Arial Narrow" w:cs="Arial"/>
          <w:b/>
          <w:caps/>
          <w:snapToGrid w:val="0"/>
          <w:sz w:val="24"/>
          <w:szCs w:val="24"/>
          <w:lang w:eastAsia="es-ES"/>
        </w:rPr>
        <w:t>8</w:t>
      </w:r>
      <w:r w:rsidRPr="00C91E70">
        <w:rPr>
          <w:rFonts w:ascii="Arial Narrow" w:hAnsi="Arial Narrow" w:cs="Arial"/>
          <w:b/>
          <w:caps/>
          <w:snapToGrid w:val="0"/>
          <w:sz w:val="24"/>
          <w:szCs w:val="24"/>
          <w:lang w:eastAsia="es-ES"/>
        </w:rPr>
        <w:t xml:space="preserve">. </w:t>
      </w:r>
      <w:r w:rsidR="00F92671" w:rsidRPr="00C91E70">
        <w:rPr>
          <w:rFonts w:ascii="Arial Narrow" w:hAnsi="Arial Narrow" w:cs="Arial"/>
          <w:b/>
          <w:caps/>
          <w:snapToGrid w:val="0"/>
          <w:sz w:val="24"/>
          <w:szCs w:val="24"/>
          <w:u w:val="single"/>
          <w:lang w:eastAsia="es-ES"/>
        </w:rPr>
        <w:t>CUMPLIMIENTO REQUISITO para la consideración de medio propio</w:t>
      </w:r>
      <w:r w:rsidR="00F92671">
        <w:rPr>
          <w:rFonts w:ascii="Arial Narrow" w:hAnsi="Arial Narrow" w:cs="Arial"/>
          <w:b/>
          <w:caps/>
          <w:snapToGrid w:val="0"/>
          <w:sz w:val="24"/>
          <w:szCs w:val="24"/>
          <w:lang w:eastAsia="es-ES"/>
        </w:rPr>
        <w:t xml:space="preserve"> </w:t>
      </w:r>
    </w:p>
    <w:p w14:paraId="7161CDAD" w14:textId="77777777" w:rsidR="00F92671" w:rsidRPr="009E2C24" w:rsidRDefault="00F92671" w:rsidP="009E2C24">
      <w:pPr>
        <w:spacing w:before="120" w:after="120"/>
        <w:jc w:val="both"/>
        <w:rPr>
          <w:rFonts w:ascii="Arial Narrow" w:hAnsi="Arial Narrow" w:cs="Arial"/>
          <w:sz w:val="24"/>
          <w:szCs w:val="24"/>
        </w:rPr>
      </w:pPr>
      <w:r w:rsidRPr="009E2C24">
        <w:rPr>
          <w:rFonts w:ascii="Arial Narrow" w:hAnsi="Arial Narrow" w:cs="Arial"/>
          <w:sz w:val="24"/>
          <w:szCs w:val="24"/>
        </w:rPr>
        <w:t xml:space="preserve">El artículo 32.2.b) de la Ley 9/2017, de 8 de noviembre, de Contratos del Sector Público, por la que se transponen al ordenamiento jurídico español las Directivas del Parlamento Europeo y del Consejo 2014/23/UE y 2014/24/UE, de 26 de febrero de 2014, establece respecto a los encargos de los poderes adjudicadores a medios propios personificados que </w:t>
      </w:r>
      <w:r w:rsidRPr="00F92671">
        <w:rPr>
          <w:rFonts w:ascii="Arial Narrow" w:hAnsi="Arial Narrow" w:cs="Arial"/>
          <w:sz w:val="24"/>
          <w:szCs w:val="24"/>
        </w:rPr>
        <w:t>para tener la consid</w:t>
      </w:r>
      <w:r>
        <w:rPr>
          <w:rFonts w:ascii="Arial Narrow" w:hAnsi="Arial Narrow" w:cs="Arial"/>
          <w:sz w:val="24"/>
          <w:szCs w:val="24"/>
        </w:rPr>
        <w:t>e</w:t>
      </w:r>
      <w:r w:rsidRPr="00F92671">
        <w:rPr>
          <w:rFonts w:ascii="Arial Narrow" w:hAnsi="Arial Narrow" w:cs="Arial"/>
          <w:sz w:val="24"/>
          <w:szCs w:val="24"/>
        </w:rPr>
        <w:t xml:space="preserve">ración de medio propio es necesario que </w:t>
      </w:r>
      <w:r w:rsidRPr="009E2C24">
        <w:rPr>
          <w:rFonts w:ascii="Arial Narrow" w:hAnsi="Arial Narrow" w:cs="Arial"/>
          <w:sz w:val="24"/>
          <w:szCs w:val="24"/>
        </w:rPr>
        <w:t>más del 80 por ciento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w:t>
      </w:r>
      <w:r w:rsidR="00A47157">
        <w:rPr>
          <w:rFonts w:ascii="Arial Narrow" w:hAnsi="Arial Narrow" w:cs="Arial"/>
          <w:sz w:val="24"/>
          <w:szCs w:val="24"/>
        </w:rPr>
        <w:t xml:space="preserve"> </w:t>
      </w:r>
      <w:r w:rsidR="00AC027F" w:rsidRPr="009E2C24">
        <w:rPr>
          <w:rFonts w:ascii="Arial Narrow" w:hAnsi="Arial Narrow" w:cs="Arial"/>
          <w:sz w:val="24"/>
          <w:szCs w:val="24"/>
        </w:rPr>
        <w:t>Y a tal efecto prevé, entre otros criterios, que para calcular el 80 por ciento de las actividades del ente destinatario del encargo se tomarán en consideración el promedio del volumen global de negocios por los servicios prestados al poder adjudicador en relación con la totalidad de los prestados a cualquier entidad, y todo ello referido a los tres ejercicios anteriores al de formalización del encargo.</w:t>
      </w:r>
      <w:r w:rsidRPr="009E2C24">
        <w:rPr>
          <w:rFonts w:ascii="Arial Narrow" w:hAnsi="Arial Narrow" w:cs="Arial"/>
          <w:sz w:val="24"/>
          <w:szCs w:val="24"/>
        </w:rPr>
        <w:t xml:space="preserve"> </w:t>
      </w:r>
    </w:p>
    <w:p w14:paraId="501C630D" w14:textId="77777777" w:rsidR="00AC027F" w:rsidRDefault="00AC027F" w:rsidP="00F92671">
      <w:pPr>
        <w:spacing w:before="120" w:after="120"/>
        <w:jc w:val="both"/>
        <w:rPr>
          <w:rFonts w:ascii="Arial Narrow" w:hAnsi="Arial Narrow" w:cs="Arial"/>
          <w:sz w:val="24"/>
          <w:szCs w:val="24"/>
        </w:rPr>
      </w:pPr>
      <w:r>
        <w:rPr>
          <w:rFonts w:ascii="Arial Narrow" w:hAnsi="Arial Narrow" w:cs="Arial"/>
          <w:sz w:val="24"/>
          <w:szCs w:val="24"/>
        </w:rPr>
        <w:t>El ITC de acuerdo con la normativa vigente actúa en condición de ente instrumental de la CAC que controla el 100% de su capital social.</w:t>
      </w:r>
    </w:p>
    <w:p w14:paraId="6C10D7A4" w14:textId="77777777" w:rsidR="00F92671" w:rsidRDefault="00F92671" w:rsidP="00F92671">
      <w:pPr>
        <w:spacing w:before="120" w:after="120"/>
        <w:jc w:val="both"/>
        <w:rPr>
          <w:rFonts w:ascii="Arial Narrow" w:hAnsi="Arial Narrow"/>
          <w:sz w:val="24"/>
          <w:szCs w:val="24"/>
        </w:rPr>
      </w:pPr>
      <w:r>
        <w:rPr>
          <w:rFonts w:ascii="Arial Narrow" w:hAnsi="Arial Narrow" w:cs="Arial"/>
          <w:sz w:val="24"/>
          <w:szCs w:val="24"/>
        </w:rPr>
        <w:t xml:space="preserve">De acuerdo con </w:t>
      </w:r>
      <w:r w:rsidR="00AC027F">
        <w:rPr>
          <w:rFonts w:ascii="Arial Narrow" w:hAnsi="Arial Narrow" w:cs="Arial"/>
          <w:sz w:val="24"/>
          <w:szCs w:val="24"/>
        </w:rPr>
        <w:t xml:space="preserve">dicho criterio de promedio del volumen de negocios se adjunta el siguiente cuadro donde se recoge el importe </w:t>
      </w:r>
      <w:r w:rsidR="00AC027F" w:rsidRPr="009E2C24">
        <w:rPr>
          <w:rFonts w:ascii="Arial Narrow" w:hAnsi="Arial Narrow"/>
          <w:sz w:val="24"/>
          <w:szCs w:val="24"/>
        </w:rPr>
        <w:t>neto de la cifra de negocios que tienen su origen en el ejercicio de los cometidos que le han sido confiados por el poder o poderes adjudicadores</w:t>
      </w:r>
      <w:r w:rsidR="00AC027F">
        <w:rPr>
          <w:rFonts w:ascii="Arial Narrow" w:hAnsi="Arial Narrow"/>
          <w:sz w:val="24"/>
          <w:szCs w:val="24"/>
        </w:rPr>
        <w:t xml:space="preserve">, el </w:t>
      </w:r>
      <w:r w:rsidR="00AC027F" w:rsidRPr="00AC027F">
        <w:rPr>
          <w:rFonts w:ascii="Arial Narrow" w:hAnsi="Arial Narrow"/>
          <w:sz w:val="24"/>
          <w:szCs w:val="24"/>
        </w:rPr>
        <w:t>importe neto de la cifra de negocios</w:t>
      </w:r>
      <w:r w:rsidR="00AC027F" w:rsidRPr="00AC027F">
        <w:t xml:space="preserve"> </w:t>
      </w:r>
      <w:r w:rsidR="00AC027F" w:rsidRPr="00AC027F">
        <w:rPr>
          <w:rFonts w:ascii="Arial Narrow" w:hAnsi="Arial Narrow"/>
          <w:sz w:val="24"/>
          <w:szCs w:val="24"/>
        </w:rPr>
        <w:t>que tienen su origen en el ejercicio de cometidos distintos a los confiados por el poder o poderes adjudicadores que hacen el encargo</w:t>
      </w:r>
      <w:r w:rsidR="00AC027F">
        <w:rPr>
          <w:rFonts w:ascii="Arial Narrow" w:hAnsi="Arial Narrow"/>
          <w:sz w:val="24"/>
          <w:szCs w:val="24"/>
        </w:rPr>
        <w:t>, y el correspondiente porcentaje para los tres ejercicios anteriores</w:t>
      </w:r>
      <w:r w:rsidR="00B554E0">
        <w:rPr>
          <w:rFonts w:ascii="Arial Narrow" w:hAnsi="Arial Narrow"/>
          <w:sz w:val="24"/>
          <w:szCs w:val="24"/>
        </w:rPr>
        <w:t>:</w:t>
      </w:r>
    </w:p>
    <w:p w14:paraId="398643C9" w14:textId="77777777" w:rsidR="00F92671" w:rsidRDefault="00BF026A" w:rsidP="00684C19">
      <w:pPr>
        <w:spacing w:before="120" w:after="120"/>
        <w:jc w:val="both"/>
        <w:rPr>
          <w:rFonts w:ascii="Arial Narrow" w:hAnsi="Arial Narrow" w:cs="Arial"/>
          <w:sz w:val="24"/>
          <w:szCs w:val="24"/>
        </w:rPr>
      </w:pPr>
      <w:r w:rsidRPr="00BF026A">
        <w:rPr>
          <w:noProof/>
          <w:lang w:val="es-ES" w:eastAsia="es-ES"/>
        </w:rPr>
        <w:drawing>
          <wp:inline distT="0" distB="0" distL="0" distR="0" wp14:anchorId="39E18C1A" wp14:editId="1CC89AFD">
            <wp:extent cx="5760720" cy="84836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848360"/>
                    </a:xfrm>
                    <a:prstGeom prst="rect">
                      <a:avLst/>
                    </a:prstGeom>
                    <a:noFill/>
                    <a:ln>
                      <a:noFill/>
                    </a:ln>
                  </pic:spPr>
                </pic:pic>
              </a:graphicData>
            </a:graphic>
          </wp:inline>
        </w:drawing>
      </w:r>
    </w:p>
    <w:p w14:paraId="6EE3437E" w14:textId="77777777" w:rsidR="00A47157" w:rsidRPr="00090843" w:rsidRDefault="00A47157" w:rsidP="00684C19">
      <w:pPr>
        <w:spacing w:before="120" w:after="120"/>
        <w:jc w:val="both"/>
        <w:rPr>
          <w:rFonts w:ascii="Arial Narrow" w:hAnsi="Arial Narrow" w:cs="Arial"/>
          <w:sz w:val="14"/>
          <w:szCs w:val="14"/>
        </w:rPr>
      </w:pPr>
      <w:r w:rsidRPr="00090843">
        <w:rPr>
          <w:rFonts w:ascii="Arial Narrow" w:hAnsi="Arial Narrow"/>
          <w:bCs/>
          <w:sz w:val="14"/>
          <w:szCs w:val="14"/>
          <w:lang w:eastAsia="es-ES"/>
        </w:rPr>
        <w:t>(*) La cifra de negocios para los ejercicios 2017 de este cuadro se ha calculado teniendo en cuenta la reclasificación de la Venta de Energía aplicada en 2018 y ejercicios futuros</w:t>
      </w:r>
      <w:r w:rsidR="00090843">
        <w:rPr>
          <w:rFonts w:ascii="Arial Narrow" w:hAnsi="Arial Narrow"/>
          <w:bCs/>
          <w:sz w:val="14"/>
          <w:szCs w:val="14"/>
          <w:lang w:eastAsia="es-ES"/>
        </w:rPr>
        <w:t>,</w:t>
      </w:r>
      <w:r w:rsidR="00090843" w:rsidRPr="00090843">
        <w:rPr>
          <w:rFonts w:ascii="Arial Narrow" w:hAnsi="Arial Narrow"/>
          <w:bCs/>
          <w:sz w:val="14"/>
          <w:szCs w:val="14"/>
          <w:lang w:eastAsia="es-ES"/>
        </w:rPr>
        <w:t xml:space="preserve"> con el fin de considerar cifras comparativas en criterios</w:t>
      </w:r>
      <w:r w:rsidR="00090843">
        <w:rPr>
          <w:rFonts w:ascii="Arial Narrow" w:hAnsi="Arial Narrow"/>
          <w:bCs/>
          <w:sz w:val="14"/>
          <w:szCs w:val="14"/>
          <w:lang w:eastAsia="es-ES"/>
        </w:rPr>
        <w:t xml:space="preserve"> contables.</w:t>
      </w:r>
    </w:p>
    <w:p w14:paraId="1FA131EF" w14:textId="77777777" w:rsidR="00E435F7" w:rsidRDefault="00E435F7" w:rsidP="00684C19">
      <w:pPr>
        <w:spacing w:before="120" w:after="120"/>
        <w:jc w:val="both"/>
        <w:rPr>
          <w:rFonts w:ascii="Arial Narrow" w:hAnsi="Arial Narrow" w:cs="Arial"/>
          <w:sz w:val="24"/>
          <w:szCs w:val="24"/>
        </w:rPr>
      </w:pPr>
      <w:r>
        <w:rPr>
          <w:rFonts w:ascii="Arial Narrow" w:hAnsi="Arial Narrow" w:cs="Arial"/>
          <w:sz w:val="24"/>
          <w:szCs w:val="24"/>
        </w:rPr>
        <w:t>Por lo que se puede concluir que esta Sociedad cumple con el requisito para que sea considerado medio propio personificado, al considerar que más del 80 por ciento de la actividad del ITC son cometidos en el ejercicio de los encargos confiados por los poderes adjudicadores que controla</w:t>
      </w:r>
      <w:r w:rsidR="00E00E47">
        <w:rPr>
          <w:rFonts w:ascii="Arial Narrow" w:hAnsi="Arial Narrow" w:cs="Arial"/>
          <w:sz w:val="24"/>
          <w:szCs w:val="24"/>
        </w:rPr>
        <w:t>n esta Sociedad</w:t>
      </w:r>
      <w:r>
        <w:rPr>
          <w:rFonts w:ascii="Arial Narrow" w:hAnsi="Arial Narrow" w:cs="Arial"/>
          <w:sz w:val="24"/>
          <w:szCs w:val="24"/>
        </w:rPr>
        <w:t>, conforme al art. 32.2.b) y 32.4.b) de la Ley 9/2017, de 8 de noviembre de Contratos del Sector Público</w:t>
      </w:r>
      <w:r w:rsidR="0026262A">
        <w:rPr>
          <w:rFonts w:ascii="Arial Narrow" w:hAnsi="Arial Narrow" w:cs="Arial"/>
          <w:sz w:val="24"/>
          <w:szCs w:val="24"/>
        </w:rPr>
        <w:t>.</w:t>
      </w:r>
    </w:p>
    <w:p w14:paraId="06056CBA" w14:textId="77777777" w:rsidR="00B22068" w:rsidRDefault="00B22068" w:rsidP="00032181">
      <w:pPr>
        <w:spacing w:before="120" w:after="120"/>
        <w:jc w:val="both"/>
        <w:rPr>
          <w:rFonts w:ascii="Arial Narrow" w:hAnsi="Arial Narrow" w:cs="Arial"/>
          <w:sz w:val="24"/>
          <w:szCs w:val="24"/>
        </w:rPr>
      </w:pPr>
    </w:p>
    <w:p w14:paraId="29866D20" w14:textId="77777777" w:rsidR="007C0629" w:rsidRPr="00107D67" w:rsidRDefault="00D6097D" w:rsidP="009C3615">
      <w:pPr>
        <w:widowControl w:val="0"/>
        <w:spacing w:before="120" w:after="120"/>
        <w:jc w:val="both"/>
        <w:rPr>
          <w:rFonts w:ascii="Arial Narrow" w:hAnsi="Arial Narrow" w:cs="Arial"/>
          <w:b/>
          <w:caps/>
          <w:snapToGrid w:val="0"/>
          <w:sz w:val="24"/>
          <w:szCs w:val="24"/>
          <w:u w:val="single"/>
          <w:lang w:eastAsia="es-ES"/>
        </w:rPr>
      </w:pPr>
      <w:r w:rsidRPr="00107D67">
        <w:rPr>
          <w:rFonts w:ascii="Arial Narrow" w:hAnsi="Arial Narrow" w:cs="Arial"/>
          <w:b/>
          <w:caps/>
          <w:snapToGrid w:val="0"/>
          <w:sz w:val="24"/>
          <w:szCs w:val="24"/>
          <w:lang w:eastAsia="es-ES"/>
        </w:rPr>
        <w:t xml:space="preserve">NOTA </w:t>
      </w:r>
      <w:r w:rsidR="00F92671">
        <w:rPr>
          <w:rFonts w:ascii="Arial Narrow" w:hAnsi="Arial Narrow" w:cs="Arial"/>
          <w:b/>
          <w:caps/>
          <w:snapToGrid w:val="0"/>
          <w:sz w:val="24"/>
          <w:szCs w:val="24"/>
          <w:lang w:eastAsia="es-ES"/>
        </w:rPr>
        <w:t>19</w:t>
      </w:r>
      <w:r w:rsidRPr="00107D67">
        <w:rPr>
          <w:rFonts w:ascii="Arial Narrow" w:hAnsi="Arial Narrow" w:cs="Arial"/>
          <w:b/>
          <w:caps/>
          <w:snapToGrid w:val="0"/>
          <w:sz w:val="24"/>
          <w:szCs w:val="24"/>
          <w:lang w:eastAsia="es-ES"/>
        </w:rPr>
        <w:t xml:space="preserve">. </w:t>
      </w:r>
      <w:r w:rsidR="007C0629" w:rsidRPr="00107D67">
        <w:rPr>
          <w:rFonts w:ascii="Arial Narrow" w:hAnsi="Arial Narrow" w:cs="Arial"/>
          <w:b/>
          <w:caps/>
          <w:snapToGrid w:val="0"/>
          <w:sz w:val="24"/>
          <w:szCs w:val="24"/>
          <w:u w:val="single"/>
          <w:lang w:eastAsia="es-ES"/>
        </w:rPr>
        <w:t xml:space="preserve">Información sobre </w:t>
      </w:r>
      <w:r w:rsidR="009C3615" w:rsidRPr="00107D67">
        <w:rPr>
          <w:rFonts w:ascii="Arial Narrow" w:hAnsi="Arial Narrow" w:cs="Arial"/>
          <w:b/>
          <w:caps/>
          <w:snapToGrid w:val="0"/>
          <w:sz w:val="24"/>
          <w:szCs w:val="24"/>
          <w:u w:val="single"/>
          <w:lang w:eastAsia="es-ES"/>
        </w:rPr>
        <w:t>el periodo medio de pago a</w:t>
      </w:r>
      <w:r w:rsidR="007C0629" w:rsidRPr="00107D67">
        <w:rPr>
          <w:rFonts w:ascii="Arial Narrow" w:hAnsi="Arial Narrow" w:cs="Arial"/>
          <w:b/>
          <w:caps/>
          <w:snapToGrid w:val="0"/>
          <w:sz w:val="24"/>
          <w:szCs w:val="24"/>
          <w:u w:val="single"/>
          <w:lang w:eastAsia="es-ES"/>
        </w:rPr>
        <w:t xml:space="preserve"> proveedores</w:t>
      </w:r>
      <w:r w:rsidR="009C3615" w:rsidRPr="00107D67">
        <w:rPr>
          <w:rFonts w:ascii="Arial Narrow" w:hAnsi="Arial Narrow" w:cs="Arial"/>
          <w:b/>
          <w:caps/>
          <w:snapToGrid w:val="0"/>
          <w:sz w:val="24"/>
          <w:szCs w:val="24"/>
          <w:u w:val="single"/>
          <w:lang w:eastAsia="es-ES"/>
        </w:rPr>
        <w:t xml:space="preserve"> durante el ejercicio</w:t>
      </w:r>
      <w:r w:rsidR="007C0629" w:rsidRPr="00107D67">
        <w:rPr>
          <w:rFonts w:ascii="Arial Narrow" w:hAnsi="Arial Narrow" w:cs="Arial"/>
          <w:b/>
          <w:caps/>
          <w:snapToGrid w:val="0"/>
          <w:sz w:val="24"/>
          <w:szCs w:val="24"/>
          <w:u w:val="single"/>
          <w:lang w:eastAsia="es-ES"/>
        </w:rPr>
        <w:t>, Disposición Adicional tercera. "Deber de información" de la Ley 15/2010, de 5 de julio</w:t>
      </w:r>
    </w:p>
    <w:p w14:paraId="2515212B" w14:textId="77777777" w:rsidR="007C0629" w:rsidRDefault="001E56F3" w:rsidP="007C0629">
      <w:pPr>
        <w:jc w:val="both"/>
        <w:rPr>
          <w:rFonts w:ascii="Arial Narrow" w:hAnsi="Arial Narrow" w:cs="Arial"/>
          <w:sz w:val="24"/>
          <w:szCs w:val="24"/>
        </w:rPr>
      </w:pPr>
      <w:r w:rsidRPr="00107D67">
        <w:rPr>
          <w:rFonts w:ascii="Arial Narrow" w:hAnsi="Arial Narrow" w:cs="Arial"/>
          <w:sz w:val="24"/>
          <w:szCs w:val="24"/>
        </w:rPr>
        <w:t xml:space="preserve">Conforme a lo indicado en la disposición adicional tercera "Deber de información" de la Ley 15/2010, de 5 de julio, que modifica la Ley 3/2004, de 29 de diciembre, modificada a su vez por la disposición final segunda de la Ley 31/2014, de 3 de diciembre por la que se establecen medidas de lucha contra la morosidad en las operaciones comerciales, así </w:t>
      </w:r>
      <w:r w:rsidRPr="00134880">
        <w:rPr>
          <w:rFonts w:ascii="Arial Narrow" w:hAnsi="Arial Narrow" w:cs="Arial"/>
          <w:sz w:val="24"/>
          <w:szCs w:val="24"/>
        </w:rPr>
        <w:t>como por lo recogido en la Resolución de 29 de enero de 2016 del Instituto de Contabilidad y Auditoría de Cuentas, al 31 de diciembre de 2015 se informa de lo siguiente:</w:t>
      </w:r>
    </w:p>
    <w:p w14:paraId="38762080" w14:textId="77777777" w:rsidR="00586035" w:rsidRPr="00134880" w:rsidRDefault="00586035" w:rsidP="007C0629">
      <w:pPr>
        <w:jc w:val="both"/>
        <w:rPr>
          <w:rFonts w:ascii="Arial Narrow" w:hAnsi="Arial Narrow" w:cs="Arial"/>
          <w:sz w:val="24"/>
          <w:szCs w:val="24"/>
        </w:rPr>
      </w:pPr>
    </w:p>
    <w:p w14:paraId="36A63F78" w14:textId="2E1A0D1F" w:rsidR="009C3615" w:rsidRDefault="00586035" w:rsidP="00586035">
      <w:pPr>
        <w:tabs>
          <w:tab w:val="left" w:pos="567"/>
          <w:tab w:val="left" w:pos="1134"/>
          <w:tab w:val="left" w:pos="1587"/>
        </w:tabs>
        <w:jc w:val="center"/>
        <w:rPr>
          <w:rFonts w:ascii="Arial" w:hAnsi="Arial" w:cs="Arial"/>
          <w:szCs w:val="22"/>
        </w:rPr>
      </w:pPr>
      <w:r w:rsidRPr="00586035">
        <w:rPr>
          <w:noProof/>
          <w:lang w:val="es-ES" w:eastAsia="es-ES"/>
        </w:rPr>
        <w:drawing>
          <wp:inline distT="0" distB="0" distL="0" distR="0" wp14:anchorId="23145D15" wp14:editId="512D8F30">
            <wp:extent cx="3663315" cy="155702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63315" cy="1557020"/>
                    </a:xfrm>
                    <a:prstGeom prst="rect">
                      <a:avLst/>
                    </a:prstGeom>
                    <a:noFill/>
                    <a:ln>
                      <a:noFill/>
                    </a:ln>
                  </pic:spPr>
                </pic:pic>
              </a:graphicData>
            </a:graphic>
          </wp:inline>
        </w:drawing>
      </w:r>
    </w:p>
    <w:p w14:paraId="3F1B75AD"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1B7E35B5"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53DF1BA6"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3134804E"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462AF160"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787ABCD3"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17AAD966"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1062E35E"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3CB9414D"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2A0AEAA2"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7FD82383"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21D7508D" w14:textId="77777777" w:rsidR="00DF4FF4" w:rsidRDefault="00DF4FF4" w:rsidP="007C0629">
      <w:pPr>
        <w:tabs>
          <w:tab w:val="left" w:pos="567"/>
          <w:tab w:val="decimal" w:pos="7371"/>
          <w:tab w:val="decimal" w:pos="8505"/>
        </w:tabs>
        <w:ind w:left="284" w:hanging="284"/>
        <w:jc w:val="center"/>
        <w:rPr>
          <w:rFonts w:ascii="Arial Narrow" w:hAnsi="Arial Narrow" w:cs="Arial"/>
          <w:b/>
        </w:rPr>
      </w:pPr>
    </w:p>
    <w:p w14:paraId="6DD6A5D9" w14:textId="618930AE" w:rsidR="002968A1" w:rsidRPr="00107D67" w:rsidRDefault="002968A1" w:rsidP="007C0629">
      <w:pPr>
        <w:tabs>
          <w:tab w:val="left" w:pos="567"/>
          <w:tab w:val="decimal" w:pos="7371"/>
          <w:tab w:val="decimal" w:pos="8505"/>
        </w:tabs>
        <w:ind w:left="284" w:hanging="284"/>
        <w:jc w:val="center"/>
        <w:rPr>
          <w:rFonts w:ascii="Arial Narrow" w:hAnsi="Arial Narrow" w:cs="Arial"/>
          <w:b/>
        </w:rPr>
      </w:pPr>
      <w:r w:rsidRPr="00107D67">
        <w:rPr>
          <w:rFonts w:ascii="Arial Narrow" w:hAnsi="Arial Narrow" w:cs="Arial"/>
          <w:b/>
        </w:rPr>
        <w:t>FORMULACIÓN DE LAS CUENTAS ANUALES</w:t>
      </w:r>
    </w:p>
    <w:p w14:paraId="0D51E193" w14:textId="77777777" w:rsidR="00A53079" w:rsidRDefault="00A53079" w:rsidP="00776F0A">
      <w:pPr>
        <w:jc w:val="both"/>
        <w:rPr>
          <w:rFonts w:ascii="Arial Narrow" w:hAnsi="Arial Narrow" w:cs="Arial"/>
          <w:sz w:val="24"/>
          <w:szCs w:val="24"/>
        </w:rPr>
      </w:pPr>
    </w:p>
    <w:p w14:paraId="194772B6" w14:textId="6CFCA2F7" w:rsidR="00EB2DB5" w:rsidRDefault="002662CC" w:rsidP="00776F0A">
      <w:pPr>
        <w:jc w:val="both"/>
        <w:rPr>
          <w:rFonts w:ascii="Arial Narrow" w:hAnsi="Arial Narrow" w:cs="Arial"/>
          <w:sz w:val="24"/>
          <w:szCs w:val="24"/>
        </w:rPr>
      </w:pPr>
      <w:r w:rsidRPr="002662CC">
        <w:rPr>
          <w:rFonts w:ascii="Arial Narrow" w:hAnsi="Arial Narrow" w:cs="Arial"/>
          <w:sz w:val="24"/>
          <w:szCs w:val="24"/>
        </w:rPr>
        <w:t xml:space="preserve">El Consejo de Administración del Instituto Tecnológico de Canarias, S.A., en fecha </w:t>
      </w:r>
      <w:r w:rsidR="001F038C">
        <w:rPr>
          <w:rFonts w:ascii="Arial Narrow" w:hAnsi="Arial Narrow" w:cs="Arial"/>
          <w:sz w:val="24"/>
          <w:szCs w:val="24"/>
        </w:rPr>
        <w:t>15 de mayo de 2020</w:t>
      </w:r>
      <w:r w:rsidRPr="002662CC">
        <w:rPr>
          <w:rFonts w:ascii="Arial Narrow" w:hAnsi="Arial Narrow" w:cs="Arial"/>
          <w:sz w:val="24"/>
          <w:szCs w:val="24"/>
        </w:rPr>
        <w:t>, y en cumplimiento de los requisitos establecidos en el artículo 253 de la Ley de Sociedades de Capital y del artículo 37 del Código de Comercio, formula las Cuentas Anuales del ejercicio anual terminado el 31 de diciembre de 201</w:t>
      </w:r>
      <w:r>
        <w:rPr>
          <w:rFonts w:ascii="Arial Narrow" w:hAnsi="Arial Narrow" w:cs="Arial"/>
          <w:sz w:val="24"/>
          <w:szCs w:val="24"/>
        </w:rPr>
        <w:t>9</w:t>
      </w:r>
      <w:r w:rsidRPr="002662CC">
        <w:rPr>
          <w:rFonts w:ascii="Arial Narrow" w:hAnsi="Arial Narrow" w:cs="Arial"/>
          <w:sz w:val="24"/>
          <w:szCs w:val="24"/>
        </w:rPr>
        <w:t xml:space="preserve">, que se compone de las adjuntas hojas número 1 a </w:t>
      </w:r>
      <w:r w:rsidR="00C60DD6">
        <w:rPr>
          <w:rFonts w:ascii="Arial Narrow" w:hAnsi="Arial Narrow" w:cs="Arial"/>
          <w:sz w:val="24"/>
          <w:szCs w:val="24"/>
        </w:rPr>
        <w:t>5</w:t>
      </w:r>
      <w:r w:rsidR="00DF4FF4">
        <w:rPr>
          <w:rFonts w:ascii="Arial Narrow" w:hAnsi="Arial Narrow" w:cs="Arial"/>
          <w:sz w:val="24"/>
          <w:szCs w:val="24"/>
        </w:rPr>
        <w:t>6</w:t>
      </w:r>
      <w:r w:rsidRPr="002662CC">
        <w:rPr>
          <w:rFonts w:ascii="Arial Narrow" w:hAnsi="Arial Narrow" w:cs="Arial"/>
          <w:sz w:val="24"/>
          <w:szCs w:val="24"/>
        </w:rPr>
        <w:t>, inclusive.</w:t>
      </w:r>
    </w:p>
    <w:p w14:paraId="7815625D" w14:textId="77777777" w:rsidR="00586035" w:rsidRPr="00107D67" w:rsidRDefault="00586035" w:rsidP="00776F0A">
      <w:pPr>
        <w:jc w:val="both"/>
        <w:rPr>
          <w:rFonts w:ascii="Arial Narrow" w:hAnsi="Arial Narrow"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464"/>
        <w:gridCol w:w="4464"/>
      </w:tblGrid>
      <w:tr w:rsidR="002662CC" w:rsidRPr="00E55D98" w14:paraId="54AD57BF" w14:textId="77777777" w:rsidTr="00ED5603">
        <w:tc>
          <w:tcPr>
            <w:tcW w:w="4464" w:type="dxa"/>
          </w:tcPr>
          <w:p w14:paraId="65086D55" w14:textId="77777777" w:rsidR="002662CC" w:rsidRPr="00156457" w:rsidRDefault="002662CC" w:rsidP="00ED5603">
            <w:pPr>
              <w:tabs>
                <w:tab w:val="left" w:pos="567"/>
                <w:tab w:val="decimal" w:pos="7230"/>
                <w:tab w:val="decimal" w:pos="8505"/>
              </w:tabs>
              <w:jc w:val="center"/>
              <w:rPr>
                <w:rFonts w:ascii="Arial Narrow" w:hAnsi="Arial Narrow" w:cs="Arial"/>
                <w:sz w:val="24"/>
                <w:szCs w:val="24"/>
              </w:rPr>
            </w:pPr>
          </w:p>
          <w:p w14:paraId="0F573F15" w14:textId="77777777" w:rsidR="002662CC" w:rsidRPr="00156457" w:rsidRDefault="002662CC" w:rsidP="00ED5603">
            <w:pPr>
              <w:tabs>
                <w:tab w:val="left" w:pos="567"/>
                <w:tab w:val="decimal" w:pos="7230"/>
                <w:tab w:val="decimal" w:pos="8505"/>
              </w:tabs>
              <w:jc w:val="center"/>
              <w:rPr>
                <w:rFonts w:ascii="Arial Narrow" w:hAnsi="Arial Narrow" w:cs="Arial"/>
                <w:sz w:val="24"/>
                <w:szCs w:val="24"/>
              </w:rPr>
            </w:pPr>
          </w:p>
          <w:p w14:paraId="211BBD02" w14:textId="77777777" w:rsidR="002662CC" w:rsidRPr="00156457" w:rsidRDefault="002662CC" w:rsidP="00ED5603">
            <w:pPr>
              <w:tabs>
                <w:tab w:val="left" w:pos="567"/>
                <w:tab w:val="decimal" w:pos="7230"/>
                <w:tab w:val="decimal" w:pos="8505"/>
              </w:tabs>
              <w:jc w:val="center"/>
              <w:rPr>
                <w:rFonts w:ascii="Arial Narrow" w:hAnsi="Arial Narrow" w:cs="Arial"/>
                <w:sz w:val="24"/>
                <w:szCs w:val="24"/>
              </w:rPr>
            </w:pPr>
          </w:p>
          <w:p w14:paraId="402EA7EE" w14:textId="77777777" w:rsidR="002662CC" w:rsidRDefault="002662CC" w:rsidP="00ED5603">
            <w:pPr>
              <w:tabs>
                <w:tab w:val="left" w:pos="567"/>
                <w:tab w:val="decimal" w:pos="7230"/>
                <w:tab w:val="decimal" w:pos="8505"/>
              </w:tabs>
              <w:jc w:val="center"/>
              <w:rPr>
                <w:rFonts w:ascii="Arial Narrow" w:hAnsi="Arial Narrow" w:cs="Arial"/>
                <w:sz w:val="24"/>
                <w:szCs w:val="24"/>
              </w:rPr>
            </w:pPr>
          </w:p>
          <w:p w14:paraId="4EFDE36E" w14:textId="77777777" w:rsidR="00CC68C1" w:rsidRPr="00156457" w:rsidRDefault="00CC68C1" w:rsidP="00ED5603">
            <w:pPr>
              <w:tabs>
                <w:tab w:val="left" w:pos="567"/>
                <w:tab w:val="decimal" w:pos="7230"/>
                <w:tab w:val="decimal" w:pos="8505"/>
              </w:tabs>
              <w:jc w:val="center"/>
              <w:rPr>
                <w:rFonts w:ascii="Arial Narrow" w:hAnsi="Arial Narrow" w:cs="Arial"/>
                <w:sz w:val="24"/>
                <w:szCs w:val="24"/>
              </w:rPr>
            </w:pPr>
          </w:p>
          <w:p w14:paraId="58ED23C3" w14:textId="77777777" w:rsidR="002662CC" w:rsidRPr="00E55D98" w:rsidRDefault="002662CC" w:rsidP="00ED5603">
            <w:pPr>
              <w:tabs>
                <w:tab w:val="left" w:pos="567"/>
                <w:tab w:val="decimal" w:pos="7230"/>
                <w:tab w:val="decimal" w:pos="8505"/>
              </w:tabs>
              <w:rPr>
                <w:rFonts w:ascii="Arial Narrow" w:hAnsi="Arial Narrow" w:cs="Arial"/>
                <w:sz w:val="24"/>
                <w:szCs w:val="24"/>
                <w:lang w:val="pt-PT"/>
              </w:rPr>
            </w:pPr>
            <w:r w:rsidRPr="00E55D98">
              <w:rPr>
                <w:rFonts w:ascii="Arial Narrow" w:hAnsi="Arial Narrow" w:cs="Arial"/>
                <w:sz w:val="24"/>
                <w:szCs w:val="24"/>
                <w:lang w:val="pt-PT"/>
              </w:rPr>
              <w:t>___________________________________</w:t>
            </w:r>
          </w:p>
          <w:p w14:paraId="1C81C290"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 xml:space="preserve">Dña. Elena Máñez Rodríguez </w:t>
            </w:r>
          </w:p>
          <w:p w14:paraId="3911D62B" w14:textId="77777777" w:rsidR="002662CC" w:rsidRPr="00E55D98" w:rsidRDefault="002662CC" w:rsidP="00ED5603">
            <w:pPr>
              <w:tabs>
                <w:tab w:val="left" w:pos="567"/>
                <w:tab w:val="decimal" w:pos="7230"/>
                <w:tab w:val="decimal" w:pos="8505"/>
              </w:tabs>
              <w:jc w:val="center"/>
              <w:rPr>
                <w:rFonts w:ascii="Arial Narrow" w:hAnsi="Arial Narrow" w:cs="Arial"/>
                <w:sz w:val="24"/>
                <w:szCs w:val="24"/>
                <w:lang w:val="pt-PT"/>
              </w:rPr>
            </w:pPr>
            <w:r w:rsidRPr="00E55D98">
              <w:rPr>
                <w:rFonts w:ascii="Arial Narrow" w:hAnsi="Arial Narrow" w:cs="Arial"/>
                <w:sz w:val="24"/>
                <w:szCs w:val="24"/>
                <w:lang w:val="pt-PT"/>
              </w:rPr>
              <w:t>Presidenta</w:t>
            </w:r>
          </w:p>
        </w:tc>
        <w:tc>
          <w:tcPr>
            <w:tcW w:w="4464" w:type="dxa"/>
          </w:tcPr>
          <w:p w14:paraId="7C5210E0" w14:textId="77777777" w:rsidR="002662CC" w:rsidRPr="00E55D98" w:rsidRDefault="002662CC" w:rsidP="00ED5603">
            <w:pPr>
              <w:tabs>
                <w:tab w:val="left" w:pos="567"/>
                <w:tab w:val="decimal" w:pos="7230"/>
                <w:tab w:val="decimal" w:pos="8505"/>
              </w:tabs>
              <w:jc w:val="center"/>
              <w:rPr>
                <w:rFonts w:ascii="Arial Narrow" w:hAnsi="Arial Narrow" w:cs="Arial"/>
                <w:sz w:val="24"/>
                <w:szCs w:val="24"/>
                <w:lang w:val="pt-PT"/>
              </w:rPr>
            </w:pPr>
          </w:p>
          <w:p w14:paraId="735E58BC" w14:textId="77777777" w:rsidR="002662CC" w:rsidRPr="00E55D98" w:rsidRDefault="002662CC" w:rsidP="00ED5603">
            <w:pPr>
              <w:tabs>
                <w:tab w:val="left" w:pos="567"/>
                <w:tab w:val="decimal" w:pos="7230"/>
                <w:tab w:val="decimal" w:pos="8505"/>
              </w:tabs>
              <w:jc w:val="center"/>
              <w:rPr>
                <w:rFonts w:ascii="Arial Narrow" w:hAnsi="Arial Narrow" w:cs="Arial"/>
                <w:sz w:val="24"/>
                <w:szCs w:val="24"/>
                <w:lang w:val="pt-PT"/>
              </w:rPr>
            </w:pPr>
          </w:p>
          <w:p w14:paraId="057F0BC7" w14:textId="77777777" w:rsidR="002662CC" w:rsidRPr="00E55D98" w:rsidRDefault="002662CC" w:rsidP="00ED5603">
            <w:pPr>
              <w:tabs>
                <w:tab w:val="left" w:pos="567"/>
                <w:tab w:val="decimal" w:pos="7230"/>
                <w:tab w:val="decimal" w:pos="8505"/>
              </w:tabs>
              <w:jc w:val="center"/>
              <w:rPr>
                <w:rFonts w:ascii="Arial Narrow" w:hAnsi="Arial Narrow" w:cs="Arial"/>
                <w:sz w:val="24"/>
                <w:szCs w:val="24"/>
                <w:lang w:val="pt-PT"/>
              </w:rPr>
            </w:pPr>
          </w:p>
          <w:p w14:paraId="75F37EEC" w14:textId="77777777" w:rsidR="002662CC" w:rsidRDefault="002662CC" w:rsidP="00ED5603">
            <w:pPr>
              <w:tabs>
                <w:tab w:val="left" w:pos="567"/>
                <w:tab w:val="decimal" w:pos="7230"/>
                <w:tab w:val="decimal" w:pos="8505"/>
              </w:tabs>
              <w:jc w:val="center"/>
              <w:rPr>
                <w:rFonts w:ascii="Arial Narrow" w:hAnsi="Arial Narrow" w:cs="Arial"/>
                <w:sz w:val="24"/>
                <w:szCs w:val="24"/>
                <w:lang w:val="pt-PT"/>
              </w:rPr>
            </w:pPr>
          </w:p>
          <w:p w14:paraId="7D0AE1A0" w14:textId="77777777" w:rsidR="00CC68C1" w:rsidRPr="00E55D98" w:rsidRDefault="00CC68C1" w:rsidP="00ED5603">
            <w:pPr>
              <w:tabs>
                <w:tab w:val="left" w:pos="567"/>
                <w:tab w:val="decimal" w:pos="7230"/>
                <w:tab w:val="decimal" w:pos="8505"/>
              </w:tabs>
              <w:jc w:val="center"/>
              <w:rPr>
                <w:rFonts w:ascii="Arial Narrow" w:hAnsi="Arial Narrow" w:cs="Arial"/>
                <w:sz w:val="24"/>
                <w:szCs w:val="24"/>
                <w:lang w:val="pt-PT"/>
              </w:rPr>
            </w:pPr>
          </w:p>
          <w:p w14:paraId="19591554" w14:textId="77777777" w:rsidR="002662CC" w:rsidRPr="00E55D98" w:rsidRDefault="002662CC" w:rsidP="00ED5603">
            <w:pPr>
              <w:tabs>
                <w:tab w:val="left" w:pos="567"/>
                <w:tab w:val="decimal" w:pos="7230"/>
                <w:tab w:val="decimal" w:pos="8505"/>
              </w:tabs>
              <w:rPr>
                <w:rFonts w:ascii="Arial Narrow" w:hAnsi="Arial Narrow" w:cs="Arial"/>
                <w:sz w:val="24"/>
                <w:szCs w:val="24"/>
              </w:rPr>
            </w:pPr>
            <w:r w:rsidRPr="00E55D98">
              <w:rPr>
                <w:rFonts w:ascii="Arial Narrow" w:hAnsi="Arial Narrow" w:cs="Arial"/>
                <w:sz w:val="24"/>
                <w:szCs w:val="24"/>
              </w:rPr>
              <w:t>___________________________________</w:t>
            </w:r>
          </w:p>
          <w:p w14:paraId="0993F915" w14:textId="77777777" w:rsidR="002662CC" w:rsidRPr="00E55D98" w:rsidRDefault="002662CC" w:rsidP="00ED5603">
            <w:pPr>
              <w:jc w:val="center"/>
              <w:rPr>
                <w:rFonts w:ascii="Arial Narrow" w:hAnsi="Arial Narrow" w:cs="Arial"/>
                <w:sz w:val="24"/>
                <w:szCs w:val="24"/>
              </w:rPr>
            </w:pPr>
            <w:r w:rsidRPr="00E55D98">
              <w:rPr>
                <w:rFonts w:ascii="Arial Narrow" w:hAnsi="Arial Narrow" w:cs="Arial"/>
                <w:sz w:val="24"/>
                <w:szCs w:val="24"/>
              </w:rPr>
              <w:t>D. Laureano Pérez Rodríguez</w:t>
            </w:r>
          </w:p>
          <w:p w14:paraId="0CC74BA3"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Consejero</w:t>
            </w:r>
            <w:r w:rsidRPr="00E55D98" w:rsidDel="00D07797">
              <w:rPr>
                <w:rFonts w:ascii="Arial Narrow" w:hAnsi="Arial Narrow" w:cs="Arial"/>
                <w:sz w:val="24"/>
                <w:szCs w:val="24"/>
              </w:rPr>
              <w:t xml:space="preserve"> </w:t>
            </w:r>
          </w:p>
        </w:tc>
      </w:tr>
      <w:tr w:rsidR="002662CC" w:rsidRPr="00E55D98" w14:paraId="364331AC" w14:textId="77777777" w:rsidTr="00ED5603">
        <w:tc>
          <w:tcPr>
            <w:tcW w:w="4464" w:type="dxa"/>
          </w:tcPr>
          <w:p w14:paraId="190C28AF"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02818371"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3D9C2C90"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2B667818"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1519EACB"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1E511875" w14:textId="77777777" w:rsidR="002662CC" w:rsidRPr="00E55D98" w:rsidRDefault="002662CC" w:rsidP="00ED5603">
            <w:pPr>
              <w:tabs>
                <w:tab w:val="left" w:pos="567"/>
                <w:tab w:val="decimal" w:pos="7230"/>
                <w:tab w:val="decimal" w:pos="8505"/>
              </w:tabs>
              <w:rPr>
                <w:rFonts w:ascii="Arial Narrow" w:hAnsi="Arial Narrow" w:cs="Arial"/>
                <w:sz w:val="24"/>
                <w:szCs w:val="24"/>
              </w:rPr>
            </w:pPr>
            <w:r w:rsidRPr="00E55D98">
              <w:rPr>
                <w:rFonts w:ascii="Arial Narrow" w:hAnsi="Arial Narrow" w:cs="Arial"/>
                <w:sz w:val="24"/>
                <w:szCs w:val="24"/>
              </w:rPr>
              <w:t>___________________________________</w:t>
            </w:r>
          </w:p>
          <w:p w14:paraId="28240883"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D. Gustavo Santana Martel</w:t>
            </w:r>
            <w:r w:rsidRPr="00E55D98" w:rsidDel="00D07797">
              <w:rPr>
                <w:rFonts w:ascii="Arial Narrow" w:hAnsi="Arial Narrow" w:cs="Arial"/>
                <w:sz w:val="24"/>
                <w:szCs w:val="24"/>
              </w:rPr>
              <w:t xml:space="preserve"> </w:t>
            </w:r>
          </w:p>
          <w:p w14:paraId="0967526C"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Consejero</w:t>
            </w:r>
          </w:p>
        </w:tc>
        <w:tc>
          <w:tcPr>
            <w:tcW w:w="4464" w:type="dxa"/>
          </w:tcPr>
          <w:p w14:paraId="5BD1C1FD"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190BEF10"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79DEFEB8"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7ADEC4BD"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4F2E7614"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4474BB00" w14:textId="77777777" w:rsidR="002662CC" w:rsidRPr="00E55D98" w:rsidRDefault="002662CC" w:rsidP="00ED5603">
            <w:pPr>
              <w:tabs>
                <w:tab w:val="left" w:pos="567"/>
                <w:tab w:val="decimal" w:pos="7230"/>
                <w:tab w:val="decimal" w:pos="8505"/>
              </w:tabs>
              <w:rPr>
                <w:rFonts w:ascii="Arial Narrow" w:hAnsi="Arial Narrow" w:cs="Arial"/>
                <w:sz w:val="24"/>
                <w:szCs w:val="24"/>
              </w:rPr>
            </w:pPr>
            <w:r w:rsidRPr="00E55D98">
              <w:rPr>
                <w:rFonts w:ascii="Arial Narrow" w:hAnsi="Arial Narrow" w:cs="Arial"/>
                <w:sz w:val="24"/>
                <w:szCs w:val="24"/>
              </w:rPr>
              <w:t>___________________________________</w:t>
            </w:r>
          </w:p>
          <w:p w14:paraId="4D36D1C1"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 xml:space="preserve">D. Justo Jesús </w:t>
            </w:r>
            <w:proofErr w:type="spellStart"/>
            <w:r w:rsidRPr="00E55D98">
              <w:rPr>
                <w:rFonts w:ascii="Arial Narrow" w:hAnsi="Arial Narrow" w:cs="Arial"/>
                <w:sz w:val="24"/>
                <w:szCs w:val="24"/>
              </w:rPr>
              <w:t>Artíles</w:t>
            </w:r>
            <w:proofErr w:type="spellEnd"/>
            <w:r w:rsidRPr="00E55D98">
              <w:rPr>
                <w:rFonts w:ascii="Arial Narrow" w:hAnsi="Arial Narrow" w:cs="Arial"/>
                <w:sz w:val="24"/>
                <w:szCs w:val="24"/>
              </w:rPr>
              <w:t xml:space="preserve"> Sánchez</w:t>
            </w:r>
          </w:p>
          <w:p w14:paraId="4B19C263"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Consejero</w:t>
            </w:r>
          </w:p>
        </w:tc>
      </w:tr>
      <w:tr w:rsidR="002662CC" w:rsidRPr="00E55D98" w14:paraId="4EBF0913" w14:textId="77777777" w:rsidTr="00ED5603">
        <w:tc>
          <w:tcPr>
            <w:tcW w:w="4464" w:type="dxa"/>
          </w:tcPr>
          <w:p w14:paraId="4AD567EE"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7800E422"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553CE1EA"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1BB3A7B3"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563541C3"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5428B778" w14:textId="77777777" w:rsidR="002662CC" w:rsidRPr="00E55D98" w:rsidRDefault="002662CC" w:rsidP="00ED5603">
            <w:pPr>
              <w:tabs>
                <w:tab w:val="left" w:pos="567"/>
                <w:tab w:val="decimal" w:pos="7230"/>
                <w:tab w:val="decimal" w:pos="8505"/>
              </w:tabs>
              <w:rPr>
                <w:rFonts w:ascii="Arial Narrow" w:hAnsi="Arial Narrow" w:cs="Arial"/>
                <w:sz w:val="24"/>
                <w:szCs w:val="24"/>
              </w:rPr>
            </w:pPr>
            <w:r w:rsidRPr="00E55D98">
              <w:rPr>
                <w:rFonts w:ascii="Arial Narrow" w:hAnsi="Arial Narrow" w:cs="Arial"/>
                <w:sz w:val="24"/>
                <w:szCs w:val="24"/>
              </w:rPr>
              <w:t>___________________________________</w:t>
            </w:r>
          </w:p>
          <w:p w14:paraId="39136A6F" w14:textId="77777777" w:rsidR="002662CC" w:rsidRPr="00E55D98" w:rsidRDefault="002662CC" w:rsidP="00ED5603">
            <w:pPr>
              <w:jc w:val="center"/>
              <w:rPr>
                <w:rFonts w:ascii="Arial Narrow" w:hAnsi="Arial Narrow" w:cs="Arial"/>
                <w:sz w:val="24"/>
                <w:szCs w:val="24"/>
              </w:rPr>
            </w:pPr>
            <w:r w:rsidRPr="00E55D98">
              <w:rPr>
                <w:rFonts w:ascii="Arial Narrow" w:hAnsi="Arial Narrow" w:cs="Arial"/>
                <w:sz w:val="24"/>
                <w:szCs w:val="24"/>
              </w:rPr>
              <w:t>D. Antonio Aparicio Juan</w:t>
            </w:r>
          </w:p>
          <w:p w14:paraId="38E6F71F"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Consejero</w:t>
            </w:r>
          </w:p>
        </w:tc>
        <w:tc>
          <w:tcPr>
            <w:tcW w:w="4464" w:type="dxa"/>
          </w:tcPr>
          <w:p w14:paraId="0FA32F17"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02523C22"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27D98F5D"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605DA04D"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02DB9FB0"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3E89E420" w14:textId="77777777" w:rsidR="002662CC" w:rsidRPr="00E55D98" w:rsidRDefault="002662CC" w:rsidP="00ED5603">
            <w:pPr>
              <w:tabs>
                <w:tab w:val="left" w:pos="567"/>
                <w:tab w:val="decimal" w:pos="7230"/>
                <w:tab w:val="decimal" w:pos="8505"/>
              </w:tabs>
              <w:rPr>
                <w:rFonts w:ascii="Arial Narrow" w:hAnsi="Arial Narrow" w:cs="Arial"/>
                <w:sz w:val="24"/>
                <w:szCs w:val="24"/>
              </w:rPr>
            </w:pPr>
            <w:r w:rsidRPr="00E55D98">
              <w:rPr>
                <w:rFonts w:ascii="Arial Narrow" w:hAnsi="Arial Narrow" w:cs="Arial"/>
                <w:sz w:val="24"/>
                <w:szCs w:val="24"/>
              </w:rPr>
              <w:t>___________________________________</w:t>
            </w:r>
          </w:p>
          <w:p w14:paraId="4B017A84"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D. Miguel Ángel Pérez Hernández</w:t>
            </w:r>
            <w:r w:rsidRPr="00E55D98" w:rsidDel="0015236C">
              <w:rPr>
                <w:rFonts w:ascii="Arial Narrow" w:hAnsi="Arial Narrow" w:cs="Arial"/>
                <w:sz w:val="24"/>
                <w:szCs w:val="24"/>
              </w:rPr>
              <w:t xml:space="preserve"> </w:t>
            </w:r>
          </w:p>
          <w:p w14:paraId="12C5F119"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Consejero</w:t>
            </w:r>
          </w:p>
        </w:tc>
      </w:tr>
      <w:tr w:rsidR="002662CC" w:rsidRPr="00221FD0" w14:paraId="5DF00144" w14:textId="77777777" w:rsidTr="00ED5603">
        <w:trPr>
          <w:gridAfter w:val="1"/>
          <w:wAfter w:w="4464" w:type="dxa"/>
        </w:trPr>
        <w:tc>
          <w:tcPr>
            <w:tcW w:w="4464" w:type="dxa"/>
          </w:tcPr>
          <w:p w14:paraId="58174F44"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1148BB26"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2E40534F"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74C8C182"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54B480D3" w14:textId="77777777" w:rsidR="002662CC" w:rsidRPr="00E55D98" w:rsidRDefault="002662CC" w:rsidP="00ED5603">
            <w:pPr>
              <w:tabs>
                <w:tab w:val="left" w:pos="567"/>
                <w:tab w:val="decimal" w:pos="7230"/>
                <w:tab w:val="decimal" w:pos="8505"/>
              </w:tabs>
              <w:jc w:val="center"/>
              <w:rPr>
                <w:rFonts w:ascii="Arial Narrow" w:hAnsi="Arial Narrow" w:cs="Arial"/>
                <w:sz w:val="24"/>
                <w:szCs w:val="24"/>
              </w:rPr>
            </w:pPr>
          </w:p>
          <w:p w14:paraId="2BBF0E5F" w14:textId="77777777" w:rsidR="002662CC" w:rsidRPr="00E55D98" w:rsidRDefault="002662CC" w:rsidP="00ED5603">
            <w:pPr>
              <w:tabs>
                <w:tab w:val="left" w:pos="567"/>
                <w:tab w:val="decimal" w:pos="7230"/>
                <w:tab w:val="decimal" w:pos="8505"/>
              </w:tabs>
              <w:rPr>
                <w:rFonts w:ascii="Arial Narrow" w:hAnsi="Arial Narrow" w:cs="Arial"/>
                <w:sz w:val="24"/>
                <w:szCs w:val="24"/>
              </w:rPr>
            </w:pPr>
            <w:r w:rsidRPr="00E55D98">
              <w:rPr>
                <w:rFonts w:ascii="Arial Narrow" w:hAnsi="Arial Narrow" w:cs="Arial"/>
                <w:sz w:val="24"/>
                <w:szCs w:val="24"/>
              </w:rPr>
              <w:t>___________________________________</w:t>
            </w:r>
          </w:p>
          <w:p w14:paraId="5B9725AE" w14:textId="77777777" w:rsidR="002662CC" w:rsidRPr="00E55D98" w:rsidRDefault="002662CC" w:rsidP="00ED5603">
            <w:pPr>
              <w:jc w:val="center"/>
              <w:rPr>
                <w:rFonts w:ascii="Arial Narrow" w:hAnsi="Arial Narrow" w:cs="Arial"/>
                <w:sz w:val="24"/>
                <w:szCs w:val="24"/>
              </w:rPr>
            </w:pPr>
            <w:r w:rsidRPr="00E55D98">
              <w:rPr>
                <w:rFonts w:ascii="Arial Narrow" w:hAnsi="Arial Narrow" w:cs="Arial"/>
                <w:sz w:val="24"/>
                <w:szCs w:val="24"/>
              </w:rPr>
              <w:t xml:space="preserve">D. José Julián </w:t>
            </w:r>
            <w:proofErr w:type="spellStart"/>
            <w:r w:rsidRPr="00E55D98">
              <w:rPr>
                <w:rFonts w:ascii="Arial Narrow" w:hAnsi="Arial Narrow" w:cs="Arial"/>
                <w:sz w:val="24"/>
                <w:szCs w:val="24"/>
              </w:rPr>
              <w:t>Isturitz</w:t>
            </w:r>
            <w:proofErr w:type="spellEnd"/>
            <w:r w:rsidRPr="00E55D98">
              <w:rPr>
                <w:rFonts w:ascii="Arial Narrow" w:hAnsi="Arial Narrow" w:cs="Arial"/>
                <w:sz w:val="24"/>
                <w:szCs w:val="24"/>
              </w:rPr>
              <w:t xml:space="preserve"> Pérez</w:t>
            </w:r>
          </w:p>
          <w:p w14:paraId="508D75E0" w14:textId="77777777" w:rsidR="002662CC" w:rsidRPr="00221FD0" w:rsidRDefault="002662CC" w:rsidP="00ED5603">
            <w:pPr>
              <w:tabs>
                <w:tab w:val="left" w:pos="567"/>
                <w:tab w:val="decimal" w:pos="7230"/>
                <w:tab w:val="decimal" w:pos="8505"/>
              </w:tabs>
              <w:jc w:val="center"/>
              <w:rPr>
                <w:rFonts w:ascii="Arial Narrow" w:hAnsi="Arial Narrow" w:cs="Arial"/>
                <w:sz w:val="24"/>
                <w:szCs w:val="24"/>
              </w:rPr>
            </w:pPr>
            <w:r w:rsidRPr="00E55D98">
              <w:rPr>
                <w:rFonts w:ascii="Arial Narrow" w:hAnsi="Arial Narrow" w:cs="Arial"/>
                <w:sz w:val="24"/>
                <w:szCs w:val="24"/>
              </w:rPr>
              <w:t>Consejero</w:t>
            </w:r>
          </w:p>
        </w:tc>
      </w:tr>
    </w:tbl>
    <w:p w14:paraId="5B6D874F" w14:textId="50D0AB03" w:rsidR="00975B0F" w:rsidRDefault="00975B0F" w:rsidP="0033179D">
      <w:pPr>
        <w:keepNext/>
        <w:keepLines/>
        <w:jc w:val="center"/>
        <w:rPr>
          <w:rFonts w:ascii="Arial" w:hAnsi="Arial" w:cs="Arial"/>
          <w:b/>
          <w:szCs w:val="22"/>
        </w:rPr>
      </w:pPr>
    </w:p>
    <w:p w14:paraId="5F8018BE" w14:textId="1C1457C8" w:rsidR="00615A1B" w:rsidRDefault="00615A1B">
      <w:pPr>
        <w:rPr>
          <w:rFonts w:ascii="Arial" w:hAnsi="Arial" w:cs="Arial"/>
          <w:b/>
          <w:szCs w:val="22"/>
        </w:rPr>
      </w:pPr>
      <w:r>
        <w:rPr>
          <w:rFonts w:ascii="Arial" w:hAnsi="Arial" w:cs="Arial"/>
          <w:b/>
          <w:szCs w:val="22"/>
        </w:rPr>
        <w:br w:type="page"/>
      </w:r>
    </w:p>
    <w:p w14:paraId="21F41BB9" w14:textId="77777777" w:rsidR="00BF227B" w:rsidRDefault="00BF227B" w:rsidP="00615A1B">
      <w:pPr>
        <w:widowControl w:val="0"/>
        <w:spacing w:before="240" w:after="240" w:line="260" w:lineRule="atLeast"/>
        <w:jc w:val="center"/>
        <w:rPr>
          <w:rFonts w:ascii="Arial" w:hAnsi="Arial" w:cs="Arial"/>
          <w:b/>
          <w:szCs w:val="22"/>
        </w:rPr>
        <w:sectPr w:rsidR="00BF227B" w:rsidSect="007B2213">
          <w:headerReference w:type="default" r:id="rId53"/>
          <w:footerReference w:type="default" r:id="rId54"/>
          <w:pgSz w:w="11907" w:h="16839" w:code="9"/>
          <w:pgMar w:top="1021" w:right="1134" w:bottom="1134" w:left="1701" w:header="1134" w:footer="567" w:gutter="0"/>
          <w:pgNumType w:start="1"/>
          <w:cols w:space="720"/>
          <w:noEndnote/>
          <w:docGrid w:linePitch="299"/>
        </w:sectPr>
      </w:pPr>
    </w:p>
    <w:p w14:paraId="562E90C7" w14:textId="473A484A" w:rsidR="00BF227B" w:rsidRDefault="00BF227B" w:rsidP="00615A1B">
      <w:pPr>
        <w:widowControl w:val="0"/>
        <w:spacing w:before="240" w:after="240" w:line="260" w:lineRule="atLeast"/>
        <w:jc w:val="center"/>
        <w:rPr>
          <w:rFonts w:ascii="Arial" w:hAnsi="Arial" w:cs="Arial"/>
          <w:b/>
          <w:szCs w:val="22"/>
        </w:rPr>
      </w:pPr>
    </w:p>
    <w:p w14:paraId="3740B788" w14:textId="77777777" w:rsidR="00615A1B" w:rsidRDefault="00615A1B" w:rsidP="00615A1B">
      <w:pPr>
        <w:widowControl w:val="0"/>
        <w:spacing w:before="240" w:after="240" w:line="260" w:lineRule="atLeast"/>
        <w:jc w:val="center"/>
        <w:rPr>
          <w:rFonts w:ascii="Arial" w:hAnsi="Arial" w:cs="Arial"/>
          <w:b/>
          <w:szCs w:val="22"/>
        </w:rPr>
      </w:pPr>
    </w:p>
    <w:p w14:paraId="4DAE0B58" w14:textId="28F61D7D" w:rsidR="00615A1B" w:rsidRDefault="00615A1B" w:rsidP="00615A1B">
      <w:pPr>
        <w:widowControl w:val="0"/>
        <w:spacing w:before="240" w:after="240" w:line="260" w:lineRule="atLeast"/>
        <w:jc w:val="center"/>
        <w:rPr>
          <w:rFonts w:ascii="Arial" w:hAnsi="Arial" w:cs="Arial"/>
          <w:b/>
          <w:szCs w:val="22"/>
        </w:rPr>
      </w:pPr>
    </w:p>
    <w:p w14:paraId="04D61B2E" w14:textId="24DD743A" w:rsidR="00615A1B" w:rsidRDefault="00615A1B" w:rsidP="00615A1B">
      <w:pPr>
        <w:widowControl w:val="0"/>
        <w:spacing w:before="240" w:after="240" w:line="260" w:lineRule="atLeast"/>
        <w:jc w:val="center"/>
        <w:rPr>
          <w:rFonts w:ascii="Arial" w:hAnsi="Arial" w:cs="Arial"/>
          <w:b/>
          <w:szCs w:val="22"/>
        </w:rPr>
      </w:pPr>
    </w:p>
    <w:p w14:paraId="3A13EA36" w14:textId="77777777" w:rsidR="00615A1B" w:rsidRDefault="00615A1B" w:rsidP="00615A1B">
      <w:pPr>
        <w:jc w:val="both"/>
        <w:rPr>
          <w:rFonts w:ascii="Times New Roman" w:hAnsi="Times New Roman"/>
          <w:sz w:val="24"/>
          <w:szCs w:val="24"/>
        </w:rPr>
      </w:pPr>
    </w:p>
    <w:p w14:paraId="290CE9CB" w14:textId="77777777" w:rsidR="00615A1B" w:rsidRPr="00F56ADE" w:rsidRDefault="00615A1B" w:rsidP="00615A1B">
      <w:pPr>
        <w:jc w:val="both"/>
        <w:rPr>
          <w:rFonts w:ascii="Times New Roman" w:hAnsi="Times New Roman"/>
          <w:sz w:val="24"/>
          <w:szCs w:val="24"/>
        </w:rPr>
      </w:pPr>
    </w:p>
    <w:p w14:paraId="6F71D1DB" w14:textId="77777777" w:rsidR="00615A1B" w:rsidRPr="00F56ADE" w:rsidRDefault="00615A1B" w:rsidP="00615A1B">
      <w:pPr>
        <w:jc w:val="both"/>
        <w:rPr>
          <w:rFonts w:ascii="Times New Roman" w:hAnsi="Times New Roman"/>
          <w:sz w:val="24"/>
          <w:szCs w:val="24"/>
        </w:rPr>
      </w:pPr>
    </w:p>
    <w:tbl>
      <w:tblPr>
        <w:tblW w:w="9072" w:type="dxa"/>
        <w:jc w:val="center"/>
        <w:tblBorders>
          <w:left w:val="single" w:sz="8" w:space="0" w:color="000000"/>
          <w:right w:val="single" w:sz="8" w:space="0" w:color="000000"/>
        </w:tblBorders>
        <w:tblLayout w:type="fixed"/>
        <w:tblCellMar>
          <w:left w:w="39" w:type="dxa"/>
          <w:right w:w="39" w:type="dxa"/>
        </w:tblCellMar>
        <w:tblLook w:val="0000" w:firstRow="0" w:lastRow="0" w:firstColumn="0" w:lastColumn="0" w:noHBand="0" w:noVBand="0"/>
      </w:tblPr>
      <w:tblGrid>
        <w:gridCol w:w="9072"/>
      </w:tblGrid>
      <w:tr w:rsidR="00615A1B" w:rsidRPr="00F56ADE" w14:paraId="5F076E20" w14:textId="77777777" w:rsidTr="00242CD2">
        <w:trPr>
          <w:jc w:val="center"/>
        </w:trPr>
        <w:tc>
          <w:tcPr>
            <w:tcW w:w="9070" w:type="dxa"/>
            <w:tcBorders>
              <w:top w:val="single" w:sz="8" w:space="0" w:color="000000"/>
              <w:bottom w:val="single" w:sz="8" w:space="0" w:color="000000"/>
            </w:tcBorders>
            <w:shd w:val="clear" w:color="auto" w:fill="E0E0E0"/>
          </w:tcPr>
          <w:p w14:paraId="7C8CB8D7" w14:textId="77777777" w:rsidR="00615A1B" w:rsidRPr="00F56ADE" w:rsidRDefault="00615A1B" w:rsidP="00242CD2">
            <w:pPr>
              <w:jc w:val="center"/>
              <w:rPr>
                <w:rFonts w:ascii="Times New Roman" w:eastAsiaTheme="minorEastAsia" w:hAnsi="Times New Roman"/>
                <w:sz w:val="24"/>
                <w:szCs w:val="24"/>
              </w:rPr>
            </w:pPr>
          </w:p>
          <w:p w14:paraId="3D9BFABB" w14:textId="77777777" w:rsidR="00615A1B" w:rsidRPr="00F56ADE" w:rsidRDefault="00615A1B" w:rsidP="00242CD2">
            <w:pPr>
              <w:jc w:val="center"/>
              <w:rPr>
                <w:rFonts w:ascii="Arial Narrow" w:eastAsiaTheme="minorEastAsia" w:hAnsi="Arial Narrow"/>
                <w:b/>
                <w:bCs/>
                <w:sz w:val="24"/>
                <w:szCs w:val="24"/>
                <w:u w:val="single"/>
              </w:rPr>
            </w:pPr>
            <w:r w:rsidRPr="00F56ADE">
              <w:rPr>
                <w:rFonts w:ascii="Arial Narrow" w:eastAsiaTheme="minorEastAsia" w:hAnsi="Arial Narrow"/>
                <w:b/>
                <w:bCs/>
                <w:sz w:val="24"/>
                <w:szCs w:val="24"/>
                <w:u w:val="single"/>
              </w:rPr>
              <w:t>INSTITUTO TECNOLÓGICO DE CANARIAS, S.A.</w:t>
            </w:r>
          </w:p>
          <w:p w14:paraId="23EE9DB2" w14:textId="77777777" w:rsidR="00615A1B" w:rsidRPr="00F56ADE" w:rsidRDefault="00615A1B" w:rsidP="00242CD2">
            <w:pPr>
              <w:jc w:val="center"/>
              <w:rPr>
                <w:rFonts w:ascii="Arial Narrow" w:eastAsiaTheme="minorEastAsia" w:hAnsi="Arial Narrow"/>
                <w:sz w:val="24"/>
                <w:szCs w:val="24"/>
              </w:rPr>
            </w:pPr>
          </w:p>
          <w:p w14:paraId="14246D44" w14:textId="23C43356" w:rsidR="00615A1B" w:rsidRPr="00F56ADE" w:rsidRDefault="00615A1B" w:rsidP="00242CD2">
            <w:pPr>
              <w:jc w:val="center"/>
              <w:rPr>
                <w:rFonts w:ascii="Arial Narrow" w:eastAsiaTheme="minorEastAsia" w:hAnsi="Arial Narrow"/>
                <w:b/>
                <w:bCs/>
                <w:sz w:val="24"/>
                <w:szCs w:val="24"/>
                <w:u w:val="single"/>
              </w:rPr>
            </w:pPr>
            <w:r w:rsidRPr="00615A1B">
              <w:rPr>
                <w:rFonts w:ascii="Arial Narrow" w:eastAsiaTheme="minorEastAsia" w:hAnsi="Arial Narrow"/>
                <w:b/>
                <w:bCs/>
                <w:sz w:val="24"/>
                <w:szCs w:val="24"/>
                <w:u w:val="single"/>
              </w:rPr>
              <w:t xml:space="preserve">INFORME DE GESTIÓN INSTITUTO TECNOLÓGICO </w:t>
            </w:r>
            <w:r w:rsidRPr="00F56ADE">
              <w:rPr>
                <w:rFonts w:ascii="Arial Narrow" w:eastAsiaTheme="minorEastAsia" w:hAnsi="Arial Narrow"/>
                <w:b/>
                <w:bCs/>
                <w:sz w:val="24"/>
                <w:szCs w:val="24"/>
                <w:u w:val="single"/>
              </w:rPr>
              <w:t>EJERCICIO 201</w:t>
            </w:r>
            <w:r>
              <w:rPr>
                <w:rFonts w:ascii="Arial Narrow" w:eastAsiaTheme="minorEastAsia" w:hAnsi="Arial Narrow"/>
                <w:b/>
                <w:bCs/>
                <w:sz w:val="24"/>
                <w:szCs w:val="24"/>
                <w:u w:val="single"/>
              </w:rPr>
              <w:t>9</w:t>
            </w:r>
          </w:p>
          <w:p w14:paraId="548074A3" w14:textId="77777777" w:rsidR="00615A1B" w:rsidRPr="00F56ADE" w:rsidRDefault="00615A1B" w:rsidP="00242CD2">
            <w:pPr>
              <w:jc w:val="center"/>
              <w:rPr>
                <w:rFonts w:ascii="Times New Roman" w:eastAsiaTheme="minorEastAsia" w:hAnsi="Times New Roman"/>
                <w:sz w:val="24"/>
                <w:szCs w:val="24"/>
              </w:rPr>
            </w:pPr>
          </w:p>
        </w:tc>
      </w:tr>
    </w:tbl>
    <w:p w14:paraId="3B18A475" w14:textId="77777777" w:rsidR="00615A1B" w:rsidRPr="00F56ADE" w:rsidRDefault="00615A1B" w:rsidP="00615A1B">
      <w:pPr>
        <w:jc w:val="both"/>
        <w:rPr>
          <w:rFonts w:ascii="Times New Roman" w:hAnsi="Times New Roman"/>
          <w:sz w:val="24"/>
          <w:szCs w:val="24"/>
        </w:rPr>
      </w:pPr>
    </w:p>
    <w:p w14:paraId="3B69E662" w14:textId="77777777" w:rsidR="00615A1B" w:rsidRPr="00F56ADE" w:rsidRDefault="00615A1B" w:rsidP="00615A1B">
      <w:pPr>
        <w:rPr>
          <w:rFonts w:ascii="Times New Roman" w:hAnsi="Times New Roman"/>
          <w:sz w:val="24"/>
          <w:szCs w:val="24"/>
        </w:rPr>
      </w:pPr>
    </w:p>
    <w:p w14:paraId="41C1D3C5" w14:textId="77777777" w:rsidR="00BF227B" w:rsidRDefault="00BF227B" w:rsidP="00615A1B">
      <w:pPr>
        <w:widowControl w:val="0"/>
        <w:spacing w:before="240" w:after="240" w:line="260" w:lineRule="atLeast"/>
        <w:jc w:val="center"/>
        <w:rPr>
          <w:rFonts w:ascii="Arial" w:hAnsi="Arial" w:cs="Arial"/>
          <w:b/>
          <w:szCs w:val="22"/>
        </w:rPr>
        <w:sectPr w:rsidR="00BF227B" w:rsidSect="007B2213">
          <w:footerReference w:type="default" r:id="rId55"/>
          <w:pgSz w:w="11907" w:h="16839" w:code="9"/>
          <w:pgMar w:top="1021" w:right="1134" w:bottom="1134" w:left="1701" w:header="1134" w:footer="567" w:gutter="0"/>
          <w:pgNumType w:start="1"/>
          <w:cols w:space="720"/>
          <w:noEndnote/>
          <w:docGrid w:linePitch="299"/>
        </w:sectPr>
      </w:pPr>
    </w:p>
    <w:p w14:paraId="60E51BF4" w14:textId="48CDB4D2" w:rsidR="00615A1B" w:rsidRDefault="00BF227B" w:rsidP="00BF227B">
      <w:pPr>
        <w:widowControl w:val="0"/>
        <w:tabs>
          <w:tab w:val="left" w:pos="1929"/>
        </w:tabs>
        <w:spacing w:before="240" w:after="240" w:line="260" w:lineRule="atLeast"/>
        <w:rPr>
          <w:rFonts w:ascii="Arial" w:hAnsi="Arial" w:cs="Arial"/>
          <w:b/>
          <w:szCs w:val="22"/>
        </w:rPr>
      </w:pPr>
      <w:r>
        <w:rPr>
          <w:rFonts w:ascii="Arial" w:hAnsi="Arial" w:cs="Arial"/>
          <w:b/>
          <w:szCs w:val="22"/>
        </w:rPr>
        <w:tab/>
      </w:r>
    </w:p>
    <w:p w14:paraId="50422AC8" w14:textId="77777777" w:rsidR="00615A1B" w:rsidRPr="00B36EC8" w:rsidRDefault="00615A1B" w:rsidP="009C5E01">
      <w:pPr>
        <w:numPr>
          <w:ilvl w:val="0"/>
          <w:numId w:val="14"/>
        </w:numPr>
        <w:jc w:val="both"/>
        <w:rPr>
          <w:rFonts w:ascii="Arial Narrow" w:hAnsi="Arial Narrow" w:cs="Arial"/>
          <w:sz w:val="24"/>
          <w:szCs w:val="24"/>
        </w:rPr>
      </w:pPr>
      <w:r w:rsidRPr="00B36EC8">
        <w:rPr>
          <w:rFonts w:ascii="Arial Narrow" w:hAnsi="Arial Narrow" w:cs="Arial"/>
          <w:sz w:val="24"/>
          <w:szCs w:val="24"/>
        </w:rPr>
        <w:t>Antecedentes.</w:t>
      </w:r>
    </w:p>
    <w:p w14:paraId="15701ADE" w14:textId="77777777" w:rsidR="00615A1B" w:rsidRPr="00B36EC8" w:rsidRDefault="00615A1B" w:rsidP="00615A1B">
      <w:pPr>
        <w:rPr>
          <w:rFonts w:ascii="Arial Narrow" w:hAnsi="Arial Narrow" w:cs="Arial"/>
          <w:sz w:val="24"/>
          <w:szCs w:val="24"/>
        </w:rPr>
      </w:pPr>
    </w:p>
    <w:p w14:paraId="08C372D2" w14:textId="77777777" w:rsidR="00615A1B" w:rsidRPr="00B36EC8" w:rsidRDefault="00615A1B" w:rsidP="009C5E01">
      <w:pPr>
        <w:numPr>
          <w:ilvl w:val="0"/>
          <w:numId w:val="14"/>
        </w:numPr>
        <w:jc w:val="both"/>
        <w:rPr>
          <w:rFonts w:ascii="Arial Narrow" w:hAnsi="Arial Narrow" w:cs="Arial"/>
          <w:sz w:val="24"/>
          <w:szCs w:val="24"/>
        </w:rPr>
      </w:pPr>
      <w:r>
        <w:rPr>
          <w:rFonts w:ascii="Arial Narrow" w:hAnsi="Arial Narrow" w:cs="Arial"/>
          <w:sz w:val="24"/>
          <w:szCs w:val="24"/>
        </w:rPr>
        <w:t xml:space="preserve">Estructura </w:t>
      </w:r>
      <w:r w:rsidRPr="00B36EC8">
        <w:rPr>
          <w:rFonts w:ascii="Arial Narrow" w:hAnsi="Arial Narrow" w:cs="Arial"/>
          <w:sz w:val="24"/>
          <w:szCs w:val="24"/>
        </w:rPr>
        <w:t>organizativ</w:t>
      </w:r>
      <w:r>
        <w:rPr>
          <w:rFonts w:ascii="Arial Narrow" w:hAnsi="Arial Narrow" w:cs="Arial"/>
          <w:sz w:val="24"/>
          <w:szCs w:val="24"/>
        </w:rPr>
        <w:t>a</w:t>
      </w:r>
      <w:r w:rsidRPr="00B36EC8">
        <w:rPr>
          <w:rFonts w:ascii="Arial Narrow" w:hAnsi="Arial Narrow" w:cs="Arial"/>
          <w:sz w:val="24"/>
          <w:szCs w:val="24"/>
        </w:rPr>
        <w:t>.</w:t>
      </w:r>
    </w:p>
    <w:p w14:paraId="4D18904B" w14:textId="77777777" w:rsidR="00615A1B" w:rsidRPr="00B36EC8" w:rsidRDefault="00615A1B" w:rsidP="00615A1B">
      <w:pPr>
        <w:rPr>
          <w:rFonts w:ascii="Arial Narrow" w:hAnsi="Arial Narrow" w:cs="Arial"/>
          <w:sz w:val="24"/>
          <w:szCs w:val="24"/>
        </w:rPr>
      </w:pPr>
    </w:p>
    <w:p w14:paraId="42647B51" w14:textId="77777777" w:rsidR="00615A1B" w:rsidRPr="00A6406D" w:rsidRDefault="00615A1B" w:rsidP="009C5E01">
      <w:pPr>
        <w:numPr>
          <w:ilvl w:val="0"/>
          <w:numId w:val="14"/>
        </w:numPr>
        <w:jc w:val="both"/>
        <w:rPr>
          <w:rFonts w:ascii="Arial Narrow" w:hAnsi="Arial Narrow" w:cs="Arial"/>
          <w:sz w:val="24"/>
          <w:szCs w:val="24"/>
        </w:rPr>
      </w:pPr>
      <w:r>
        <w:rPr>
          <w:rFonts w:ascii="Arial Narrow" w:hAnsi="Arial Narrow" w:cs="Arial"/>
          <w:sz w:val="24"/>
          <w:szCs w:val="24"/>
        </w:rPr>
        <w:t>Principales d</w:t>
      </w:r>
      <w:r w:rsidRPr="00A6406D">
        <w:rPr>
          <w:rFonts w:ascii="Arial Narrow" w:hAnsi="Arial Narrow" w:cs="Arial"/>
          <w:sz w:val="24"/>
          <w:szCs w:val="24"/>
        </w:rPr>
        <w:t>atos económicos y evolución previsible</w:t>
      </w:r>
      <w:r>
        <w:rPr>
          <w:rFonts w:ascii="Arial Narrow" w:hAnsi="Arial Narrow" w:cs="Arial"/>
          <w:sz w:val="24"/>
          <w:szCs w:val="24"/>
        </w:rPr>
        <w:t>.</w:t>
      </w:r>
      <w:r w:rsidRPr="00A6406D">
        <w:rPr>
          <w:rFonts w:ascii="Arial Narrow" w:hAnsi="Arial Narrow" w:cs="Arial"/>
          <w:sz w:val="24"/>
          <w:szCs w:val="24"/>
        </w:rPr>
        <w:t xml:space="preserve">  </w:t>
      </w:r>
    </w:p>
    <w:p w14:paraId="23DBA5C0" w14:textId="77777777" w:rsidR="00615A1B" w:rsidRPr="00A6406D" w:rsidRDefault="00615A1B" w:rsidP="00615A1B">
      <w:pPr>
        <w:pStyle w:val="Prrafodelista"/>
        <w:rPr>
          <w:rFonts w:ascii="Arial Narrow" w:hAnsi="Arial Narrow" w:cs="Arial"/>
          <w:sz w:val="24"/>
          <w:szCs w:val="24"/>
        </w:rPr>
      </w:pPr>
    </w:p>
    <w:p w14:paraId="3C7269A0" w14:textId="77777777" w:rsidR="00615A1B" w:rsidRPr="00A6406D" w:rsidRDefault="00615A1B" w:rsidP="009C5E01">
      <w:pPr>
        <w:numPr>
          <w:ilvl w:val="0"/>
          <w:numId w:val="14"/>
        </w:numPr>
        <w:jc w:val="both"/>
        <w:rPr>
          <w:rFonts w:ascii="Arial Narrow" w:hAnsi="Arial Narrow" w:cs="Arial"/>
          <w:sz w:val="24"/>
          <w:szCs w:val="24"/>
        </w:rPr>
      </w:pPr>
      <w:r w:rsidRPr="00A6406D">
        <w:rPr>
          <w:rFonts w:ascii="Arial Narrow" w:hAnsi="Arial Narrow" w:cs="Arial"/>
          <w:sz w:val="24"/>
          <w:szCs w:val="24"/>
        </w:rPr>
        <w:t xml:space="preserve">Memoria de </w:t>
      </w:r>
      <w:r>
        <w:rPr>
          <w:rFonts w:ascii="Arial Narrow" w:hAnsi="Arial Narrow" w:cs="Arial"/>
          <w:sz w:val="24"/>
          <w:szCs w:val="24"/>
        </w:rPr>
        <w:t>p</w:t>
      </w:r>
      <w:r w:rsidRPr="00A6406D">
        <w:rPr>
          <w:rFonts w:ascii="Arial Narrow" w:hAnsi="Arial Narrow" w:cs="Arial"/>
          <w:sz w:val="24"/>
          <w:szCs w:val="24"/>
        </w:rPr>
        <w:t>rincipales actividades</w:t>
      </w:r>
      <w:r>
        <w:rPr>
          <w:rFonts w:ascii="Arial Narrow" w:hAnsi="Arial Narrow" w:cs="Arial"/>
          <w:sz w:val="24"/>
          <w:szCs w:val="24"/>
        </w:rPr>
        <w:t xml:space="preserve"> realizadas en 2019</w:t>
      </w:r>
      <w:r w:rsidRPr="00A6406D">
        <w:rPr>
          <w:rFonts w:ascii="Arial Narrow" w:hAnsi="Arial Narrow" w:cs="Arial"/>
          <w:sz w:val="24"/>
          <w:szCs w:val="24"/>
        </w:rPr>
        <w:t>:</w:t>
      </w:r>
    </w:p>
    <w:p w14:paraId="0C4B05C8" w14:textId="77777777" w:rsidR="00615A1B" w:rsidRPr="00A6406D" w:rsidRDefault="00615A1B" w:rsidP="00615A1B">
      <w:pPr>
        <w:pStyle w:val="Prrafodelista"/>
        <w:rPr>
          <w:rFonts w:ascii="Arial Narrow" w:hAnsi="Arial Narrow" w:cs="Arial"/>
          <w:sz w:val="24"/>
          <w:szCs w:val="24"/>
        </w:rPr>
      </w:pPr>
    </w:p>
    <w:p w14:paraId="3529774A" w14:textId="77777777" w:rsidR="00615A1B" w:rsidRPr="00BE0D9A" w:rsidRDefault="00615A1B" w:rsidP="00615A1B">
      <w:pPr>
        <w:ind w:left="720"/>
        <w:jc w:val="both"/>
        <w:rPr>
          <w:rFonts w:ascii="Arial Narrow" w:hAnsi="Arial Narrow" w:cs="Arial"/>
          <w:sz w:val="24"/>
          <w:szCs w:val="24"/>
        </w:rPr>
      </w:pPr>
      <w:r>
        <w:rPr>
          <w:rFonts w:ascii="Arial Narrow" w:hAnsi="Arial Narrow" w:cs="Arial"/>
          <w:sz w:val="24"/>
          <w:szCs w:val="24"/>
        </w:rPr>
        <w:t xml:space="preserve">a. </w:t>
      </w:r>
      <w:r w:rsidRPr="00BE0D9A">
        <w:rPr>
          <w:rFonts w:ascii="Arial Narrow" w:hAnsi="Arial Narrow" w:cs="Arial"/>
          <w:sz w:val="24"/>
          <w:szCs w:val="24"/>
        </w:rPr>
        <w:t>Alta Dirección</w:t>
      </w:r>
    </w:p>
    <w:p w14:paraId="12D21D1D" w14:textId="77777777" w:rsidR="00615A1B" w:rsidRDefault="00615A1B" w:rsidP="00615A1B">
      <w:pPr>
        <w:ind w:left="720"/>
        <w:jc w:val="both"/>
        <w:rPr>
          <w:rFonts w:ascii="Arial Narrow" w:hAnsi="Arial Narrow" w:cs="Arial"/>
          <w:sz w:val="24"/>
          <w:szCs w:val="24"/>
        </w:rPr>
      </w:pPr>
    </w:p>
    <w:p w14:paraId="21B3A319" w14:textId="77777777" w:rsidR="00615A1B" w:rsidRPr="00A6406D" w:rsidRDefault="00615A1B" w:rsidP="00615A1B">
      <w:pPr>
        <w:ind w:left="720"/>
        <w:jc w:val="both"/>
        <w:rPr>
          <w:rFonts w:ascii="Arial Narrow" w:hAnsi="Arial Narrow" w:cs="Arial"/>
          <w:sz w:val="24"/>
          <w:szCs w:val="24"/>
        </w:rPr>
      </w:pPr>
      <w:r>
        <w:rPr>
          <w:rFonts w:ascii="Arial Narrow" w:hAnsi="Arial Narrow" w:cs="Arial"/>
          <w:sz w:val="24"/>
          <w:szCs w:val="24"/>
        </w:rPr>
        <w:t>b</w:t>
      </w:r>
      <w:r w:rsidRPr="00A6406D">
        <w:rPr>
          <w:rFonts w:ascii="Arial Narrow" w:hAnsi="Arial Narrow" w:cs="Arial"/>
          <w:sz w:val="24"/>
          <w:szCs w:val="24"/>
        </w:rPr>
        <w:t>.</w:t>
      </w:r>
      <w:r w:rsidRPr="00A6406D">
        <w:rPr>
          <w:rFonts w:ascii="Arial Narrow" w:hAnsi="Arial Narrow" w:cs="Arial"/>
          <w:sz w:val="24"/>
          <w:szCs w:val="24"/>
        </w:rPr>
        <w:tab/>
      </w:r>
      <w:r>
        <w:rPr>
          <w:rFonts w:ascii="Arial Narrow" w:hAnsi="Arial Narrow" w:cs="Arial"/>
          <w:sz w:val="24"/>
          <w:szCs w:val="24"/>
        </w:rPr>
        <w:t>Área</w:t>
      </w:r>
      <w:r w:rsidRPr="00A6406D">
        <w:rPr>
          <w:rFonts w:ascii="Arial Narrow" w:hAnsi="Arial Narrow" w:cs="Arial"/>
          <w:sz w:val="24"/>
          <w:szCs w:val="24"/>
        </w:rPr>
        <w:t xml:space="preserve"> de Investigación</w:t>
      </w:r>
      <w:r>
        <w:rPr>
          <w:rFonts w:ascii="Arial Narrow" w:hAnsi="Arial Narrow" w:cs="Arial"/>
          <w:sz w:val="24"/>
          <w:szCs w:val="24"/>
        </w:rPr>
        <w:t>,</w:t>
      </w:r>
      <w:r w:rsidRPr="00A6406D">
        <w:rPr>
          <w:rFonts w:ascii="Arial Narrow" w:hAnsi="Arial Narrow" w:cs="Arial"/>
          <w:sz w:val="24"/>
          <w:szCs w:val="24"/>
        </w:rPr>
        <w:t xml:space="preserve"> Desarrollo </w:t>
      </w:r>
      <w:r>
        <w:rPr>
          <w:rFonts w:ascii="Arial Narrow" w:hAnsi="Arial Narrow" w:cs="Arial"/>
          <w:sz w:val="24"/>
          <w:szCs w:val="24"/>
        </w:rPr>
        <w:t xml:space="preserve">e </w:t>
      </w:r>
      <w:r w:rsidRPr="00A6406D">
        <w:rPr>
          <w:rFonts w:ascii="Arial Narrow" w:hAnsi="Arial Narrow" w:cs="Arial"/>
          <w:sz w:val="24"/>
          <w:szCs w:val="24"/>
        </w:rPr>
        <w:t>Innovación Tecnológica</w:t>
      </w:r>
    </w:p>
    <w:p w14:paraId="0384CD74" w14:textId="77777777" w:rsidR="00615A1B" w:rsidRPr="00A6406D" w:rsidRDefault="00615A1B" w:rsidP="00615A1B">
      <w:pPr>
        <w:ind w:left="720"/>
        <w:jc w:val="both"/>
        <w:rPr>
          <w:rFonts w:ascii="Arial Narrow" w:hAnsi="Arial Narrow" w:cs="Arial"/>
          <w:sz w:val="24"/>
          <w:szCs w:val="24"/>
        </w:rPr>
      </w:pPr>
    </w:p>
    <w:p w14:paraId="18CA86AD"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i.</w:t>
      </w:r>
      <w:r w:rsidRPr="00A6406D">
        <w:rPr>
          <w:rFonts w:ascii="Arial Narrow" w:hAnsi="Arial Narrow" w:cs="Arial"/>
          <w:sz w:val="24"/>
          <w:szCs w:val="24"/>
        </w:rPr>
        <w:tab/>
        <w:t>Departamento de Energías Renovables.</w:t>
      </w:r>
    </w:p>
    <w:p w14:paraId="2C9D62C8"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ii.</w:t>
      </w:r>
      <w:r w:rsidRPr="00A6406D">
        <w:rPr>
          <w:rFonts w:ascii="Arial Narrow" w:hAnsi="Arial Narrow" w:cs="Arial"/>
          <w:sz w:val="24"/>
          <w:szCs w:val="24"/>
        </w:rPr>
        <w:tab/>
        <w:t>Departamento de Agua.</w:t>
      </w:r>
    </w:p>
    <w:p w14:paraId="2CE35485"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iii.</w:t>
      </w:r>
      <w:r w:rsidRPr="00A6406D">
        <w:rPr>
          <w:rFonts w:ascii="Arial Narrow" w:hAnsi="Arial Narrow" w:cs="Arial"/>
          <w:sz w:val="24"/>
          <w:szCs w:val="24"/>
        </w:rPr>
        <w:tab/>
        <w:t>Departamento de Biotecnología.</w:t>
      </w:r>
    </w:p>
    <w:p w14:paraId="282E3F32"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iv.</w:t>
      </w:r>
      <w:r w:rsidRPr="00A6406D">
        <w:rPr>
          <w:rFonts w:ascii="Arial Narrow" w:hAnsi="Arial Narrow" w:cs="Arial"/>
          <w:sz w:val="24"/>
          <w:szCs w:val="24"/>
        </w:rPr>
        <w:tab/>
        <w:t>Departamento de Análisis Ambiental.</w:t>
      </w:r>
    </w:p>
    <w:p w14:paraId="113B2294" w14:textId="77777777" w:rsidR="00615A1B" w:rsidRPr="003F1B26" w:rsidRDefault="00615A1B" w:rsidP="00615A1B">
      <w:pPr>
        <w:ind w:left="720"/>
        <w:jc w:val="both"/>
        <w:rPr>
          <w:rFonts w:ascii="Arial Narrow" w:hAnsi="Arial Narrow" w:cs="Arial"/>
          <w:sz w:val="24"/>
          <w:szCs w:val="24"/>
        </w:rPr>
      </w:pPr>
      <w:r w:rsidRPr="00A6406D">
        <w:rPr>
          <w:rFonts w:ascii="Arial Narrow" w:hAnsi="Arial Narrow" w:cs="Arial"/>
          <w:sz w:val="24"/>
          <w:szCs w:val="24"/>
        </w:rPr>
        <w:t>v.</w:t>
      </w:r>
      <w:r w:rsidRPr="00A6406D">
        <w:rPr>
          <w:rFonts w:ascii="Arial Narrow" w:hAnsi="Arial Narrow" w:cs="Arial"/>
          <w:sz w:val="24"/>
          <w:szCs w:val="24"/>
        </w:rPr>
        <w:tab/>
        <w:t xml:space="preserve">Departamento de Ingeniería </w:t>
      </w:r>
      <w:r w:rsidRPr="00BE0D9A">
        <w:rPr>
          <w:rFonts w:ascii="Arial Narrow" w:hAnsi="Arial Narrow" w:cs="Arial"/>
          <w:sz w:val="24"/>
          <w:szCs w:val="24"/>
        </w:rPr>
        <w:t>Biomédica</w:t>
      </w:r>
      <w:r w:rsidRPr="00252EA9">
        <w:rPr>
          <w:rFonts w:ascii="Arial Narrow" w:hAnsi="Arial Narrow" w:cs="Arial"/>
          <w:sz w:val="24"/>
          <w:szCs w:val="24"/>
        </w:rPr>
        <w:t>.</w:t>
      </w:r>
    </w:p>
    <w:p w14:paraId="24AA5133"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vi.</w:t>
      </w:r>
      <w:r w:rsidRPr="00A6406D">
        <w:rPr>
          <w:rFonts w:ascii="Arial Narrow" w:hAnsi="Arial Narrow" w:cs="Arial"/>
          <w:sz w:val="24"/>
          <w:szCs w:val="24"/>
        </w:rPr>
        <w:tab/>
        <w:t>Departamento de Servicios de Metrología.</w:t>
      </w:r>
    </w:p>
    <w:p w14:paraId="34F9C54E" w14:textId="77777777" w:rsidR="00615A1B" w:rsidRDefault="00615A1B" w:rsidP="00615A1B">
      <w:pPr>
        <w:ind w:left="720"/>
        <w:jc w:val="both"/>
        <w:rPr>
          <w:rFonts w:ascii="Arial Narrow" w:hAnsi="Arial Narrow" w:cs="Arial"/>
          <w:sz w:val="24"/>
          <w:szCs w:val="24"/>
        </w:rPr>
      </w:pPr>
      <w:r w:rsidRPr="00A6406D">
        <w:rPr>
          <w:rFonts w:ascii="Arial Narrow" w:hAnsi="Arial Narrow" w:cs="Arial"/>
          <w:sz w:val="24"/>
          <w:szCs w:val="24"/>
        </w:rPr>
        <w:t>vii.</w:t>
      </w:r>
      <w:r w:rsidRPr="00A6406D">
        <w:rPr>
          <w:rFonts w:ascii="Arial Narrow" w:hAnsi="Arial Narrow" w:cs="Arial"/>
          <w:sz w:val="24"/>
          <w:szCs w:val="24"/>
        </w:rPr>
        <w:tab/>
        <w:t>Departamento de Computación Científica y Tecnológica.</w:t>
      </w:r>
    </w:p>
    <w:p w14:paraId="6D130884" w14:textId="77777777" w:rsidR="00615A1B" w:rsidRDefault="00615A1B" w:rsidP="00615A1B">
      <w:pPr>
        <w:ind w:left="720"/>
        <w:jc w:val="both"/>
        <w:rPr>
          <w:rFonts w:ascii="Arial Narrow" w:hAnsi="Arial Narrow" w:cs="Arial"/>
          <w:sz w:val="24"/>
          <w:szCs w:val="24"/>
        </w:rPr>
      </w:pPr>
      <w:proofErr w:type="spellStart"/>
      <w:r>
        <w:rPr>
          <w:rFonts w:ascii="Arial Narrow" w:hAnsi="Arial Narrow" w:cs="Arial"/>
          <w:sz w:val="24"/>
          <w:szCs w:val="24"/>
        </w:rPr>
        <w:t>Viii</w:t>
      </w:r>
      <w:proofErr w:type="spellEnd"/>
      <w:r>
        <w:rPr>
          <w:rFonts w:ascii="Arial Narrow" w:hAnsi="Arial Narrow" w:cs="Arial"/>
          <w:sz w:val="24"/>
          <w:szCs w:val="24"/>
        </w:rPr>
        <w:t>.</w:t>
      </w:r>
      <w:r w:rsidRPr="00D278BF">
        <w:rPr>
          <w:rFonts w:ascii="Arial Narrow" w:hAnsi="Arial Narrow" w:cs="Arial"/>
          <w:sz w:val="24"/>
          <w:szCs w:val="24"/>
        </w:rPr>
        <w:t xml:space="preserve"> </w:t>
      </w:r>
      <w:r w:rsidRPr="00A6406D">
        <w:rPr>
          <w:rFonts w:ascii="Arial Narrow" w:hAnsi="Arial Narrow" w:cs="Arial"/>
          <w:sz w:val="24"/>
          <w:szCs w:val="24"/>
        </w:rPr>
        <w:t>Departamento de Innovación</w:t>
      </w:r>
    </w:p>
    <w:p w14:paraId="0E3A9F3A" w14:textId="77777777" w:rsidR="00615A1B" w:rsidRPr="00A6406D" w:rsidRDefault="00615A1B" w:rsidP="00615A1B">
      <w:pPr>
        <w:ind w:left="720"/>
        <w:jc w:val="both"/>
        <w:rPr>
          <w:rFonts w:ascii="Arial Narrow" w:hAnsi="Arial Narrow" w:cs="Arial"/>
          <w:sz w:val="24"/>
          <w:szCs w:val="24"/>
        </w:rPr>
      </w:pPr>
      <w:r>
        <w:rPr>
          <w:rFonts w:ascii="Arial Narrow" w:hAnsi="Arial Narrow" w:cs="Arial"/>
          <w:sz w:val="24"/>
          <w:szCs w:val="24"/>
        </w:rPr>
        <w:t>ix.</w:t>
      </w:r>
      <w:r w:rsidRPr="00D278BF">
        <w:rPr>
          <w:rFonts w:ascii="Arial Narrow" w:hAnsi="Arial Narrow" w:cs="Arial"/>
          <w:sz w:val="24"/>
          <w:szCs w:val="24"/>
        </w:rPr>
        <w:t xml:space="preserve"> </w:t>
      </w:r>
      <w:r w:rsidRPr="00A6406D">
        <w:rPr>
          <w:rFonts w:ascii="Arial Narrow" w:hAnsi="Arial Narrow" w:cs="Arial"/>
          <w:sz w:val="24"/>
          <w:szCs w:val="24"/>
        </w:rPr>
        <w:t>Departamento de Sociedad de la Información</w:t>
      </w:r>
    </w:p>
    <w:p w14:paraId="79FB1D81" w14:textId="77777777" w:rsidR="00615A1B" w:rsidRPr="00A6406D" w:rsidRDefault="00615A1B" w:rsidP="00615A1B">
      <w:pPr>
        <w:ind w:left="720"/>
        <w:jc w:val="both"/>
        <w:rPr>
          <w:rFonts w:ascii="Arial Narrow" w:hAnsi="Arial Narrow" w:cs="Arial"/>
          <w:sz w:val="24"/>
          <w:szCs w:val="24"/>
        </w:rPr>
      </w:pPr>
    </w:p>
    <w:p w14:paraId="31A7C8DD" w14:textId="77777777" w:rsidR="00615A1B" w:rsidRPr="00A6406D" w:rsidRDefault="00615A1B" w:rsidP="00615A1B">
      <w:pPr>
        <w:jc w:val="both"/>
        <w:rPr>
          <w:rFonts w:ascii="Arial Narrow" w:hAnsi="Arial Narrow" w:cs="Arial"/>
          <w:sz w:val="24"/>
          <w:szCs w:val="24"/>
        </w:rPr>
      </w:pPr>
      <w:r w:rsidRPr="00A6406D">
        <w:rPr>
          <w:rFonts w:ascii="Arial Narrow" w:hAnsi="Arial Narrow" w:cs="Arial"/>
          <w:sz w:val="24"/>
          <w:szCs w:val="24"/>
        </w:rPr>
        <w:t>5.- Otra información:</w:t>
      </w:r>
    </w:p>
    <w:p w14:paraId="0CD18873" w14:textId="77777777" w:rsidR="00615A1B" w:rsidRPr="00A6406D" w:rsidRDefault="00615A1B" w:rsidP="00615A1B">
      <w:pPr>
        <w:rPr>
          <w:rFonts w:ascii="Arial Narrow" w:hAnsi="Arial Narrow" w:cs="Arial"/>
          <w:sz w:val="24"/>
          <w:szCs w:val="24"/>
        </w:rPr>
      </w:pPr>
    </w:p>
    <w:p w14:paraId="5D6C662A" w14:textId="77777777" w:rsidR="00615A1B" w:rsidRDefault="00615A1B" w:rsidP="00615A1B">
      <w:pPr>
        <w:ind w:left="720"/>
        <w:jc w:val="both"/>
        <w:rPr>
          <w:rFonts w:ascii="Arial Narrow" w:hAnsi="Arial Narrow" w:cs="Arial"/>
          <w:sz w:val="24"/>
          <w:szCs w:val="24"/>
        </w:rPr>
      </w:pPr>
      <w:r w:rsidRPr="00A6406D">
        <w:rPr>
          <w:rFonts w:ascii="Arial Narrow" w:hAnsi="Arial Narrow" w:cs="Arial"/>
          <w:sz w:val="24"/>
          <w:szCs w:val="24"/>
        </w:rPr>
        <w:t xml:space="preserve">5.1.- </w:t>
      </w:r>
      <w:r w:rsidRPr="008C0579">
        <w:rPr>
          <w:rFonts w:ascii="Arial Narrow" w:hAnsi="Arial Narrow" w:cs="Arial"/>
          <w:sz w:val="24"/>
          <w:szCs w:val="24"/>
        </w:rPr>
        <w:t>Composición del Consejo de Administración y principales acuerdos adoptados</w:t>
      </w:r>
      <w:r>
        <w:rPr>
          <w:rFonts w:ascii="Arial Narrow" w:hAnsi="Arial Narrow" w:cs="Arial"/>
          <w:sz w:val="24"/>
          <w:szCs w:val="24"/>
        </w:rPr>
        <w:t>.</w:t>
      </w:r>
    </w:p>
    <w:p w14:paraId="2298308D" w14:textId="77777777" w:rsidR="00615A1B" w:rsidRPr="00A6406D" w:rsidRDefault="00615A1B" w:rsidP="00615A1B">
      <w:pPr>
        <w:ind w:left="720"/>
        <w:jc w:val="both"/>
        <w:rPr>
          <w:rFonts w:ascii="Arial Narrow" w:hAnsi="Arial Narrow" w:cs="Arial"/>
          <w:sz w:val="24"/>
          <w:szCs w:val="24"/>
        </w:rPr>
      </w:pPr>
      <w:r>
        <w:rPr>
          <w:rFonts w:ascii="Arial Narrow" w:hAnsi="Arial Narrow" w:cs="Arial"/>
          <w:sz w:val="24"/>
          <w:szCs w:val="24"/>
        </w:rPr>
        <w:t xml:space="preserve">5.2.- </w:t>
      </w:r>
      <w:r w:rsidRPr="00A6406D">
        <w:rPr>
          <w:rFonts w:ascii="Arial Narrow" w:hAnsi="Arial Narrow" w:cs="Arial"/>
          <w:sz w:val="24"/>
          <w:szCs w:val="24"/>
        </w:rPr>
        <w:t>Acciones propias.</w:t>
      </w:r>
    </w:p>
    <w:p w14:paraId="438B5C27"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5.</w:t>
      </w:r>
      <w:r>
        <w:rPr>
          <w:rFonts w:ascii="Arial Narrow" w:hAnsi="Arial Narrow" w:cs="Arial"/>
          <w:sz w:val="24"/>
          <w:szCs w:val="24"/>
        </w:rPr>
        <w:t>3</w:t>
      </w:r>
      <w:r w:rsidRPr="00A6406D">
        <w:rPr>
          <w:rFonts w:ascii="Arial Narrow" w:hAnsi="Arial Narrow" w:cs="Arial"/>
          <w:sz w:val="24"/>
          <w:szCs w:val="24"/>
        </w:rPr>
        <w:t>.- Empresas participadas.</w:t>
      </w:r>
    </w:p>
    <w:p w14:paraId="545B1038" w14:textId="77777777" w:rsidR="00615A1B" w:rsidRPr="00A6406D" w:rsidRDefault="00615A1B" w:rsidP="00615A1B">
      <w:pPr>
        <w:ind w:left="720"/>
        <w:jc w:val="both"/>
        <w:rPr>
          <w:rFonts w:ascii="Arial Narrow" w:hAnsi="Arial Narrow" w:cs="Arial"/>
          <w:sz w:val="24"/>
          <w:szCs w:val="24"/>
        </w:rPr>
      </w:pPr>
      <w:r w:rsidRPr="00A6406D">
        <w:rPr>
          <w:rFonts w:ascii="Arial Narrow" w:hAnsi="Arial Narrow" w:cs="Arial"/>
          <w:sz w:val="24"/>
          <w:szCs w:val="24"/>
        </w:rPr>
        <w:t>5.</w:t>
      </w:r>
      <w:r>
        <w:rPr>
          <w:rFonts w:ascii="Arial Narrow" w:hAnsi="Arial Narrow" w:cs="Arial"/>
          <w:sz w:val="24"/>
          <w:szCs w:val="24"/>
        </w:rPr>
        <w:t>4</w:t>
      </w:r>
      <w:r w:rsidRPr="00A6406D">
        <w:rPr>
          <w:rFonts w:ascii="Arial Narrow" w:hAnsi="Arial Narrow" w:cs="Arial"/>
          <w:sz w:val="24"/>
          <w:szCs w:val="24"/>
        </w:rPr>
        <w:t>.- Uso de instrumentos financieros.</w:t>
      </w:r>
    </w:p>
    <w:p w14:paraId="448A1C32" w14:textId="77777777" w:rsidR="00615A1B" w:rsidRPr="00A6406D" w:rsidRDefault="00615A1B" w:rsidP="00615A1B">
      <w:pPr>
        <w:ind w:left="720"/>
        <w:jc w:val="both"/>
        <w:rPr>
          <w:rFonts w:ascii="Arial Narrow" w:hAnsi="Arial Narrow" w:cs="Arial"/>
          <w:sz w:val="24"/>
          <w:szCs w:val="24"/>
        </w:rPr>
      </w:pPr>
    </w:p>
    <w:p w14:paraId="01687A91" w14:textId="77777777" w:rsidR="00615A1B" w:rsidRPr="00A6406D" w:rsidRDefault="00615A1B" w:rsidP="00615A1B">
      <w:pPr>
        <w:jc w:val="both"/>
        <w:rPr>
          <w:rFonts w:ascii="Arial Narrow" w:hAnsi="Arial Narrow" w:cs="Arial"/>
          <w:sz w:val="24"/>
          <w:szCs w:val="24"/>
        </w:rPr>
      </w:pPr>
      <w:r w:rsidRPr="00A6406D">
        <w:rPr>
          <w:rFonts w:ascii="Arial Narrow" w:hAnsi="Arial Narrow" w:cs="Arial"/>
          <w:sz w:val="24"/>
          <w:szCs w:val="24"/>
          <w:highlight w:val="yellow"/>
        </w:rPr>
        <w:br w:type="page"/>
      </w:r>
    </w:p>
    <w:p w14:paraId="2032BC55" w14:textId="77777777" w:rsidR="00615A1B" w:rsidRPr="00B36EC8" w:rsidRDefault="00615A1B" w:rsidP="00615A1B">
      <w:pPr>
        <w:pStyle w:val="NormalWeb"/>
        <w:numPr>
          <w:ilvl w:val="0"/>
          <w:numId w:val="6"/>
        </w:numPr>
        <w:spacing w:before="0" w:beforeAutospacing="0" w:after="240" w:afterAutospacing="0"/>
        <w:ind w:left="357" w:hanging="357"/>
        <w:jc w:val="both"/>
        <w:rPr>
          <w:rFonts w:ascii="Arial Narrow" w:hAnsi="Arial Narrow" w:cs="Arial"/>
          <w:b/>
        </w:rPr>
      </w:pPr>
      <w:r w:rsidRPr="00B36EC8">
        <w:rPr>
          <w:rFonts w:ascii="Arial Narrow" w:hAnsi="Arial Narrow" w:cs="Arial"/>
          <w:b/>
        </w:rPr>
        <w:t>ANTECEDENTES.</w:t>
      </w:r>
    </w:p>
    <w:p w14:paraId="556FD070" w14:textId="77777777" w:rsidR="00615A1B" w:rsidRPr="00B36EC8" w:rsidRDefault="00615A1B" w:rsidP="00615A1B">
      <w:pPr>
        <w:jc w:val="both"/>
        <w:rPr>
          <w:rFonts w:ascii="Arial Narrow" w:hAnsi="Arial Narrow" w:cs="Arial"/>
          <w:sz w:val="24"/>
          <w:szCs w:val="24"/>
        </w:rPr>
      </w:pPr>
      <w:r w:rsidRPr="00B36EC8">
        <w:rPr>
          <w:rFonts w:ascii="Arial Narrow" w:hAnsi="Arial Narrow" w:cs="Arial"/>
          <w:sz w:val="24"/>
          <w:szCs w:val="24"/>
        </w:rPr>
        <w:t xml:space="preserve">El Instituto Tecnológico de Canarias S.A. (ITC) </w:t>
      </w:r>
      <w:r w:rsidRPr="00A6406D">
        <w:rPr>
          <w:rFonts w:ascii="Arial Narrow" w:hAnsi="Arial Narrow" w:cs="Arial"/>
          <w:sz w:val="24"/>
          <w:szCs w:val="24"/>
        </w:rPr>
        <w:t xml:space="preserve">es una sociedad mercantil pública cuyo único accionista es la Comunidad Autónoma de Canarias y que se constituyó mediante Decreto 139/1992 del Gobierno de Canarias del día 30 de julio de 1992. La escritura pública de constitución se otorga el día 28 de agosto de 1992. </w:t>
      </w:r>
      <w:r>
        <w:rPr>
          <w:rFonts w:ascii="Arial Narrow" w:hAnsi="Arial Narrow" w:cs="Arial"/>
          <w:sz w:val="24"/>
          <w:szCs w:val="24"/>
        </w:rPr>
        <w:t xml:space="preserve">Han transcurrido más de </w:t>
      </w:r>
      <w:r w:rsidRPr="00A6406D">
        <w:rPr>
          <w:rFonts w:ascii="Arial Narrow" w:hAnsi="Arial Narrow" w:cs="Arial"/>
          <w:sz w:val="24"/>
          <w:szCs w:val="24"/>
        </w:rPr>
        <w:t>veinti</w:t>
      </w:r>
      <w:r>
        <w:rPr>
          <w:rFonts w:ascii="Arial Narrow" w:hAnsi="Arial Narrow" w:cs="Arial"/>
          <w:sz w:val="24"/>
          <w:szCs w:val="24"/>
        </w:rPr>
        <w:t>siete</w:t>
      </w:r>
      <w:r w:rsidRPr="00A6406D">
        <w:rPr>
          <w:rFonts w:ascii="Arial Narrow" w:hAnsi="Arial Narrow" w:cs="Arial"/>
          <w:sz w:val="24"/>
          <w:szCs w:val="24"/>
        </w:rPr>
        <w:t xml:space="preserve"> años desde su creación, estando en la actualidad adscrito a la Consejería de Economía, Industria, Comercio y Conocimiento del </w:t>
      </w:r>
      <w:r w:rsidRPr="00B36EC8">
        <w:rPr>
          <w:rFonts w:ascii="Arial Narrow" w:hAnsi="Arial Narrow" w:cs="Arial"/>
          <w:sz w:val="24"/>
          <w:szCs w:val="24"/>
        </w:rPr>
        <w:t>Gobierno de Canarias.</w:t>
      </w:r>
    </w:p>
    <w:p w14:paraId="3D9C2993" w14:textId="77777777" w:rsidR="00615A1B" w:rsidRPr="00B36EC8" w:rsidRDefault="00615A1B" w:rsidP="00615A1B">
      <w:pPr>
        <w:jc w:val="both"/>
        <w:rPr>
          <w:rFonts w:ascii="Arial Narrow" w:hAnsi="Arial Narrow" w:cs="Arial"/>
          <w:sz w:val="24"/>
          <w:szCs w:val="24"/>
        </w:rPr>
      </w:pPr>
    </w:p>
    <w:p w14:paraId="2AF3B622" w14:textId="77777777" w:rsidR="00615A1B" w:rsidRDefault="00615A1B" w:rsidP="00615A1B">
      <w:pPr>
        <w:jc w:val="both"/>
        <w:rPr>
          <w:rFonts w:ascii="Arial Narrow" w:hAnsi="Arial Narrow" w:cs="Arial"/>
          <w:sz w:val="24"/>
          <w:szCs w:val="24"/>
        </w:rPr>
      </w:pPr>
      <w:r w:rsidRPr="00B36EC8">
        <w:rPr>
          <w:rFonts w:ascii="Arial Narrow" w:hAnsi="Arial Narrow" w:cs="Arial"/>
          <w:sz w:val="24"/>
          <w:szCs w:val="24"/>
        </w:rPr>
        <w:t>Con la puesta en marcha de esta institución de soporte a la innovación tecnológica de las empresas y Sociedad Canaria, se pretendieron corregir determinadas carencias de las Islas como son el desequilibrio de la estructura productiva, los bajos niveles de productividad, la carencia de materias primas y el sobrecoste que supone la lejanía de los mercados, estimándose muy favorable disponer de un ente que canalizara las capacidades de investigación y desarrollo tecnológicos existentes en Canarias, orientándolas al desarrollo de las pequeñas y medianas empresas, fomentando sus actividades de colaboración</w:t>
      </w:r>
      <w:r>
        <w:rPr>
          <w:rFonts w:ascii="Arial Narrow" w:hAnsi="Arial Narrow" w:cs="Arial"/>
          <w:sz w:val="24"/>
          <w:szCs w:val="24"/>
        </w:rPr>
        <w:t xml:space="preserve"> y de apoyo a su internacionalización</w:t>
      </w:r>
      <w:r w:rsidRPr="00B36EC8">
        <w:rPr>
          <w:rFonts w:ascii="Arial Narrow" w:hAnsi="Arial Narrow" w:cs="Arial"/>
          <w:sz w:val="24"/>
          <w:szCs w:val="24"/>
        </w:rPr>
        <w:t xml:space="preserve">, y aumentando la eficacia y coherencia de </w:t>
      </w:r>
      <w:r>
        <w:rPr>
          <w:rFonts w:ascii="Arial Narrow" w:hAnsi="Arial Narrow" w:cs="Arial"/>
          <w:sz w:val="24"/>
          <w:szCs w:val="24"/>
        </w:rPr>
        <w:t xml:space="preserve">las </w:t>
      </w:r>
      <w:r w:rsidRPr="00B36EC8">
        <w:rPr>
          <w:rFonts w:ascii="Arial Narrow" w:hAnsi="Arial Narrow" w:cs="Arial"/>
          <w:sz w:val="24"/>
          <w:szCs w:val="24"/>
        </w:rPr>
        <w:t xml:space="preserve">políticas </w:t>
      </w:r>
      <w:r>
        <w:rPr>
          <w:rFonts w:ascii="Arial Narrow" w:hAnsi="Arial Narrow" w:cs="Arial"/>
          <w:sz w:val="24"/>
          <w:szCs w:val="24"/>
        </w:rPr>
        <w:t xml:space="preserve">públicas </w:t>
      </w:r>
      <w:r w:rsidRPr="00B36EC8">
        <w:rPr>
          <w:rFonts w:ascii="Arial Narrow" w:hAnsi="Arial Narrow" w:cs="Arial"/>
          <w:sz w:val="24"/>
          <w:szCs w:val="24"/>
        </w:rPr>
        <w:t>existentes.</w:t>
      </w:r>
    </w:p>
    <w:p w14:paraId="629F0600" w14:textId="77777777" w:rsidR="00615A1B" w:rsidRDefault="00615A1B" w:rsidP="00615A1B">
      <w:pPr>
        <w:jc w:val="both"/>
        <w:rPr>
          <w:rFonts w:ascii="Arial Narrow" w:hAnsi="Arial Narrow" w:cs="Arial"/>
          <w:sz w:val="24"/>
          <w:szCs w:val="24"/>
        </w:rPr>
      </w:pPr>
    </w:p>
    <w:p w14:paraId="09B60B11" w14:textId="77777777" w:rsidR="00615A1B" w:rsidRDefault="00615A1B" w:rsidP="00615A1B">
      <w:pPr>
        <w:jc w:val="both"/>
        <w:rPr>
          <w:rFonts w:ascii="Arial Narrow" w:hAnsi="Arial Narrow" w:cs="Arial"/>
          <w:sz w:val="24"/>
          <w:szCs w:val="24"/>
        </w:rPr>
      </w:pPr>
      <w:r>
        <w:rPr>
          <w:rFonts w:ascii="Arial Narrow" w:hAnsi="Arial Narrow" w:cs="Arial"/>
          <w:sz w:val="24"/>
          <w:szCs w:val="24"/>
        </w:rPr>
        <w:t>Y en ese sentido a</w:t>
      </w:r>
      <w:r w:rsidRPr="00B653EE">
        <w:rPr>
          <w:rFonts w:ascii="Arial Narrow" w:hAnsi="Arial Narrow" w:cs="Arial"/>
          <w:sz w:val="24"/>
          <w:szCs w:val="24"/>
        </w:rPr>
        <w:t>postamos por el avance tecnológico en Canarias a través de la investigación aplicada y el desarrollo experimental, la ejecución de proyectos I+D+i y la transferencia de conocimiento al sector productivo para integrarlo en su actividad, contribuyendo a crear una economía basada en el conocimiento</w:t>
      </w:r>
      <w:r>
        <w:rPr>
          <w:rFonts w:ascii="Arial Narrow" w:hAnsi="Arial Narrow" w:cs="Arial"/>
          <w:sz w:val="24"/>
          <w:szCs w:val="24"/>
        </w:rPr>
        <w:t>,</w:t>
      </w:r>
      <w:r w:rsidRPr="00B653EE">
        <w:rPr>
          <w:rFonts w:ascii="Arial Narrow" w:hAnsi="Arial Narrow" w:cs="Arial"/>
          <w:sz w:val="24"/>
          <w:szCs w:val="24"/>
        </w:rPr>
        <w:t xml:space="preserve"> competitiva, sostenible</w:t>
      </w:r>
      <w:r>
        <w:rPr>
          <w:rFonts w:ascii="Arial Narrow" w:hAnsi="Arial Narrow" w:cs="Arial"/>
          <w:sz w:val="24"/>
          <w:szCs w:val="24"/>
        </w:rPr>
        <w:t>,</w:t>
      </w:r>
      <w:r w:rsidRPr="00B653EE">
        <w:rPr>
          <w:rFonts w:ascii="Arial Narrow" w:hAnsi="Arial Narrow" w:cs="Arial"/>
          <w:sz w:val="24"/>
          <w:szCs w:val="24"/>
        </w:rPr>
        <w:t xml:space="preserve"> generadora de empleo</w:t>
      </w:r>
      <w:r>
        <w:rPr>
          <w:rFonts w:ascii="Arial Narrow" w:hAnsi="Arial Narrow" w:cs="Arial"/>
          <w:sz w:val="24"/>
          <w:szCs w:val="24"/>
        </w:rPr>
        <w:t xml:space="preserve"> </w:t>
      </w:r>
      <w:r w:rsidRPr="00B653EE">
        <w:rPr>
          <w:rFonts w:ascii="Arial Narrow" w:hAnsi="Arial Narrow" w:cs="Arial"/>
          <w:sz w:val="24"/>
          <w:szCs w:val="24"/>
        </w:rPr>
        <w:t>y enfocada a la valorización de los recursos de Canarias</w:t>
      </w:r>
      <w:r>
        <w:rPr>
          <w:rFonts w:ascii="Arial Narrow" w:hAnsi="Arial Narrow" w:cs="Arial"/>
          <w:sz w:val="24"/>
          <w:szCs w:val="24"/>
        </w:rPr>
        <w:t xml:space="preserve">. </w:t>
      </w:r>
    </w:p>
    <w:p w14:paraId="27D32F38" w14:textId="77777777" w:rsidR="00615A1B" w:rsidRDefault="00615A1B" w:rsidP="00615A1B">
      <w:pPr>
        <w:jc w:val="both"/>
        <w:rPr>
          <w:rFonts w:ascii="Arial Narrow" w:hAnsi="Arial Narrow" w:cs="Arial"/>
          <w:sz w:val="24"/>
          <w:szCs w:val="24"/>
        </w:rPr>
      </w:pPr>
    </w:p>
    <w:p w14:paraId="54E1D384" w14:textId="77777777" w:rsidR="00615A1B" w:rsidRPr="00914949" w:rsidRDefault="00615A1B" w:rsidP="00615A1B">
      <w:pPr>
        <w:jc w:val="both"/>
        <w:rPr>
          <w:rFonts w:ascii="Arial Narrow" w:hAnsi="Arial Narrow" w:cs="Arial"/>
          <w:sz w:val="24"/>
          <w:szCs w:val="24"/>
        </w:rPr>
      </w:pPr>
      <w:r w:rsidRPr="00B653EE">
        <w:rPr>
          <w:rFonts w:ascii="Arial Narrow" w:hAnsi="Arial Narrow" w:cs="Arial"/>
          <w:sz w:val="24"/>
          <w:szCs w:val="24"/>
        </w:rPr>
        <w:t>Nuestra actividad de I+D+i está alineada con las áreas de especialización identificadas en la Estrategia del Gobierno de Especialización Inteligente (RIS3) de Canarias para el periodo 2014-2020, hoja de ruta de la transformación socioeconómica del Archipiélago y que define las prioridades de inversión pública regional en investigación, desarrollo e innovación. Desde esta senda de crecimiento económico, inteligente y sostenible, y para poner en valor nuestro litoral y ubicación geoestratégica en el Atlántico, trabajamos para posicionar a Canarias como laboratorio natural de referencia internacional en el desarrollo de tecnologías para la sostenibilidad medioambiental y la eficiencia energética, así como para inspirar el avance tecnológico del tejido productivo regional</w:t>
      </w:r>
      <w:r>
        <w:rPr>
          <w:rFonts w:ascii="Arial Narrow" w:hAnsi="Arial Narrow" w:cs="Arial"/>
          <w:sz w:val="24"/>
          <w:szCs w:val="24"/>
        </w:rPr>
        <w:t xml:space="preserve">. </w:t>
      </w:r>
      <w:r w:rsidRPr="00914949">
        <w:rPr>
          <w:rFonts w:ascii="Arial Narrow" w:hAnsi="Arial Narrow" w:cs="Arial"/>
          <w:sz w:val="24"/>
          <w:szCs w:val="24"/>
        </w:rPr>
        <w:t xml:space="preserve">Así, nuestras líneas de trabajo están englobadas </w:t>
      </w:r>
      <w:r w:rsidRPr="00B675CB">
        <w:rPr>
          <w:rFonts w:ascii="Arial Narrow" w:hAnsi="Arial Narrow" w:cs="Arial"/>
          <w:sz w:val="24"/>
          <w:szCs w:val="24"/>
        </w:rPr>
        <w:t>en los grandes ámbitos de la economía verde, la economí</w:t>
      </w:r>
      <w:r w:rsidRPr="00914949">
        <w:rPr>
          <w:rFonts w:ascii="Arial Narrow" w:hAnsi="Arial Narrow" w:cs="Arial"/>
          <w:sz w:val="24"/>
          <w:szCs w:val="24"/>
        </w:rPr>
        <w:t xml:space="preserve">a azul y la economía circular,  </w:t>
      </w:r>
      <w:r w:rsidRPr="00B675CB">
        <w:rPr>
          <w:rFonts w:ascii="Arial Narrow" w:hAnsi="Arial Narrow" w:cs="Arial"/>
          <w:sz w:val="24"/>
          <w:szCs w:val="24"/>
        </w:rPr>
        <w:t>contribuyen</w:t>
      </w:r>
      <w:r>
        <w:rPr>
          <w:rFonts w:ascii="Arial Narrow" w:hAnsi="Arial Narrow" w:cs="Arial"/>
          <w:sz w:val="24"/>
          <w:szCs w:val="24"/>
        </w:rPr>
        <w:t>do con nuestra actividad</w:t>
      </w:r>
      <w:r w:rsidRPr="00B675CB">
        <w:rPr>
          <w:rFonts w:ascii="Arial Narrow" w:hAnsi="Arial Narrow" w:cs="Arial"/>
          <w:sz w:val="24"/>
          <w:szCs w:val="24"/>
        </w:rPr>
        <w:t xml:space="preserve"> a la consecución de los Objetivos de Desarrollo Sostenible y al cumplimiento de la Agenda 2030, como</w:t>
      </w:r>
      <w:r>
        <w:rPr>
          <w:rFonts w:ascii="Arial Narrow" w:hAnsi="Arial Narrow" w:cs="Arial"/>
          <w:sz w:val="24"/>
          <w:szCs w:val="24"/>
        </w:rPr>
        <w:t xml:space="preserve"> parte</w:t>
      </w:r>
      <w:r w:rsidRPr="00B675CB">
        <w:rPr>
          <w:rFonts w:ascii="Arial Narrow" w:hAnsi="Arial Narrow" w:cs="Arial"/>
          <w:sz w:val="24"/>
          <w:szCs w:val="24"/>
        </w:rPr>
        <w:t xml:space="preserve"> acción prioritaria establecida</w:t>
      </w:r>
      <w:r>
        <w:rPr>
          <w:rFonts w:ascii="Arial Narrow" w:hAnsi="Arial Narrow" w:cs="Arial"/>
          <w:sz w:val="24"/>
          <w:szCs w:val="24"/>
        </w:rPr>
        <w:t xml:space="preserve"> estratégicamente</w:t>
      </w:r>
      <w:r w:rsidRPr="00B675CB">
        <w:rPr>
          <w:rFonts w:ascii="Arial Narrow" w:hAnsi="Arial Narrow" w:cs="Arial"/>
          <w:sz w:val="24"/>
          <w:szCs w:val="24"/>
        </w:rPr>
        <w:t xml:space="preserve"> por el Gobierno de Canarias</w:t>
      </w:r>
    </w:p>
    <w:p w14:paraId="767C632A" w14:textId="77777777" w:rsidR="00615A1B" w:rsidRPr="00B653EE" w:rsidRDefault="00615A1B" w:rsidP="00615A1B">
      <w:pPr>
        <w:jc w:val="both"/>
        <w:rPr>
          <w:rFonts w:ascii="Arial Narrow" w:hAnsi="Arial Narrow" w:cs="Arial"/>
          <w:sz w:val="24"/>
          <w:szCs w:val="24"/>
        </w:rPr>
      </w:pPr>
    </w:p>
    <w:p w14:paraId="1CF537E6" w14:textId="77777777" w:rsidR="00615A1B" w:rsidRDefault="00615A1B" w:rsidP="00615A1B">
      <w:pPr>
        <w:jc w:val="both"/>
        <w:rPr>
          <w:rFonts w:ascii="Arial Narrow" w:hAnsi="Arial Narrow" w:cs="Arial"/>
          <w:sz w:val="24"/>
          <w:szCs w:val="24"/>
        </w:rPr>
      </w:pPr>
      <w:r w:rsidRPr="00B653EE">
        <w:rPr>
          <w:rFonts w:ascii="Arial Narrow" w:hAnsi="Arial Narrow" w:cs="Arial"/>
          <w:sz w:val="24"/>
          <w:szCs w:val="24"/>
        </w:rPr>
        <w:t xml:space="preserve">Como ente instrumental del Gobierno de Canarias, nuestra actividad se enmarca en la implementación de las políticas regionales de promoción de la investigación y la innovación aplicables al sector productivo, </w:t>
      </w:r>
      <w:r>
        <w:rPr>
          <w:rFonts w:ascii="Arial Narrow" w:hAnsi="Arial Narrow" w:cs="Arial"/>
          <w:sz w:val="24"/>
          <w:szCs w:val="24"/>
        </w:rPr>
        <w:t>d</w:t>
      </w:r>
      <w:r w:rsidRPr="00EC4DDC">
        <w:rPr>
          <w:rFonts w:ascii="Arial Narrow" w:hAnsi="Arial Narrow" w:cs="Arial"/>
          <w:sz w:val="24"/>
          <w:szCs w:val="24"/>
        </w:rPr>
        <w:t>a</w:t>
      </w:r>
      <w:r>
        <w:rPr>
          <w:rFonts w:ascii="Arial Narrow" w:hAnsi="Arial Narrow" w:cs="Arial"/>
          <w:sz w:val="24"/>
          <w:szCs w:val="24"/>
        </w:rPr>
        <w:t>nd</w:t>
      </w:r>
      <w:r w:rsidRPr="00EC4DDC">
        <w:rPr>
          <w:rFonts w:ascii="Arial Narrow" w:hAnsi="Arial Narrow" w:cs="Arial"/>
          <w:sz w:val="24"/>
          <w:szCs w:val="24"/>
        </w:rPr>
        <w:t>o soporte y apoyo funcional a la administración pública canaria en el desarrollo de planes estratégicos e implementación de soluciones tecnológicas que den respuesta a múltiples retos,</w:t>
      </w:r>
      <w:r>
        <w:rPr>
          <w:rFonts w:ascii="Arial Narrow" w:hAnsi="Arial Narrow" w:cs="Arial"/>
          <w:sz w:val="24"/>
          <w:szCs w:val="24"/>
        </w:rPr>
        <w:t xml:space="preserve"> </w:t>
      </w:r>
      <w:r w:rsidRPr="00B653EE">
        <w:rPr>
          <w:rFonts w:ascii="Arial Narrow" w:hAnsi="Arial Narrow" w:cs="Arial"/>
          <w:sz w:val="24"/>
          <w:szCs w:val="24"/>
        </w:rPr>
        <w:t xml:space="preserve">así como </w:t>
      </w:r>
      <w:r>
        <w:rPr>
          <w:rFonts w:ascii="Arial Narrow" w:hAnsi="Arial Narrow" w:cs="Arial"/>
          <w:sz w:val="24"/>
          <w:szCs w:val="24"/>
        </w:rPr>
        <w:t xml:space="preserve">participando </w:t>
      </w:r>
      <w:r w:rsidRPr="00B653EE">
        <w:rPr>
          <w:rFonts w:ascii="Arial Narrow" w:hAnsi="Arial Narrow" w:cs="Arial"/>
          <w:sz w:val="24"/>
          <w:szCs w:val="24"/>
        </w:rPr>
        <w:t>en la ejecución de proyectos colaborativos y de cooperación a nivel internacional.</w:t>
      </w:r>
    </w:p>
    <w:p w14:paraId="20B0CD1F" w14:textId="77777777" w:rsidR="00C60DD6" w:rsidRPr="00B653EE" w:rsidRDefault="00C60DD6" w:rsidP="00615A1B">
      <w:pPr>
        <w:jc w:val="both"/>
        <w:rPr>
          <w:rFonts w:ascii="Arial Narrow" w:hAnsi="Arial Narrow" w:cs="Arial"/>
          <w:sz w:val="24"/>
          <w:szCs w:val="24"/>
        </w:rPr>
      </w:pPr>
    </w:p>
    <w:p w14:paraId="066E2CED" w14:textId="77777777" w:rsidR="00615A1B" w:rsidRDefault="00615A1B" w:rsidP="00615A1B">
      <w:pPr>
        <w:jc w:val="both"/>
        <w:rPr>
          <w:rFonts w:ascii="Arial Narrow" w:hAnsi="Arial Narrow" w:cs="Arial"/>
          <w:sz w:val="24"/>
          <w:szCs w:val="24"/>
        </w:rPr>
      </w:pPr>
      <w:r>
        <w:rPr>
          <w:rFonts w:ascii="Arial Narrow" w:hAnsi="Arial Narrow" w:cs="Arial"/>
          <w:sz w:val="24"/>
          <w:szCs w:val="24"/>
        </w:rPr>
        <w:t>En materia de Innovación Empresarial y E</w:t>
      </w:r>
      <w:r w:rsidRPr="00EC4DDC">
        <w:rPr>
          <w:rFonts w:ascii="Arial Narrow" w:hAnsi="Arial Narrow" w:cs="Arial"/>
          <w:sz w:val="24"/>
          <w:szCs w:val="24"/>
        </w:rPr>
        <w:t>mprendimiento</w:t>
      </w:r>
      <w:r>
        <w:rPr>
          <w:rFonts w:ascii="Arial Narrow" w:hAnsi="Arial Narrow" w:cs="Arial"/>
          <w:sz w:val="24"/>
          <w:szCs w:val="24"/>
        </w:rPr>
        <w:t xml:space="preserve"> colaboramos en su promoción </w:t>
      </w:r>
      <w:r w:rsidRPr="00EC4DDC">
        <w:rPr>
          <w:rFonts w:ascii="Arial Narrow" w:hAnsi="Arial Narrow" w:cs="Arial"/>
          <w:sz w:val="24"/>
          <w:szCs w:val="24"/>
        </w:rPr>
        <w:t xml:space="preserve">mediante acciones de apoyo y capacitación, en el marco de redes colaborativas de ámbito regional, nacional y europeo. Prestamos soporte y asesoramiento técnico a empresas e industrias canarias para el desarrollo y ensayo de tecnología innovadora y soluciones adaptadas. </w:t>
      </w:r>
      <w:r>
        <w:rPr>
          <w:rFonts w:ascii="Arial Narrow" w:hAnsi="Arial Narrow" w:cs="Arial"/>
          <w:sz w:val="24"/>
          <w:szCs w:val="24"/>
        </w:rPr>
        <w:t>Y t</w:t>
      </w:r>
      <w:r w:rsidRPr="00EC4DDC">
        <w:rPr>
          <w:rFonts w:ascii="Arial Narrow" w:hAnsi="Arial Narrow" w:cs="Arial"/>
          <w:sz w:val="24"/>
          <w:szCs w:val="24"/>
        </w:rPr>
        <w:t xml:space="preserve">ransferimos conocimiento e innovaciones tecnológicas al tejido empresarial para su aprovechamiento productivo, mediante licencias y derechos de explotación, así como a través de </w:t>
      </w:r>
      <w:r>
        <w:rPr>
          <w:rFonts w:ascii="Arial Narrow" w:hAnsi="Arial Narrow" w:cs="Arial"/>
          <w:sz w:val="24"/>
          <w:szCs w:val="24"/>
        </w:rPr>
        <w:t xml:space="preserve">creación de iniciativas empresariales o </w:t>
      </w:r>
      <w:r w:rsidRPr="00EC4DDC">
        <w:rPr>
          <w:rFonts w:ascii="Arial Narrow" w:hAnsi="Arial Narrow" w:cs="Arial"/>
          <w:sz w:val="24"/>
          <w:szCs w:val="24"/>
        </w:rPr>
        <w:t>spin-off.</w:t>
      </w:r>
    </w:p>
    <w:p w14:paraId="39B9E1C6" w14:textId="77777777" w:rsidR="00C60DD6" w:rsidRPr="00B36EC8" w:rsidRDefault="00C60DD6" w:rsidP="00615A1B">
      <w:pPr>
        <w:jc w:val="both"/>
        <w:rPr>
          <w:rFonts w:ascii="Arial Narrow" w:hAnsi="Arial Narrow" w:cs="Arial"/>
          <w:sz w:val="24"/>
          <w:szCs w:val="24"/>
        </w:rPr>
      </w:pPr>
    </w:p>
    <w:p w14:paraId="4BBE46AE" w14:textId="77777777" w:rsidR="00615A1B" w:rsidRPr="00B36EC8" w:rsidRDefault="00615A1B" w:rsidP="00615A1B">
      <w:pPr>
        <w:jc w:val="both"/>
        <w:rPr>
          <w:rFonts w:ascii="Arial Narrow" w:hAnsi="Arial Narrow" w:cs="Arial"/>
          <w:sz w:val="24"/>
          <w:szCs w:val="24"/>
        </w:rPr>
      </w:pPr>
      <w:r w:rsidRPr="00B36EC8">
        <w:rPr>
          <w:rFonts w:ascii="Arial Narrow" w:hAnsi="Arial Narrow" w:cs="Arial"/>
          <w:sz w:val="24"/>
          <w:szCs w:val="24"/>
        </w:rPr>
        <w:t>Los objetivos que constituye</w:t>
      </w:r>
      <w:r>
        <w:rPr>
          <w:rFonts w:ascii="Arial Narrow" w:hAnsi="Arial Narrow" w:cs="Arial"/>
          <w:sz w:val="24"/>
          <w:szCs w:val="24"/>
        </w:rPr>
        <w:t xml:space="preserve">n </w:t>
      </w:r>
      <w:r w:rsidRPr="00B36EC8">
        <w:rPr>
          <w:rFonts w:ascii="Arial Narrow" w:hAnsi="Arial Narrow" w:cs="Arial"/>
          <w:sz w:val="24"/>
          <w:szCs w:val="24"/>
        </w:rPr>
        <w:t xml:space="preserve"> el objeto social del Instituto Tecnológico de Canarias S.A., son los siguientes:</w:t>
      </w:r>
    </w:p>
    <w:p w14:paraId="5DAA5F18" w14:textId="77777777" w:rsidR="00615A1B" w:rsidRPr="00B36EC8" w:rsidRDefault="00615A1B" w:rsidP="00615A1B">
      <w:pPr>
        <w:jc w:val="both"/>
        <w:rPr>
          <w:rFonts w:ascii="Arial Narrow" w:hAnsi="Arial Narrow" w:cs="Arial"/>
          <w:sz w:val="24"/>
          <w:szCs w:val="24"/>
        </w:rPr>
      </w:pPr>
    </w:p>
    <w:p w14:paraId="6C0F0C69" w14:textId="77777777" w:rsidR="00615A1B" w:rsidRPr="00B36EC8" w:rsidRDefault="00615A1B" w:rsidP="00615A1B">
      <w:pPr>
        <w:numPr>
          <w:ilvl w:val="1"/>
          <w:numId w:val="6"/>
        </w:numPr>
        <w:tabs>
          <w:tab w:val="clear" w:pos="360"/>
        </w:tabs>
        <w:spacing w:after="120"/>
        <w:ind w:left="567" w:hanging="204"/>
        <w:jc w:val="both"/>
        <w:rPr>
          <w:rFonts w:ascii="Arial Narrow" w:hAnsi="Arial Narrow" w:cs="Arial"/>
          <w:sz w:val="24"/>
          <w:szCs w:val="24"/>
        </w:rPr>
      </w:pPr>
      <w:r w:rsidRPr="00B36EC8">
        <w:rPr>
          <w:rFonts w:ascii="Arial Narrow" w:hAnsi="Arial Narrow" w:cs="Arial"/>
          <w:sz w:val="24"/>
          <w:szCs w:val="24"/>
        </w:rPr>
        <w:t>Aquellas actividades que impliquen un avance tecnológico a través de procesos de investigación y desarrollo y la impulsión y coordinación de la investigación aplicada en Canarias.</w:t>
      </w:r>
    </w:p>
    <w:p w14:paraId="185BF92E" w14:textId="77777777" w:rsidR="00615A1B" w:rsidRPr="00B36EC8" w:rsidRDefault="00615A1B" w:rsidP="00615A1B">
      <w:pPr>
        <w:numPr>
          <w:ilvl w:val="1"/>
          <w:numId w:val="6"/>
        </w:numPr>
        <w:tabs>
          <w:tab w:val="clear" w:pos="360"/>
        </w:tabs>
        <w:spacing w:after="120"/>
        <w:ind w:left="567" w:hanging="204"/>
        <w:jc w:val="both"/>
        <w:rPr>
          <w:rFonts w:ascii="Arial Narrow" w:hAnsi="Arial Narrow" w:cs="Arial"/>
          <w:sz w:val="24"/>
          <w:szCs w:val="24"/>
        </w:rPr>
      </w:pPr>
      <w:r w:rsidRPr="00B36EC8">
        <w:rPr>
          <w:rFonts w:ascii="Arial Narrow" w:hAnsi="Arial Narrow" w:cs="Arial"/>
          <w:sz w:val="24"/>
          <w:szCs w:val="24"/>
        </w:rPr>
        <w:t>La potenciación del desarrollo del sistema productivo de la Comunidad; el fomento del nivel de formación empresarial de la Comunidad; promover y facilitar la creación, el desarrollo y la asimilación de tecnología por las empresas canarias, para la mejora de competitividad; el apoyo a aquellas actividades de desarrollo tecnológico y empresarial de mayor importancia estratégica en el desarrollo del sistema productivo de la Comunidad; la aplicación de esta tecnología en el modelo económico generando un mayor crecimiento y bienestar social.</w:t>
      </w:r>
    </w:p>
    <w:p w14:paraId="1B7315E2" w14:textId="77777777" w:rsidR="00615A1B" w:rsidRPr="00B36EC8" w:rsidRDefault="00615A1B" w:rsidP="00615A1B">
      <w:pPr>
        <w:numPr>
          <w:ilvl w:val="1"/>
          <w:numId w:val="6"/>
        </w:numPr>
        <w:tabs>
          <w:tab w:val="clear" w:pos="360"/>
        </w:tabs>
        <w:spacing w:after="120"/>
        <w:ind w:left="567" w:hanging="204"/>
        <w:jc w:val="both"/>
        <w:rPr>
          <w:rFonts w:ascii="Arial Narrow" w:hAnsi="Arial Narrow" w:cs="Arial"/>
          <w:sz w:val="24"/>
          <w:szCs w:val="24"/>
        </w:rPr>
      </w:pPr>
      <w:r w:rsidRPr="00B36EC8">
        <w:rPr>
          <w:rFonts w:ascii="Arial Narrow" w:hAnsi="Arial Narrow" w:cs="Arial"/>
          <w:sz w:val="24"/>
          <w:szCs w:val="24"/>
        </w:rPr>
        <w:t>Prestar todo tipo de servicios de asistencia tecnológica al empresariado de la Comunidad. Así como la comercialización de los productos que se deriven de los proyectos de investigación y desarrollo afrontados y generados por este Instituto.</w:t>
      </w:r>
    </w:p>
    <w:p w14:paraId="291B2D1C" w14:textId="77777777" w:rsidR="00615A1B" w:rsidRPr="00B36EC8" w:rsidRDefault="00615A1B" w:rsidP="00615A1B">
      <w:pPr>
        <w:numPr>
          <w:ilvl w:val="1"/>
          <w:numId w:val="6"/>
        </w:numPr>
        <w:tabs>
          <w:tab w:val="clear" w:pos="360"/>
        </w:tabs>
        <w:spacing w:after="120"/>
        <w:ind w:left="567" w:hanging="204"/>
        <w:jc w:val="both"/>
        <w:rPr>
          <w:rFonts w:ascii="Arial Narrow" w:hAnsi="Arial Narrow" w:cs="Arial"/>
          <w:sz w:val="24"/>
          <w:szCs w:val="24"/>
        </w:rPr>
      </w:pPr>
      <w:r w:rsidRPr="00B36EC8">
        <w:rPr>
          <w:rFonts w:ascii="Arial Narrow" w:hAnsi="Arial Narrow" w:cs="Arial"/>
          <w:sz w:val="24"/>
          <w:szCs w:val="24"/>
        </w:rPr>
        <w:t>La participación en otras sociedades de análogo objeto para el desarrollo propio de esta sociedad, la compra y/o alquiler de inmuebles y edificios, terrenos y solares para usos comerciales e industriales, equipos e instalaciones y la contratación de trabajos, suministros y servicios exteriores necesarios para el desarrollo del objeto social de la sociedad.</w:t>
      </w:r>
    </w:p>
    <w:p w14:paraId="129E52E2" w14:textId="77777777" w:rsidR="00615A1B" w:rsidRPr="00B36EC8" w:rsidRDefault="00615A1B" w:rsidP="00615A1B">
      <w:pPr>
        <w:numPr>
          <w:ilvl w:val="1"/>
          <w:numId w:val="6"/>
        </w:numPr>
        <w:tabs>
          <w:tab w:val="clear" w:pos="360"/>
        </w:tabs>
        <w:spacing w:after="120"/>
        <w:ind w:left="567" w:hanging="204"/>
        <w:jc w:val="both"/>
        <w:rPr>
          <w:rFonts w:ascii="Arial Narrow" w:hAnsi="Arial Narrow" w:cs="Arial"/>
          <w:sz w:val="24"/>
          <w:szCs w:val="24"/>
        </w:rPr>
      </w:pPr>
      <w:r w:rsidRPr="00B36EC8">
        <w:rPr>
          <w:rFonts w:ascii="Arial Narrow" w:hAnsi="Arial Narrow" w:cs="Arial"/>
          <w:sz w:val="24"/>
          <w:szCs w:val="24"/>
        </w:rPr>
        <w:t>Potenciar programas de cooperación con instituciones de carácter nacional y supranacional en investigación y desarrollo y su aplicación en el ámbito de empresas canarias. La creación y participación en Institutos Tecnológicos específicos que desarrollen áreas prioritarias para la Comunidad.</w:t>
      </w:r>
    </w:p>
    <w:p w14:paraId="5EDE550F" w14:textId="77777777" w:rsidR="00615A1B" w:rsidRPr="00B36EC8" w:rsidRDefault="00615A1B" w:rsidP="00615A1B">
      <w:pPr>
        <w:numPr>
          <w:ilvl w:val="1"/>
          <w:numId w:val="6"/>
        </w:numPr>
        <w:tabs>
          <w:tab w:val="clear" w:pos="360"/>
        </w:tabs>
        <w:spacing w:after="120"/>
        <w:ind w:left="567" w:hanging="204"/>
        <w:jc w:val="both"/>
        <w:rPr>
          <w:rFonts w:ascii="Arial Narrow" w:hAnsi="Arial Narrow" w:cs="Arial"/>
          <w:sz w:val="24"/>
          <w:szCs w:val="24"/>
        </w:rPr>
      </w:pPr>
      <w:r w:rsidRPr="00B36EC8">
        <w:rPr>
          <w:rFonts w:ascii="Arial Narrow" w:hAnsi="Arial Narrow" w:cs="Arial"/>
          <w:sz w:val="24"/>
          <w:szCs w:val="24"/>
        </w:rPr>
        <w:t>Actuar como medio propio y servicio técnico de la Administración Pública de la Comunidad Autónoma de Canarias y de las entidades vinculadas o dependientes de la misma, de acuerdo con lo previsto en el art. 24.6 de la Ley 30/2007, de 30 de octubre, de Contratos del Sector Público, en orden a la gestión de encomiendas para la ejecución de obras, suministros y prestación de servicios. La Empresa no podrá participar en licitaciones públicas convocadas por la Comunidad Autónoma de Canarias, sin perjuicio de que, cuando no concurra ningún licitador, pueda encargárseles la ejecución de la prestación objeto de las mismas.”</w:t>
      </w:r>
    </w:p>
    <w:p w14:paraId="1271F9B1" w14:textId="77777777" w:rsidR="00615A1B" w:rsidRPr="0012096A" w:rsidRDefault="00615A1B" w:rsidP="00615A1B">
      <w:pPr>
        <w:jc w:val="both"/>
        <w:rPr>
          <w:rFonts w:ascii="Arial Narrow" w:hAnsi="Arial Narrow" w:cs="Arial"/>
          <w:sz w:val="24"/>
          <w:szCs w:val="22"/>
          <w:highlight w:val="yellow"/>
          <w:lang w:eastAsia="es-ES"/>
        </w:rPr>
      </w:pPr>
    </w:p>
    <w:p w14:paraId="3984BB97" w14:textId="77777777" w:rsidR="00615A1B" w:rsidRPr="00BE0B3B" w:rsidRDefault="00615A1B" w:rsidP="00615A1B">
      <w:pPr>
        <w:jc w:val="both"/>
        <w:rPr>
          <w:rFonts w:ascii="Arial Narrow" w:hAnsi="Arial Narrow" w:cs="Arial"/>
          <w:sz w:val="24"/>
          <w:szCs w:val="22"/>
          <w:lang w:eastAsia="es-ES"/>
        </w:rPr>
      </w:pPr>
      <w:r w:rsidRPr="00BE0B3B">
        <w:rPr>
          <w:rFonts w:ascii="Arial Narrow" w:hAnsi="Arial Narrow" w:cs="Arial"/>
          <w:sz w:val="24"/>
          <w:szCs w:val="22"/>
          <w:lang w:eastAsia="es-ES"/>
        </w:rPr>
        <w:t xml:space="preserve">Para la consecución de sus objetivos, el ITC cuenta con su sede social en Las Palmas de Gran Canaria (C/ Cebrián, 3), donde se </w:t>
      </w:r>
      <w:r>
        <w:rPr>
          <w:rFonts w:ascii="Arial Narrow" w:hAnsi="Arial Narrow" w:cs="Arial"/>
          <w:sz w:val="24"/>
          <w:szCs w:val="22"/>
          <w:lang w:eastAsia="es-ES"/>
        </w:rPr>
        <w:t>ubica su</w:t>
      </w:r>
      <w:r w:rsidRPr="00BE0B3B">
        <w:rPr>
          <w:rFonts w:ascii="Arial Narrow" w:hAnsi="Arial Narrow" w:cs="Arial"/>
          <w:sz w:val="24"/>
          <w:szCs w:val="22"/>
          <w:lang w:eastAsia="es-ES"/>
        </w:rPr>
        <w:t xml:space="preserve"> estructura administrativa, su centro de investigación de Pozo Izquierdo (Gran Canaria), y su centro de trabajo de Santa Cruz de Tenerife </w:t>
      </w:r>
      <w:r>
        <w:rPr>
          <w:rFonts w:ascii="Arial Narrow" w:hAnsi="Arial Narrow" w:cs="Arial"/>
          <w:sz w:val="24"/>
          <w:szCs w:val="22"/>
          <w:lang w:eastAsia="es-ES"/>
        </w:rPr>
        <w:t>más orientado al área de innovación empresarial,</w:t>
      </w:r>
      <w:r w:rsidRPr="00BE0B3B">
        <w:rPr>
          <w:rFonts w:ascii="Arial Narrow" w:hAnsi="Arial Narrow" w:cs="Arial"/>
          <w:sz w:val="24"/>
          <w:szCs w:val="22"/>
          <w:lang w:eastAsia="es-ES"/>
        </w:rPr>
        <w:t>. Por acuerdo con otros organismos canarios gestiona el Centro de Innovación y Actualización Tecnológica (CIATEC) de Agüimes (Gran Canaria)</w:t>
      </w:r>
      <w:r>
        <w:rPr>
          <w:rFonts w:ascii="Arial Narrow" w:hAnsi="Arial Narrow" w:cs="Arial"/>
          <w:sz w:val="24"/>
          <w:szCs w:val="22"/>
          <w:lang w:eastAsia="es-ES"/>
        </w:rPr>
        <w:t xml:space="preserve"> y el Laboratorio de Residuos Fitosanitarios de Canarias sito en Polígono Industrial de Arinaga. </w:t>
      </w:r>
    </w:p>
    <w:p w14:paraId="341D63DA" w14:textId="77777777" w:rsidR="00615A1B" w:rsidRPr="00BE0B3B" w:rsidRDefault="00615A1B" w:rsidP="00615A1B">
      <w:pPr>
        <w:jc w:val="both"/>
        <w:rPr>
          <w:rFonts w:ascii="Arial Narrow" w:hAnsi="Arial Narrow" w:cs="Arial"/>
          <w:sz w:val="24"/>
          <w:szCs w:val="22"/>
          <w:highlight w:val="yellow"/>
          <w:lang w:eastAsia="es-ES"/>
        </w:rPr>
      </w:pPr>
    </w:p>
    <w:p w14:paraId="668C6D6C" w14:textId="77777777" w:rsidR="00615A1B" w:rsidRPr="00BE0B3B" w:rsidRDefault="00615A1B" w:rsidP="00615A1B">
      <w:pPr>
        <w:jc w:val="both"/>
        <w:rPr>
          <w:rFonts w:ascii="Arial Narrow" w:hAnsi="Arial Narrow" w:cs="Arial"/>
          <w:sz w:val="24"/>
          <w:szCs w:val="22"/>
          <w:lang w:eastAsia="es-ES"/>
        </w:rPr>
      </w:pPr>
      <w:r w:rsidRPr="00BE0B3B">
        <w:rPr>
          <w:rFonts w:ascii="Arial Narrow" w:hAnsi="Arial Narrow" w:cs="Arial"/>
          <w:sz w:val="24"/>
          <w:szCs w:val="22"/>
          <w:lang w:eastAsia="es-ES"/>
        </w:rPr>
        <w:t xml:space="preserve">De la escasa decena de personas con que contaba en 1992, se ha pasado a disponer de una plantilla </w:t>
      </w:r>
      <w:r>
        <w:rPr>
          <w:rFonts w:ascii="Arial Narrow" w:hAnsi="Arial Narrow" w:cs="Arial"/>
          <w:sz w:val="24"/>
          <w:szCs w:val="22"/>
          <w:lang w:eastAsia="es-ES"/>
        </w:rPr>
        <w:t>de</w:t>
      </w:r>
      <w:r w:rsidRPr="00BE0B3B">
        <w:rPr>
          <w:rFonts w:ascii="Arial Narrow" w:hAnsi="Arial Narrow" w:cs="Arial"/>
          <w:sz w:val="24"/>
          <w:szCs w:val="22"/>
          <w:lang w:eastAsia="es-ES"/>
        </w:rPr>
        <w:t xml:space="preserve"> </w:t>
      </w:r>
      <w:r>
        <w:rPr>
          <w:rFonts w:ascii="Arial Narrow" w:hAnsi="Arial Narrow" w:cs="Arial"/>
          <w:sz w:val="24"/>
          <w:szCs w:val="22"/>
          <w:lang w:eastAsia="es-ES"/>
        </w:rPr>
        <w:t xml:space="preserve">187 </w:t>
      </w:r>
      <w:r w:rsidRPr="00B9552A">
        <w:rPr>
          <w:rFonts w:ascii="Arial Narrow" w:hAnsi="Arial Narrow" w:cs="Arial"/>
          <w:sz w:val="24"/>
          <w:szCs w:val="22"/>
          <w:lang w:eastAsia="es-ES"/>
        </w:rPr>
        <w:t>t</w:t>
      </w:r>
      <w:r w:rsidRPr="00BE0B3B">
        <w:rPr>
          <w:rFonts w:ascii="Arial Narrow" w:hAnsi="Arial Narrow" w:cs="Arial"/>
          <w:sz w:val="24"/>
          <w:szCs w:val="22"/>
          <w:lang w:eastAsia="es-ES"/>
        </w:rPr>
        <w:t>rabajadores</w:t>
      </w:r>
      <w:r>
        <w:rPr>
          <w:rFonts w:ascii="Arial Narrow" w:hAnsi="Arial Narrow" w:cs="Arial"/>
          <w:sz w:val="24"/>
          <w:szCs w:val="22"/>
          <w:lang w:eastAsia="es-ES"/>
        </w:rPr>
        <w:t xml:space="preserve"> en el ejercicio 2019</w:t>
      </w:r>
      <w:r w:rsidRPr="00BE0B3B">
        <w:rPr>
          <w:rFonts w:ascii="Arial Narrow" w:hAnsi="Arial Narrow" w:cs="Arial"/>
          <w:sz w:val="24"/>
          <w:szCs w:val="22"/>
          <w:lang w:eastAsia="es-ES"/>
        </w:rPr>
        <w:t>, repartidos en las distintas unidades funcionales que configuran su estructura organizativa.</w:t>
      </w:r>
    </w:p>
    <w:p w14:paraId="3C1C983D" w14:textId="77777777" w:rsidR="00615A1B" w:rsidRPr="009909C9" w:rsidRDefault="00615A1B" w:rsidP="00615A1B">
      <w:pPr>
        <w:spacing w:after="240"/>
        <w:jc w:val="both"/>
        <w:rPr>
          <w:rFonts w:ascii="Arial Narrow" w:hAnsi="Arial Narrow" w:cs="Arial"/>
          <w:b/>
          <w:sz w:val="24"/>
          <w:szCs w:val="24"/>
          <w:lang w:eastAsia="es-ES"/>
        </w:rPr>
      </w:pPr>
      <w:r>
        <w:rPr>
          <w:rFonts w:ascii="Arial Narrow" w:hAnsi="Arial Narrow" w:cs="Arial"/>
          <w:b/>
          <w:sz w:val="24"/>
          <w:szCs w:val="24"/>
          <w:lang w:eastAsia="es-ES"/>
        </w:rPr>
        <w:t xml:space="preserve">2.- ESTRUCTURA </w:t>
      </w:r>
      <w:r w:rsidRPr="009909C9">
        <w:rPr>
          <w:rFonts w:ascii="Arial Narrow" w:hAnsi="Arial Narrow" w:cs="Arial"/>
          <w:b/>
          <w:sz w:val="24"/>
          <w:szCs w:val="24"/>
          <w:lang w:eastAsia="es-ES"/>
        </w:rPr>
        <w:t>ORGANIZATIV</w:t>
      </w:r>
      <w:r>
        <w:rPr>
          <w:rFonts w:ascii="Arial Narrow" w:hAnsi="Arial Narrow" w:cs="Arial"/>
          <w:b/>
          <w:sz w:val="24"/>
          <w:szCs w:val="24"/>
          <w:lang w:eastAsia="es-ES"/>
        </w:rPr>
        <w:t>A</w:t>
      </w:r>
    </w:p>
    <w:p w14:paraId="30092418" w14:textId="77777777" w:rsidR="00615A1B" w:rsidRPr="009909C9" w:rsidRDefault="00615A1B" w:rsidP="00615A1B">
      <w:pPr>
        <w:jc w:val="both"/>
        <w:rPr>
          <w:rFonts w:ascii="Arial Narrow" w:hAnsi="Arial Narrow" w:cs="Arial"/>
          <w:sz w:val="24"/>
          <w:szCs w:val="24"/>
        </w:rPr>
      </w:pPr>
      <w:r w:rsidRPr="0098119F">
        <w:rPr>
          <w:rFonts w:ascii="Arial Narrow" w:hAnsi="Arial Narrow" w:cs="Arial"/>
          <w:sz w:val="24"/>
          <w:szCs w:val="24"/>
        </w:rPr>
        <w:t xml:space="preserve">Durante el </w:t>
      </w:r>
      <w:r>
        <w:rPr>
          <w:rFonts w:ascii="Arial Narrow" w:hAnsi="Arial Narrow" w:cs="Arial"/>
          <w:sz w:val="24"/>
          <w:szCs w:val="24"/>
        </w:rPr>
        <w:t xml:space="preserve">año </w:t>
      </w:r>
      <w:r w:rsidRPr="0098119F">
        <w:rPr>
          <w:rFonts w:ascii="Arial Narrow" w:hAnsi="Arial Narrow" w:cs="Arial"/>
          <w:sz w:val="24"/>
          <w:szCs w:val="24"/>
        </w:rPr>
        <w:t>2017, se efectu</w:t>
      </w:r>
      <w:r>
        <w:rPr>
          <w:rFonts w:ascii="Arial Narrow" w:hAnsi="Arial Narrow" w:cs="Arial"/>
          <w:sz w:val="24"/>
          <w:szCs w:val="24"/>
        </w:rPr>
        <w:t>ó</w:t>
      </w:r>
      <w:r w:rsidRPr="0098119F">
        <w:rPr>
          <w:rFonts w:ascii="Arial Narrow" w:hAnsi="Arial Narrow" w:cs="Arial"/>
          <w:sz w:val="24"/>
          <w:szCs w:val="24"/>
        </w:rPr>
        <w:t xml:space="preserve"> una reestructuración organizativa para ajustar la estructura al nivel de actividad de la empresa. </w:t>
      </w:r>
      <w:r>
        <w:rPr>
          <w:rFonts w:ascii="Arial Narrow" w:hAnsi="Arial Narrow" w:cs="Arial"/>
          <w:sz w:val="24"/>
          <w:szCs w:val="24"/>
        </w:rPr>
        <w:t>Es por ello p</w:t>
      </w:r>
      <w:r w:rsidRPr="0098119F">
        <w:rPr>
          <w:rFonts w:ascii="Arial Narrow" w:hAnsi="Arial Narrow" w:cs="Arial"/>
          <w:sz w:val="24"/>
          <w:szCs w:val="24"/>
        </w:rPr>
        <w:t xml:space="preserve">or lo que la estructura del ITC </w:t>
      </w:r>
      <w:r>
        <w:rPr>
          <w:rFonts w:ascii="Arial Narrow" w:hAnsi="Arial Narrow" w:cs="Arial"/>
          <w:sz w:val="24"/>
          <w:szCs w:val="24"/>
        </w:rPr>
        <w:t>desde ese</w:t>
      </w:r>
      <w:r w:rsidRPr="0098119F">
        <w:rPr>
          <w:rFonts w:ascii="Arial Narrow" w:hAnsi="Arial Narrow" w:cs="Arial"/>
          <w:sz w:val="24"/>
          <w:szCs w:val="24"/>
        </w:rPr>
        <w:t xml:space="preserve"> ejercicio </w:t>
      </w:r>
      <w:r>
        <w:rPr>
          <w:rFonts w:ascii="Arial Narrow" w:hAnsi="Arial Narrow" w:cs="Arial"/>
          <w:sz w:val="24"/>
          <w:szCs w:val="24"/>
        </w:rPr>
        <w:t>ha quedado</w:t>
      </w:r>
      <w:r w:rsidRPr="0098119F">
        <w:rPr>
          <w:rFonts w:ascii="Arial Narrow" w:hAnsi="Arial Narrow" w:cs="Arial"/>
          <w:sz w:val="24"/>
          <w:szCs w:val="24"/>
        </w:rPr>
        <w:t xml:space="preserve"> configurada por la Alta Dirección y el Área de Investigación, Desarrollo e Innovación Tecnológica, con los recursos adscritos a ambos que se estructuran en varios departamentos funcionales que desarrollamos a continuación:</w:t>
      </w:r>
      <w:r w:rsidRPr="009909C9">
        <w:rPr>
          <w:rFonts w:ascii="Arial Narrow" w:hAnsi="Arial Narrow" w:cs="Arial"/>
          <w:sz w:val="24"/>
          <w:szCs w:val="24"/>
        </w:rPr>
        <w:t xml:space="preserve"> </w:t>
      </w:r>
    </w:p>
    <w:p w14:paraId="69BA6E94" w14:textId="77777777" w:rsidR="00615A1B" w:rsidRPr="009909C9" w:rsidRDefault="00615A1B" w:rsidP="00615A1B">
      <w:pPr>
        <w:jc w:val="both"/>
        <w:rPr>
          <w:rFonts w:ascii="Arial Narrow" w:hAnsi="Arial Narrow" w:cs="Arial"/>
          <w:sz w:val="24"/>
          <w:szCs w:val="24"/>
        </w:rPr>
      </w:pPr>
    </w:p>
    <w:p w14:paraId="30311702" w14:textId="77777777" w:rsidR="00615A1B" w:rsidRPr="009909C9" w:rsidRDefault="00615A1B" w:rsidP="00615A1B">
      <w:pPr>
        <w:jc w:val="both"/>
        <w:rPr>
          <w:rFonts w:ascii="Arial Narrow" w:hAnsi="Arial Narrow" w:cs="Arial"/>
          <w:b/>
          <w:sz w:val="24"/>
          <w:szCs w:val="24"/>
        </w:rPr>
      </w:pPr>
      <w:r w:rsidRPr="009909C9">
        <w:rPr>
          <w:rFonts w:ascii="Arial Narrow" w:hAnsi="Arial Narrow" w:cs="Arial"/>
          <w:b/>
          <w:sz w:val="24"/>
          <w:szCs w:val="24"/>
        </w:rPr>
        <w:t>a) La Alta Dirección.</w:t>
      </w:r>
    </w:p>
    <w:p w14:paraId="664C6923" w14:textId="77777777" w:rsidR="00615A1B" w:rsidRPr="009909C9" w:rsidRDefault="00615A1B" w:rsidP="00615A1B">
      <w:pPr>
        <w:jc w:val="both"/>
        <w:rPr>
          <w:rFonts w:ascii="Arial Narrow" w:hAnsi="Arial Narrow" w:cs="Arial"/>
          <w:sz w:val="24"/>
          <w:szCs w:val="24"/>
        </w:rPr>
      </w:pPr>
    </w:p>
    <w:p w14:paraId="1C6A5383"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 xml:space="preserve">La Alta Dirección de la </w:t>
      </w:r>
      <w:r>
        <w:rPr>
          <w:rFonts w:ascii="Arial Narrow" w:hAnsi="Arial Narrow" w:cs="Arial"/>
          <w:sz w:val="24"/>
          <w:szCs w:val="24"/>
        </w:rPr>
        <w:t>e</w:t>
      </w:r>
      <w:r w:rsidRPr="009909C9">
        <w:rPr>
          <w:rFonts w:ascii="Arial Narrow" w:hAnsi="Arial Narrow" w:cs="Arial"/>
          <w:sz w:val="24"/>
          <w:szCs w:val="24"/>
        </w:rPr>
        <w:t>mpresa está configurada por la Gerencia y los departamentos y recursos adscritos a la misma</w:t>
      </w:r>
      <w:r>
        <w:rPr>
          <w:rFonts w:ascii="Arial Narrow" w:hAnsi="Arial Narrow" w:cs="Arial"/>
          <w:sz w:val="24"/>
          <w:szCs w:val="24"/>
        </w:rPr>
        <w:t xml:space="preserve">, y </w:t>
      </w:r>
      <w:r w:rsidRPr="009909C9">
        <w:rPr>
          <w:rFonts w:ascii="Arial Narrow" w:hAnsi="Arial Narrow" w:cs="Arial"/>
          <w:sz w:val="24"/>
          <w:szCs w:val="24"/>
        </w:rPr>
        <w:t>es la responsable, de acuerdo con las directrices marcadas y dentro de la delegación de facultades establecida por el Consejo de Administración, de gestionar y coordinar los recursos de la Entidad; para asegurar una adecuada planificación, ejecución 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w:t>
      </w:r>
    </w:p>
    <w:p w14:paraId="36127C5E" w14:textId="77777777" w:rsidR="00615A1B" w:rsidRPr="009909C9" w:rsidRDefault="00615A1B" w:rsidP="00615A1B">
      <w:pPr>
        <w:jc w:val="both"/>
        <w:rPr>
          <w:rFonts w:ascii="Arial Narrow" w:hAnsi="Arial Narrow" w:cs="Arial"/>
          <w:sz w:val="24"/>
          <w:szCs w:val="24"/>
        </w:rPr>
      </w:pPr>
    </w:p>
    <w:p w14:paraId="7E39E954" w14:textId="77777777" w:rsidR="00615A1B" w:rsidRPr="00BE0D9A" w:rsidRDefault="00615A1B" w:rsidP="00615A1B">
      <w:pPr>
        <w:spacing w:line="300" w:lineRule="exact"/>
        <w:jc w:val="both"/>
        <w:rPr>
          <w:rFonts w:ascii="Arial Narrow" w:hAnsi="Arial Narrow" w:cs="Arial"/>
          <w:sz w:val="24"/>
          <w:szCs w:val="24"/>
        </w:rPr>
      </w:pPr>
      <w:r>
        <w:rPr>
          <w:rFonts w:ascii="Arial Narrow" w:hAnsi="Arial Narrow"/>
          <w:b/>
          <w:bCs/>
          <w:sz w:val="24"/>
          <w:szCs w:val="24"/>
        </w:rPr>
        <w:t>El Departamento Económico-Administrativo</w:t>
      </w:r>
      <w:r>
        <w:rPr>
          <w:rFonts w:ascii="Arial Narrow" w:hAnsi="Arial Narrow"/>
          <w:sz w:val="24"/>
          <w:szCs w:val="24"/>
        </w:rPr>
        <w:t xml:space="preserve"> controla  todos los procesos económicos de la empresa, entre su actividad están las áreas  de contabilidad y pagos, compras y contratación pública, , facturación y gestión de cobros a clientes externos, el control presupuestario de los proyectos y el área de subvenciones por el cual pasan todas las justificaciones de proyectos del ITC, a</w:t>
      </w:r>
      <w:r w:rsidRPr="00BE0D9A">
        <w:rPr>
          <w:rFonts w:ascii="Arial Narrow" w:hAnsi="Arial Narrow"/>
          <w:sz w:val="24"/>
          <w:szCs w:val="24"/>
        </w:rPr>
        <w:t xml:space="preserve">demás lleva </w:t>
      </w:r>
      <w:r>
        <w:rPr>
          <w:rFonts w:ascii="Arial Narrow" w:hAnsi="Arial Narrow"/>
          <w:sz w:val="24"/>
          <w:szCs w:val="24"/>
        </w:rPr>
        <w:t xml:space="preserve">el control de </w:t>
      </w:r>
      <w:r w:rsidRPr="00BE0D9A">
        <w:rPr>
          <w:rFonts w:ascii="Arial Narrow" w:hAnsi="Arial Narrow"/>
          <w:sz w:val="24"/>
          <w:szCs w:val="24"/>
        </w:rPr>
        <w:t xml:space="preserve">la </w:t>
      </w:r>
      <w:r>
        <w:rPr>
          <w:rFonts w:ascii="Arial Narrow" w:hAnsi="Arial Narrow"/>
          <w:sz w:val="24"/>
          <w:szCs w:val="24"/>
        </w:rPr>
        <w:t xml:space="preserve">gestión de </w:t>
      </w:r>
      <w:r w:rsidRPr="00BE0D9A">
        <w:rPr>
          <w:rFonts w:ascii="Arial Narrow" w:hAnsi="Arial Narrow"/>
          <w:sz w:val="24"/>
          <w:szCs w:val="24"/>
        </w:rPr>
        <w:t xml:space="preserve">la </w:t>
      </w:r>
      <w:r>
        <w:rPr>
          <w:rFonts w:ascii="Arial Narrow" w:hAnsi="Arial Narrow"/>
          <w:sz w:val="24"/>
          <w:szCs w:val="24"/>
        </w:rPr>
        <w:t>tesorería</w:t>
      </w:r>
      <w:r w:rsidRPr="00BE0D9A">
        <w:rPr>
          <w:rFonts w:ascii="Arial Narrow" w:hAnsi="Arial Narrow"/>
          <w:sz w:val="24"/>
          <w:szCs w:val="24"/>
        </w:rPr>
        <w:t xml:space="preserve"> de la Sociedad</w:t>
      </w:r>
      <w:r>
        <w:rPr>
          <w:rFonts w:ascii="Arial Narrow" w:hAnsi="Arial Narrow"/>
          <w:sz w:val="24"/>
          <w:szCs w:val="24"/>
        </w:rPr>
        <w:t xml:space="preserve"> y elabora el Programa de Actuación, Inversiones y Financiación (PAIF) anual, así como de tramitar los expedientes de modificación del mismo en cada ejercicio, velando en cada momento con el cumplimiento del marco normativo al que está sujeto el ITC como entidad pública y de mantener la estabilidad presupuestaria en cada cierre contable. Además, desde este Departamento se solicitan todas las financiaciones de la Comunidad Autónoma que componen el PAIF de cada ejercicio (aportaciones dinerarias, subvenciones y encargos de servicios) y se tramita la justificación de todas ellas, cumpliendo fielmente con los plazos y siempre buscando el mayor índice de eficiencia posible. Este Departamento se encarga de facilitar toda </w:t>
      </w:r>
      <w:r w:rsidRPr="00BE0D9A">
        <w:rPr>
          <w:rFonts w:ascii="Arial Narrow" w:hAnsi="Arial Narrow" w:cs="Arial"/>
          <w:sz w:val="24"/>
          <w:szCs w:val="24"/>
        </w:rPr>
        <w:t>la información económica, contable y financiera requerida por los órganos de control interno y externo de la Administración de la Comunidad Autónoma de Canarias</w:t>
      </w:r>
      <w:r>
        <w:rPr>
          <w:rFonts w:ascii="Arial Narrow" w:hAnsi="Arial Narrow" w:cs="Arial"/>
          <w:sz w:val="24"/>
          <w:szCs w:val="24"/>
        </w:rPr>
        <w:t xml:space="preserve"> y presta asesoramiento, colaboración y apoyo económico y de contratación pública a todas las unidades organizativas del ITC dentro de sus procesos técnicos</w:t>
      </w:r>
      <w:r w:rsidRPr="00BE0D9A">
        <w:rPr>
          <w:rFonts w:ascii="Arial Narrow" w:hAnsi="Arial Narrow" w:cs="Arial"/>
          <w:sz w:val="24"/>
          <w:szCs w:val="24"/>
        </w:rPr>
        <w:t>.</w:t>
      </w:r>
    </w:p>
    <w:p w14:paraId="0EB92ACA" w14:textId="77777777" w:rsidR="00615A1B" w:rsidRDefault="00615A1B" w:rsidP="00615A1B">
      <w:pPr>
        <w:spacing w:line="300" w:lineRule="exact"/>
        <w:jc w:val="both"/>
        <w:rPr>
          <w:rFonts w:ascii="Arial Narrow" w:hAnsi="Arial Narrow"/>
          <w:sz w:val="24"/>
          <w:szCs w:val="24"/>
        </w:rPr>
      </w:pPr>
    </w:p>
    <w:p w14:paraId="70AB30D1" w14:textId="77777777" w:rsidR="00615A1B" w:rsidRPr="00BE0D9A" w:rsidRDefault="00615A1B" w:rsidP="00615A1B">
      <w:pPr>
        <w:spacing w:line="300" w:lineRule="exact"/>
        <w:jc w:val="both"/>
        <w:rPr>
          <w:rFonts w:ascii="Arial Narrow" w:hAnsi="Arial Narrow" w:cs="Arial"/>
          <w:sz w:val="24"/>
          <w:szCs w:val="24"/>
        </w:rPr>
      </w:pPr>
      <w:r w:rsidRPr="00BE0D9A">
        <w:rPr>
          <w:rFonts w:ascii="Arial Narrow" w:hAnsi="Arial Narrow" w:cs="Arial"/>
          <w:sz w:val="24"/>
          <w:szCs w:val="24"/>
        </w:rPr>
        <w:t xml:space="preserve">Así mismo, en la actualidad, se encarga de la gestión </w:t>
      </w:r>
      <w:r>
        <w:rPr>
          <w:rFonts w:ascii="Arial Narrow" w:hAnsi="Arial Narrow" w:cs="Arial"/>
          <w:sz w:val="24"/>
          <w:szCs w:val="24"/>
        </w:rPr>
        <w:t xml:space="preserve">económica y financiera de varias de las empresas participadas en las que el ITC ejerce como Consejero Delegado, </w:t>
      </w:r>
      <w:r w:rsidRPr="00BE0D9A">
        <w:rPr>
          <w:rFonts w:ascii="Arial Narrow" w:hAnsi="Arial Narrow" w:cs="Arial"/>
          <w:sz w:val="24"/>
          <w:szCs w:val="24"/>
        </w:rPr>
        <w:t xml:space="preserve">y realiza la contabilidad y fiscalidad de Megaturbinas Arinaga, S.A. y Parques Eólicos Gaviota, S.A. </w:t>
      </w:r>
    </w:p>
    <w:p w14:paraId="727CACEC" w14:textId="77777777" w:rsidR="00615A1B" w:rsidRDefault="00615A1B" w:rsidP="00615A1B">
      <w:pPr>
        <w:spacing w:line="300" w:lineRule="exact"/>
        <w:jc w:val="both"/>
        <w:rPr>
          <w:rFonts w:ascii="Arial Narrow" w:hAnsi="Arial Narrow"/>
          <w:sz w:val="24"/>
          <w:szCs w:val="24"/>
        </w:rPr>
      </w:pPr>
    </w:p>
    <w:p w14:paraId="3402C243" w14:textId="77777777" w:rsidR="00615A1B" w:rsidRPr="009909C9" w:rsidRDefault="00615A1B" w:rsidP="00C60DD6">
      <w:pPr>
        <w:keepNext/>
        <w:keepLines/>
        <w:jc w:val="both"/>
        <w:rPr>
          <w:rFonts w:ascii="Arial Narrow" w:hAnsi="Arial Narrow" w:cs="Arial"/>
          <w:sz w:val="24"/>
          <w:szCs w:val="24"/>
        </w:rPr>
      </w:pPr>
      <w:r w:rsidRPr="000B63CA">
        <w:rPr>
          <w:rFonts w:ascii="Arial Narrow" w:hAnsi="Arial Narrow"/>
          <w:b/>
          <w:bCs/>
          <w:sz w:val="24"/>
          <w:szCs w:val="24"/>
        </w:rPr>
        <w:t>El Departamento Jurídico</w:t>
      </w:r>
      <w:r w:rsidRPr="000B63CA">
        <w:rPr>
          <w:rFonts w:ascii="Arial Narrow" w:hAnsi="Arial Narrow"/>
          <w:bCs/>
          <w:sz w:val="24"/>
          <w:szCs w:val="24"/>
        </w:rPr>
        <w:t xml:space="preserve"> se ocupa del tráfico de operaciones jurídico-mercantiles de la entidad, del</w:t>
      </w:r>
      <w:r w:rsidRPr="009909C9">
        <w:rPr>
          <w:rFonts w:ascii="Arial Narrow" w:hAnsi="Arial Narrow" w:cs="Arial"/>
          <w:sz w:val="24"/>
          <w:szCs w:val="24"/>
        </w:rPr>
        <w:t xml:space="preserve"> diseño y elaboración de documentos jurídicos (contratos, convenios, informes, alegaciones, etc.), y escritos (cartas, certificaciones, notificaciones, autorizaciones, etc.), así como control y supervisión de aquellos que provienen del exterior. Realiza un asesoramiento jurídico integral a la Dirección y al resto de las unidades organizativas. Se encarga de la coordinación y control de derechos de propiedad intelectual o industrial, becas y prácticas y el seguimiento de las obligaciones de la empresa vinculadas al cumplimiento del Convenio Colectivo y relación con el Comité Intercentros y los Comités de Empresa. Desarrolla las labores de Secretaría del Consejo de Administración y Junta de la Sociedad, así como asume las labores de preparación de las sesiones de dichos órganos, y la coordinación con los departamentos para la elaboración de la documentación preceptiva. También realiza el asesoramiento y apoyo a los representantes en empresas participadas, así como coordinación de los servicios de asesoría mercantil, gestión y administración que se mantengan con estas entidades. Se</w:t>
      </w:r>
      <w:r w:rsidRPr="00D278BF">
        <w:rPr>
          <w:rFonts w:ascii="Arial Narrow" w:hAnsi="Arial Narrow" w:cs="Arial"/>
          <w:sz w:val="24"/>
          <w:szCs w:val="24"/>
        </w:rPr>
        <w:t xml:space="preserve"> </w:t>
      </w:r>
      <w:r w:rsidRPr="009909C9">
        <w:rPr>
          <w:rFonts w:ascii="Arial Narrow" w:hAnsi="Arial Narrow" w:cs="Arial"/>
          <w:sz w:val="24"/>
          <w:szCs w:val="24"/>
        </w:rPr>
        <w:t>ocupa del tráfico de operaciones jurídico-mercantiles</w:t>
      </w:r>
      <w:r w:rsidRPr="002770AE">
        <w:rPr>
          <w:rFonts w:ascii="Arial Narrow" w:hAnsi="Arial Narrow" w:cs="Arial"/>
          <w:sz w:val="24"/>
          <w:szCs w:val="24"/>
        </w:rPr>
        <w:t xml:space="preserve"> </w:t>
      </w:r>
      <w:r>
        <w:rPr>
          <w:rFonts w:ascii="Arial Narrow" w:hAnsi="Arial Narrow" w:cs="Arial"/>
          <w:sz w:val="24"/>
          <w:szCs w:val="24"/>
        </w:rPr>
        <w:t xml:space="preserve">de las </w:t>
      </w:r>
      <w:r w:rsidRPr="009909C9">
        <w:rPr>
          <w:rFonts w:ascii="Arial Narrow" w:hAnsi="Arial Narrow" w:cs="Arial"/>
          <w:sz w:val="24"/>
          <w:szCs w:val="24"/>
        </w:rPr>
        <w:t>entidad</w:t>
      </w:r>
      <w:r>
        <w:rPr>
          <w:rFonts w:ascii="Arial Narrow" w:hAnsi="Arial Narrow" w:cs="Arial"/>
          <w:sz w:val="24"/>
          <w:szCs w:val="24"/>
        </w:rPr>
        <w:t>es</w:t>
      </w:r>
      <w:r w:rsidRPr="009909C9">
        <w:rPr>
          <w:rFonts w:ascii="Arial Narrow" w:hAnsi="Arial Narrow" w:cs="Arial"/>
          <w:sz w:val="24"/>
          <w:szCs w:val="24"/>
        </w:rPr>
        <w:t xml:space="preserve"> Parques Eólicos Gaviota, S.A. y Megaturbinas Arinaga, S.A</w:t>
      </w:r>
      <w:r>
        <w:rPr>
          <w:rFonts w:ascii="Arial Narrow" w:hAnsi="Arial Narrow" w:cs="Arial"/>
          <w:sz w:val="24"/>
          <w:szCs w:val="24"/>
        </w:rPr>
        <w:t>.,</w:t>
      </w:r>
      <w:r w:rsidRPr="009909C9">
        <w:rPr>
          <w:rFonts w:ascii="Arial Narrow" w:hAnsi="Arial Narrow" w:cs="Arial"/>
          <w:sz w:val="24"/>
          <w:szCs w:val="24"/>
        </w:rPr>
        <w:t xml:space="preserve"> del diseño y elaboración de documentos jurídicos (contratos, convenios, informes, alegaciones, etc.), y escritos (cartas, certificaciones, notificaciones, autorizaciones, etc.), </w:t>
      </w:r>
      <w:r>
        <w:rPr>
          <w:rFonts w:ascii="Arial Narrow" w:hAnsi="Arial Narrow" w:cs="Arial"/>
          <w:sz w:val="24"/>
          <w:szCs w:val="24"/>
        </w:rPr>
        <w:t>y d</w:t>
      </w:r>
      <w:r w:rsidRPr="009909C9">
        <w:rPr>
          <w:rFonts w:ascii="Arial Narrow" w:hAnsi="Arial Narrow" w:cs="Arial"/>
          <w:sz w:val="24"/>
          <w:szCs w:val="24"/>
        </w:rPr>
        <w:t xml:space="preserve">esarrolla las labores de </w:t>
      </w:r>
      <w:r>
        <w:rPr>
          <w:rFonts w:ascii="Arial Narrow" w:hAnsi="Arial Narrow" w:cs="Arial"/>
          <w:sz w:val="24"/>
          <w:szCs w:val="24"/>
        </w:rPr>
        <w:t>asesoramiento jurídico y s</w:t>
      </w:r>
      <w:r w:rsidRPr="009909C9">
        <w:rPr>
          <w:rFonts w:ascii="Arial Narrow" w:hAnsi="Arial Narrow" w:cs="Arial"/>
          <w:sz w:val="24"/>
          <w:szCs w:val="24"/>
        </w:rPr>
        <w:t xml:space="preserve">ecretaría del Consejo de Administración y Junta de </w:t>
      </w:r>
      <w:r>
        <w:rPr>
          <w:rFonts w:ascii="Arial Narrow" w:hAnsi="Arial Narrow" w:cs="Arial"/>
          <w:sz w:val="24"/>
          <w:szCs w:val="24"/>
        </w:rPr>
        <w:t xml:space="preserve">cada </w:t>
      </w:r>
      <w:r w:rsidRPr="009909C9">
        <w:rPr>
          <w:rFonts w:ascii="Arial Narrow" w:hAnsi="Arial Narrow" w:cs="Arial"/>
          <w:sz w:val="24"/>
          <w:szCs w:val="24"/>
        </w:rPr>
        <w:t>Sociedad, así como asume las labores de preparación de las sesiones de dichos órganos</w:t>
      </w:r>
      <w:r>
        <w:rPr>
          <w:rFonts w:ascii="Arial Narrow" w:hAnsi="Arial Narrow" w:cs="Arial"/>
          <w:sz w:val="24"/>
          <w:szCs w:val="24"/>
        </w:rPr>
        <w:t xml:space="preserve"> en las mismas, y ejecuta durante los ejercicios 2017, 2018 y 2019, el encargo de servicio denominado “Oficina Técnica de apoyo al servicio de Instalaciones energéticas de la Dirección General de Industria y Energía”</w:t>
      </w:r>
      <w:r w:rsidRPr="009909C9">
        <w:rPr>
          <w:rFonts w:ascii="Arial Narrow" w:hAnsi="Arial Narrow" w:cs="Arial"/>
          <w:sz w:val="24"/>
          <w:szCs w:val="24"/>
        </w:rPr>
        <w:t xml:space="preserve"> </w:t>
      </w:r>
    </w:p>
    <w:p w14:paraId="68E346CD" w14:textId="77777777" w:rsidR="00615A1B" w:rsidRPr="009909C9" w:rsidRDefault="00615A1B" w:rsidP="00615A1B">
      <w:pPr>
        <w:jc w:val="both"/>
        <w:rPr>
          <w:rFonts w:ascii="Arial Narrow" w:hAnsi="Arial Narrow" w:cs="Arial"/>
          <w:sz w:val="24"/>
          <w:szCs w:val="24"/>
        </w:rPr>
      </w:pPr>
    </w:p>
    <w:p w14:paraId="722004BB"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b/>
          <w:sz w:val="24"/>
          <w:szCs w:val="24"/>
        </w:rPr>
        <w:t>El Departamento de Informática y Comunicaciones</w:t>
      </w:r>
      <w:r w:rsidRPr="009909C9">
        <w:rPr>
          <w:rFonts w:ascii="Arial Narrow" w:hAnsi="Arial Narrow" w:cs="Arial"/>
          <w:sz w:val="24"/>
          <w:szCs w:val="24"/>
        </w:rPr>
        <w:t xml:space="preserve"> es el responsable de elaborar, desarrollar y proponer la implementación de nuevas tecnologías, sistemas informáticos y de comunicaciones dentro del ITC. Elaborar planes de mantenimiento preventivo y brindar soporte técnico solicitado por Los diferentes departamentos. Realiza la gestión interna de los servidores, planificando su adquisición, redistribución, homogeneización y configuración, así como el mantenimiento de todos los CPD´s, ateniéndonos a diferentes criterios de rendimiento, disponibilidad y aprovechamiento, según los distintos servicios que ofrece el ITC, tanto internos como externos. Y es el responsable de seguridad del sistema informático, fo</w:t>
      </w:r>
      <w:r>
        <w:rPr>
          <w:rFonts w:ascii="Arial Narrow" w:hAnsi="Arial Narrow" w:cs="Arial"/>
          <w:sz w:val="24"/>
          <w:szCs w:val="24"/>
        </w:rPr>
        <w:t>r</w:t>
      </w:r>
      <w:r w:rsidRPr="009909C9">
        <w:rPr>
          <w:rFonts w:ascii="Arial Narrow" w:hAnsi="Arial Narrow" w:cs="Arial"/>
          <w:sz w:val="24"/>
          <w:szCs w:val="24"/>
        </w:rPr>
        <w:t>tificando toda la infraestructura de información/comunicaciones del ITC, en todos sus frentes. También es responsable de la</w:t>
      </w:r>
      <w:r>
        <w:rPr>
          <w:rFonts w:ascii="Arial Narrow" w:hAnsi="Arial Narrow" w:cs="Arial"/>
          <w:sz w:val="24"/>
          <w:szCs w:val="24"/>
        </w:rPr>
        <w:t>s</w:t>
      </w:r>
      <w:r w:rsidRPr="009909C9">
        <w:rPr>
          <w:rFonts w:ascii="Arial Narrow" w:hAnsi="Arial Narrow" w:cs="Arial"/>
          <w:sz w:val="24"/>
          <w:szCs w:val="24"/>
        </w:rPr>
        <w:t xml:space="preserve"> comunicaciones y mejoras a implementar en el marco de las comunicaciones IP del ITC, tanto entre sedes como con el exterior. Así como el mantenimiento de la telefonía móvil y fija. Mantenimiento de las interconexiones de las sedes, sus routers, switch y firewall. Y da soporte en los diferentes proyectos concedidos al ITC en materia de Informática y comunicaciones, más concretamente en tareas relacionadas con Internet. </w:t>
      </w:r>
    </w:p>
    <w:p w14:paraId="5162671A" w14:textId="77777777" w:rsidR="00615A1B" w:rsidRPr="009909C9" w:rsidRDefault="00615A1B" w:rsidP="00615A1B">
      <w:pPr>
        <w:jc w:val="both"/>
        <w:rPr>
          <w:rFonts w:ascii="Arial Narrow" w:hAnsi="Arial Narrow" w:cs="Arial"/>
          <w:sz w:val="24"/>
          <w:szCs w:val="24"/>
        </w:rPr>
      </w:pPr>
    </w:p>
    <w:p w14:paraId="471A434F"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b/>
          <w:sz w:val="24"/>
          <w:szCs w:val="24"/>
        </w:rPr>
        <w:t>El Departamento de Personal</w:t>
      </w:r>
      <w:r w:rsidRPr="009909C9">
        <w:rPr>
          <w:rFonts w:ascii="Arial Narrow" w:hAnsi="Arial Narrow" w:cs="Arial"/>
          <w:sz w:val="24"/>
          <w:szCs w:val="24"/>
        </w:rPr>
        <w:t xml:space="preserve"> se encarga de la aplicación, análisis y seguimiento de las políticas de Recursos Humanos, elaboración de la información del gasto en el capítulo de personal de la empresa: elaboración de tablas, cálculo de la masa salarial, control de Puestos, Gestión administrativa del personal: entre otras, confección de nóminas y seguros sociales, confección y tramitación de contratos y sus prórrogas, finiquitos, IRPF, certificados, etc… Gestión y mantenimiento de las aplicaciones de Recursos Humanos: nóminas, control de asistencia, etc.; y gestión telemática de declaraciones y certificados. Control y fiscalización de la documentación laboral de la empresa: libro de visitas, documentos de asociación con la mutua, póliza de accidentes, expedientes de los trabajadores, Desarrollo, en coordinación con el departamento de formación, de planes anuales de formación interna orientados a fortalecer las habilidades, técnicas y capacidades de los trabajadores, y coordinación de la implantación de los mismos. Coordinación de la actividad preventiva de riesgos laborales, integrando los medios humanos y materiales necesarios, las medidas de emergencia y vigilancia de la salud, y la información y formación a los trabajadores. Desarrollo de actuaciones de mejora del clima laboral para anticipar la creación de conflictos entre trabajadores, e intermediación en la gestión y resolución de los mismos.</w:t>
      </w:r>
    </w:p>
    <w:p w14:paraId="559518FF" w14:textId="77777777" w:rsidR="00615A1B" w:rsidRPr="009909C9" w:rsidRDefault="00615A1B" w:rsidP="00615A1B">
      <w:pPr>
        <w:jc w:val="both"/>
        <w:rPr>
          <w:rFonts w:ascii="Arial Narrow" w:hAnsi="Arial Narrow" w:cs="Arial"/>
          <w:sz w:val="24"/>
          <w:szCs w:val="24"/>
        </w:rPr>
      </w:pPr>
    </w:p>
    <w:p w14:paraId="53ECCCAC"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b/>
          <w:sz w:val="24"/>
          <w:szCs w:val="24"/>
        </w:rPr>
        <w:t>El Departamento de Gestión de Activos</w:t>
      </w:r>
      <w:r w:rsidRPr="009909C9">
        <w:rPr>
          <w:rFonts w:ascii="Arial Narrow" w:hAnsi="Arial Narrow" w:cs="Arial"/>
          <w:sz w:val="24"/>
          <w:szCs w:val="24"/>
        </w:rPr>
        <w:t xml:space="preserve"> </w:t>
      </w:r>
      <w:r>
        <w:rPr>
          <w:rFonts w:ascii="Arial Narrow" w:hAnsi="Arial Narrow" w:cs="Arial"/>
          <w:sz w:val="24"/>
          <w:szCs w:val="24"/>
        </w:rPr>
        <w:t xml:space="preserve">planifica y </w:t>
      </w:r>
      <w:r w:rsidRPr="009909C9">
        <w:rPr>
          <w:rFonts w:ascii="Arial Narrow" w:hAnsi="Arial Narrow" w:cs="Arial"/>
          <w:sz w:val="24"/>
          <w:szCs w:val="24"/>
        </w:rPr>
        <w:t xml:space="preserve">desarrolla las actuaciones prioritarias del Plan </w:t>
      </w:r>
      <w:r>
        <w:rPr>
          <w:rFonts w:ascii="Arial Narrow" w:hAnsi="Arial Narrow" w:cs="Arial"/>
          <w:sz w:val="24"/>
          <w:szCs w:val="24"/>
        </w:rPr>
        <w:t xml:space="preserve">Anual </w:t>
      </w:r>
      <w:r w:rsidRPr="009909C9">
        <w:rPr>
          <w:rFonts w:ascii="Arial Narrow" w:hAnsi="Arial Narrow" w:cs="Arial"/>
          <w:sz w:val="24"/>
          <w:szCs w:val="24"/>
        </w:rPr>
        <w:t xml:space="preserve">de Inversiones en Activos; y lleva a cabo </w:t>
      </w:r>
      <w:r>
        <w:rPr>
          <w:rFonts w:ascii="Arial Narrow" w:hAnsi="Arial Narrow" w:cs="Arial"/>
          <w:sz w:val="24"/>
          <w:szCs w:val="24"/>
        </w:rPr>
        <w:t xml:space="preserve">la coordinación operativa y </w:t>
      </w:r>
      <w:r w:rsidRPr="009909C9">
        <w:rPr>
          <w:rFonts w:ascii="Arial Narrow" w:hAnsi="Arial Narrow" w:cs="Arial"/>
          <w:sz w:val="24"/>
          <w:szCs w:val="24"/>
        </w:rPr>
        <w:t xml:space="preserve">el mantenimiento técnico-legal requerido en los inmuebles a su cargo. También coordina y presta asesoramiento y apoyo técnico a las demás unidades organizativas del ITC en la definición y ejecución de obras e instalaciones técnicas; en la puesta en servicio y ocupación de locales para proyectos; en la celebración de eventos; y en la gestión patrimonial y de evaluación de riesgos. </w:t>
      </w:r>
      <w:r>
        <w:rPr>
          <w:rFonts w:ascii="Arial Narrow" w:hAnsi="Arial Narrow" w:cs="Arial"/>
          <w:sz w:val="24"/>
          <w:szCs w:val="24"/>
        </w:rPr>
        <w:t>Asimismo</w:t>
      </w:r>
      <w:r w:rsidRPr="009909C9">
        <w:rPr>
          <w:rFonts w:ascii="Arial Narrow" w:hAnsi="Arial Narrow" w:cs="Arial"/>
          <w:sz w:val="24"/>
          <w:szCs w:val="24"/>
        </w:rPr>
        <w:t xml:space="preserve"> se ocupa de</w:t>
      </w:r>
      <w:r>
        <w:rPr>
          <w:rFonts w:ascii="Arial Narrow" w:hAnsi="Arial Narrow" w:cs="Arial"/>
          <w:sz w:val="24"/>
          <w:szCs w:val="24"/>
        </w:rPr>
        <w:t xml:space="preserve"> </w:t>
      </w:r>
      <w:r w:rsidRPr="009909C9">
        <w:rPr>
          <w:rFonts w:ascii="Arial Narrow" w:hAnsi="Arial Narrow" w:cs="Arial"/>
          <w:sz w:val="24"/>
          <w:szCs w:val="24"/>
        </w:rPr>
        <w:t>l</w:t>
      </w:r>
      <w:r>
        <w:rPr>
          <w:rFonts w:ascii="Arial Narrow" w:hAnsi="Arial Narrow" w:cs="Arial"/>
          <w:sz w:val="24"/>
          <w:szCs w:val="24"/>
        </w:rPr>
        <w:t>a supervisión técnica de la operación, mantenimiento, producción y rendimiento</w:t>
      </w:r>
      <w:r w:rsidRPr="009909C9">
        <w:rPr>
          <w:rFonts w:ascii="Arial Narrow" w:hAnsi="Arial Narrow" w:cs="Arial"/>
          <w:sz w:val="24"/>
          <w:szCs w:val="24"/>
        </w:rPr>
        <w:t xml:space="preserve"> de los parques eólicos e instalaciones fotovoltaicas del ITC</w:t>
      </w:r>
      <w:r>
        <w:rPr>
          <w:rFonts w:ascii="Arial Narrow" w:hAnsi="Arial Narrow" w:cs="Arial"/>
          <w:sz w:val="24"/>
          <w:szCs w:val="24"/>
        </w:rPr>
        <w:t>; y de gestionar su eventual repotenciación y mejora</w:t>
      </w:r>
      <w:r w:rsidRPr="009909C9">
        <w:rPr>
          <w:rFonts w:ascii="Arial Narrow" w:hAnsi="Arial Narrow" w:cs="Arial"/>
          <w:sz w:val="24"/>
          <w:szCs w:val="24"/>
        </w:rPr>
        <w:t xml:space="preserve">. </w:t>
      </w:r>
      <w:r>
        <w:rPr>
          <w:rFonts w:ascii="Arial Narrow" w:hAnsi="Arial Narrow" w:cs="Arial"/>
          <w:sz w:val="24"/>
          <w:szCs w:val="24"/>
        </w:rPr>
        <w:t>Respecto a terceros, el departamento</w:t>
      </w:r>
      <w:r w:rsidRPr="009909C9">
        <w:rPr>
          <w:rFonts w:ascii="Arial Narrow" w:hAnsi="Arial Narrow" w:cs="Arial"/>
          <w:sz w:val="24"/>
          <w:szCs w:val="24"/>
        </w:rPr>
        <w:t xml:space="preserve"> presta apoyo técnico a la</w:t>
      </w:r>
      <w:r>
        <w:rPr>
          <w:rFonts w:ascii="Arial Narrow" w:hAnsi="Arial Narrow" w:cs="Arial"/>
          <w:sz w:val="24"/>
          <w:szCs w:val="24"/>
        </w:rPr>
        <w:t>s</w:t>
      </w:r>
      <w:r w:rsidRPr="009909C9">
        <w:rPr>
          <w:rFonts w:ascii="Arial Narrow" w:hAnsi="Arial Narrow" w:cs="Arial"/>
          <w:sz w:val="24"/>
          <w:szCs w:val="24"/>
        </w:rPr>
        <w:t xml:space="preserve"> sociedad</w:t>
      </w:r>
      <w:r>
        <w:rPr>
          <w:rFonts w:ascii="Arial Narrow" w:hAnsi="Arial Narrow" w:cs="Arial"/>
          <w:sz w:val="24"/>
          <w:szCs w:val="24"/>
        </w:rPr>
        <w:t>es</w:t>
      </w:r>
      <w:r w:rsidRPr="009909C9">
        <w:rPr>
          <w:rFonts w:ascii="Arial Narrow" w:hAnsi="Arial Narrow" w:cs="Arial"/>
          <w:sz w:val="24"/>
          <w:szCs w:val="24"/>
        </w:rPr>
        <w:t xml:space="preserve"> </w:t>
      </w:r>
      <w:r>
        <w:rPr>
          <w:rFonts w:ascii="Arial Narrow" w:hAnsi="Arial Narrow" w:cs="Arial"/>
          <w:sz w:val="24"/>
          <w:szCs w:val="24"/>
        </w:rPr>
        <w:t xml:space="preserve">participadas </w:t>
      </w:r>
      <w:r w:rsidRPr="009909C9">
        <w:rPr>
          <w:rFonts w:ascii="Arial Narrow" w:hAnsi="Arial Narrow" w:cs="Arial"/>
          <w:sz w:val="24"/>
          <w:szCs w:val="24"/>
        </w:rPr>
        <w:t xml:space="preserve">Parques Eólicos Gaviota, S.A., </w:t>
      </w:r>
      <w:r>
        <w:rPr>
          <w:rFonts w:ascii="Arial Narrow" w:hAnsi="Arial Narrow" w:cs="Arial"/>
          <w:sz w:val="24"/>
          <w:szCs w:val="24"/>
        </w:rPr>
        <w:t>y Megaturbinas Arinaga, S.A.; colabora con las</w:t>
      </w:r>
      <w:r w:rsidRPr="009909C9">
        <w:rPr>
          <w:rFonts w:ascii="Arial Narrow" w:hAnsi="Arial Narrow" w:cs="Arial"/>
          <w:sz w:val="24"/>
          <w:szCs w:val="24"/>
        </w:rPr>
        <w:t xml:space="preserve"> dos UTEs </w:t>
      </w:r>
      <w:r>
        <w:rPr>
          <w:rFonts w:ascii="Arial Narrow" w:hAnsi="Arial Narrow" w:cs="Arial"/>
          <w:sz w:val="24"/>
          <w:szCs w:val="24"/>
        </w:rPr>
        <w:t xml:space="preserve">integradas por ITC </w:t>
      </w:r>
      <w:r w:rsidRPr="009909C9">
        <w:rPr>
          <w:rFonts w:ascii="Arial Narrow" w:hAnsi="Arial Narrow" w:cs="Arial"/>
          <w:sz w:val="24"/>
          <w:szCs w:val="24"/>
        </w:rPr>
        <w:t xml:space="preserve">para </w:t>
      </w:r>
      <w:r>
        <w:rPr>
          <w:rFonts w:ascii="Arial Narrow" w:hAnsi="Arial Narrow" w:cs="Arial"/>
          <w:sz w:val="24"/>
          <w:szCs w:val="24"/>
        </w:rPr>
        <w:t xml:space="preserve">el </w:t>
      </w:r>
      <w:r w:rsidRPr="009909C9">
        <w:rPr>
          <w:rFonts w:ascii="Arial Narrow" w:hAnsi="Arial Narrow" w:cs="Arial"/>
          <w:sz w:val="24"/>
          <w:szCs w:val="24"/>
        </w:rPr>
        <w:t xml:space="preserve">desarrollo e implantación de parques tecnológicos en Fuerteventura y Gran Canaria, </w:t>
      </w:r>
      <w:r>
        <w:rPr>
          <w:rFonts w:ascii="Arial Narrow" w:hAnsi="Arial Narrow" w:cs="Arial"/>
          <w:sz w:val="24"/>
          <w:szCs w:val="24"/>
        </w:rPr>
        <w:t>realiza</w:t>
      </w:r>
      <w:r w:rsidRPr="009909C9">
        <w:rPr>
          <w:rFonts w:ascii="Arial Narrow" w:hAnsi="Arial Narrow" w:cs="Arial"/>
          <w:sz w:val="24"/>
          <w:szCs w:val="24"/>
        </w:rPr>
        <w:t xml:space="preserve"> el seguimiento indirecto de la </w:t>
      </w:r>
      <w:r>
        <w:rPr>
          <w:rFonts w:ascii="Arial Narrow" w:hAnsi="Arial Narrow" w:cs="Arial"/>
          <w:sz w:val="24"/>
          <w:szCs w:val="24"/>
        </w:rPr>
        <w:t>operación, mantenimiento, producción y rendimiento</w:t>
      </w:r>
      <w:r w:rsidRPr="009909C9">
        <w:rPr>
          <w:rFonts w:ascii="Arial Narrow" w:hAnsi="Arial Narrow" w:cs="Arial"/>
          <w:sz w:val="24"/>
          <w:szCs w:val="24"/>
        </w:rPr>
        <w:t xml:space="preserve"> de otros parques eólicos participados por el ITC</w:t>
      </w:r>
      <w:r>
        <w:rPr>
          <w:rFonts w:ascii="Arial Narrow" w:hAnsi="Arial Narrow" w:cs="Arial"/>
          <w:sz w:val="24"/>
          <w:szCs w:val="24"/>
        </w:rPr>
        <w:t>, y presta servicios técnicos a demanda en sus áreas de especialización. Asimismo, se encarga de la gestión de los arrendamientos de espacios a terceros en las instalaciones del ITC.</w:t>
      </w:r>
    </w:p>
    <w:p w14:paraId="3E74BAC0" w14:textId="77777777" w:rsidR="00615A1B" w:rsidRDefault="00615A1B" w:rsidP="00615A1B">
      <w:pPr>
        <w:jc w:val="both"/>
        <w:rPr>
          <w:rFonts w:ascii="Arial Narrow" w:hAnsi="Arial Narrow"/>
          <w:sz w:val="24"/>
          <w:szCs w:val="24"/>
        </w:rPr>
      </w:pPr>
    </w:p>
    <w:p w14:paraId="1F2D308B" w14:textId="77777777" w:rsidR="00615A1B" w:rsidRDefault="00615A1B" w:rsidP="00615A1B">
      <w:pPr>
        <w:jc w:val="both"/>
        <w:rPr>
          <w:rFonts w:ascii="Arial Narrow" w:hAnsi="Arial Narrow"/>
          <w:sz w:val="24"/>
          <w:szCs w:val="24"/>
        </w:rPr>
      </w:pPr>
      <w:r>
        <w:rPr>
          <w:rFonts w:ascii="Arial Narrow" w:hAnsi="Arial Narrow"/>
          <w:sz w:val="24"/>
          <w:szCs w:val="24"/>
        </w:rPr>
        <w:t xml:space="preserve">Asimismo, y bajo la dependencia  de la Alta Dirección, existe un área de Coordinación interna de reciente creación,  la </w:t>
      </w:r>
      <w:r w:rsidRPr="00BE0D9A">
        <w:rPr>
          <w:rFonts w:ascii="Arial Narrow" w:hAnsi="Arial Narrow"/>
          <w:b/>
          <w:sz w:val="24"/>
          <w:szCs w:val="24"/>
        </w:rPr>
        <w:t>“</w:t>
      </w:r>
      <w:r>
        <w:rPr>
          <w:rFonts w:ascii="Arial Narrow" w:hAnsi="Arial Narrow"/>
          <w:b/>
          <w:sz w:val="24"/>
          <w:szCs w:val="24"/>
        </w:rPr>
        <w:t>Unidad de Coordinación de I+D+i y Comunicación</w:t>
      </w:r>
      <w:r w:rsidRPr="00BE0D9A">
        <w:rPr>
          <w:rFonts w:ascii="Arial Narrow" w:hAnsi="Arial Narrow"/>
          <w:b/>
          <w:sz w:val="24"/>
          <w:szCs w:val="24"/>
        </w:rPr>
        <w:t>”</w:t>
      </w:r>
      <w:r>
        <w:rPr>
          <w:rFonts w:ascii="Arial Narrow" w:hAnsi="Arial Narrow"/>
          <w:sz w:val="24"/>
          <w:szCs w:val="24"/>
        </w:rPr>
        <w:t xml:space="preserve"> con visión estratégica y multidepartamental, que coordina, de forma proactiva, la información, asesoramiento y gestión en el ámbito de la investigación y transferencia del conocimiento, prestando servicios horizontales especializados a todos los departamentos del Área de I+D+i de muy diversa índole, participando en procesos de mejora de comunicación interna y externa,  gestionando las relaciones de comunicación con Organismos oficiales de financiación, tanto de Administraciones Públicas como del sector empresarial, y difundiendo y divulgando las capacidades del ITC, así como identificando oportunidades de negocio y cooperación empresariales relacionadas con las capacidades actuales y futuras del ITC.</w:t>
      </w:r>
    </w:p>
    <w:p w14:paraId="23AC0157" w14:textId="77777777" w:rsidR="00615A1B" w:rsidRDefault="00615A1B" w:rsidP="00615A1B">
      <w:pPr>
        <w:jc w:val="both"/>
        <w:rPr>
          <w:rFonts w:ascii="Arial Narrow" w:hAnsi="Arial Narrow"/>
          <w:sz w:val="24"/>
          <w:szCs w:val="24"/>
        </w:rPr>
      </w:pPr>
    </w:p>
    <w:p w14:paraId="18BC2CF7" w14:textId="77777777" w:rsidR="00615A1B" w:rsidRDefault="00615A1B" w:rsidP="00615A1B">
      <w:pPr>
        <w:jc w:val="both"/>
        <w:rPr>
          <w:rFonts w:ascii="Arial Narrow" w:hAnsi="Arial Narrow"/>
          <w:sz w:val="24"/>
          <w:szCs w:val="24"/>
        </w:rPr>
      </w:pPr>
      <w:r>
        <w:rPr>
          <w:rFonts w:ascii="Arial Narrow" w:hAnsi="Arial Narrow"/>
          <w:sz w:val="24"/>
          <w:szCs w:val="24"/>
        </w:rPr>
        <w:t>Por otro lado, este área coordina y presta soporte para la búsqueda de financiación para Proyectos, imprimiendo a los mismos un carácter estratégico y multidisciplinar,  realiza búsqueda de socios para proyectos, búsqueda de nuevos socios potenciales terceros a los que podamos ayudar o con los que podamos colaborar, así como búsqueda y asesoramiento en convocatorias, ayuda en la preparación de propuestas desde el punto de vista operativo,  participación en licitaciones internacionales.</w:t>
      </w:r>
    </w:p>
    <w:p w14:paraId="0615C8B7" w14:textId="77777777" w:rsidR="00615A1B" w:rsidRDefault="00615A1B" w:rsidP="00615A1B">
      <w:pPr>
        <w:jc w:val="both"/>
        <w:rPr>
          <w:rFonts w:ascii="Arial Narrow" w:hAnsi="Arial Narrow"/>
          <w:sz w:val="24"/>
          <w:szCs w:val="24"/>
        </w:rPr>
      </w:pPr>
    </w:p>
    <w:p w14:paraId="0CC1C4D0" w14:textId="77777777" w:rsidR="00615A1B" w:rsidRDefault="00615A1B" w:rsidP="00615A1B">
      <w:pPr>
        <w:jc w:val="both"/>
        <w:rPr>
          <w:rFonts w:ascii="Arial Narrow" w:hAnsi="Arial Narrow"/>
          <w:sz w:val="24"/>
          <w:szCs w:val="24"/>
        </w:rPr>
      </w:pPr>
      <w:r>
        <w:rPr>
          <w:rFonts w:ascii="Arial Narrow" w:hAnsi="Arial Narrow"/>
          <w:sz w:val="24"/>
          <w:szCs w:val="24"/>
        </w:rPr>
        <w:t>Todo ello con el fin de incrementar y aumentar la colaboración de los recursos internos, aumentando así la capacidad de obtención de nuevas vías de financiación estratégicas, y de mejorar la comunicación y reputación social corporativa empresarial del ITC.</w:t>
      </w:r>
    </w:p>
    <w:p w14:paraId="00A8191D" w14:textId="77777777" w:rsidR="00615A1B" w:rsidRPr="009909C9" w:rsidRDefault="00615A1B" w:rsidP="00615A1B">
      <w:pPr>
        <w:jc w:val="both"/>
        <w:rPr>
          <w:rFonts w:ascii="Arial Narrow" w:hAnsi="Arial Narrow" w:cs="Arial"/>
          <w:sz w:val="24"/>
          <w:szCs w:val="24"/>
        </w:rPr>
      </w:pPr>
    </w:p>
    <w:p w14:paraId="3A9762DF" w14:textId="77777777" w:rsidR="00615A1B" w:rsidRPr="009909C9" w:rsidRDefault="00615A1B" w:rsidP="00615A1B">
      <w:pPr>
        <w:jc w:val="both"/>
        <w:rPr>
          <w:rFonts w:ascii="Arial Narrow" w:hAnsi="Arial Narrow" w:cs="Arial"/>
          <w:b/>
          <w:sz w:val="24"/>
          <w:szCs w:val="24"/>
        </w:rPr>
      </w:pPr>
      <w:r w:rsidRPr="009909C9">
        <w:rPr>
          <w:rFonts w:ascii="Arial Narrow" w:hAnsi="Arial Narrow" w:cs="Arial"/>
          <w:b/>
          <w:sz w:val="24"/>
          <w:szCs w:val="24"/>
        </w:rPr>
        <w:t xml:space="preserve">b) </w:t>
      </w:r>
      <w:r>
        <w:rPr>
          <w:rFonts w:ascii="Arial Narrow" w:hAnsi="Arial Narrow" w:cs="Arial"/>
          <w:b/>
          <w:sz w:val="24"/>
          <w:szCs w:val="24"/>
        </w:rPr>
        <w:t xml:space="preserve">El Área </w:t>
      </w:r>
      <w:r w:rsidRPr="009909C9">
        <w:rPr>
          <w:rFonts w:ascii="Arial Narrow" w:hAnsi="Arial Narrow" w:cs="Arial"/>
          <w:b/>
          <w:sz w:val="24"/>
          <w:szCs w:val="24"/>
        </w:rPr>
        <w:t xml:space="preserve">de Investigación, Desarrollo e Innovación Tecnológica. </w:t>
      </w:r>
    </w:p>
    <w:p w14:paraId="5CB8D6AF" w14:textId="77777777" w:rsidR="00615A1B" w:rsidRPr="009909C9" w:rsidRDefault="00615A1B" w:rsidP="00615A1B">
      <w:pPr>
        <w:jc w:val="both"/>
        <w:rPr>
          <w:rFonts w:ascii="Arial Narrow" w:hAnsi="Arial Narrow" w:cs="Arial"/>
          <w:sz w:val="24"/>
          <w:szCs w:val="24"/>
        </w:rPr>
      </w:pPr>
    </w:p>
    <w:p w14:paraId="3A10D0F7"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En lo relativo a las actuaciones de la parte de Investigación y Desarrollo Tecnológico, las estrategias principales se centran en liderar y participar en proyectos de I+D+i, de máxima excelencia y carácter estratégico, en los campos de las energías renovables, el agua, el análisis ambiental, la biotecnología, la ingeniería mecánica y biomédica, la promoción del software libre, la administración electrónica y las tecnologías de la información y las comunicaciones, cooperando con otros organismos y empresas y transfiriendo tecnología propia al tejido productivo. Otro objetivo estratégico de esta área es prestar apoyo técnico al Gobierno de Canarias en la elaboración de planes</w:t>
      </w:r>
      <w:r>
        <w:rPr>
          <w:rFonts w:ascii="Arial Narrow" w:hAnsi="Arial Narrow" w:cs="Arial"/>
          <w:sz w:val="24"/>
          <w:szCs w:val="24"/>
        </w:rPr>
        <w:t>,</w:t>
      </w:r>
      <w:r w:rsidRPr="009909C9">
        <w:rPr>
          <w:rFonts w:ascii="Arial Narrow" w:hAnsi="Arial Narrow" w:cs="Arial"/>
          <w:sz w:val="24"/>
          <w:szCs w:val="24"/>
        </w:rPr>
        <w:t xml:space="preserve"> programas </w:t>
      </w:r>
      <w:r>
        <w:rPr>
          <w:rFonts w:ascii="Arial Narrow" w:hAnsi="Arial Narrow" w:cs="Arial"/>
          <w:sz w:val="24"/>
          <w:szCs w:val="24"/>
        </w:rPr>
        <w:t xml:space="preserve">y estrategias relacionados con dichos Departamentos, </w:t>
      </w:r>
      <w:r w:rsidRPr="009909C9">
        <w:rPr>
          <w:rFonts w:ascii="Arial Narrow" w:hAnsi="Arial Narrow" w:cs="Arial"/>
          <w:sz w:val="24"/>
          <w:szCs w:val="24"/>
        </w:rPr>
        <w:t xml:space="preserve">, </w:t>
      </w:r>
      <w:r>
        <w:rPr>
          <w:rFonts w:ascii="Arial Narrow" w:hAnsi="Arial Narrow" w:cs="Arial"/>
          <w:sz w:val="24"/>
          <w:szCs w:val="24"/>
        </w:rPr>
        <w:t>prestando servicios en</w:t>
      </w:r>
      <w:r w:rsidRPr="009909C9">
        <w:rPr>
          <w:rFonts w:ascii="Arial Narrow" w:hAnsi="Arial Narrow" w:cs="Arial"/>
          <w:sz w:val="24"/>
          <w:szCs w:val="24"/>
        </w:rPr>
        <w:t xml:space="preserve"> diferentes campos</w:t>
      </w:r>
      <w:r>
        <w:rPr>
          <w:rFonts w:ascii="Arial Narrow" w:hAnsi="Arial Narrow" w:cs="Arial"/>
          <w:sz w:val="24"/>
          <w:szCs w:val="24"/>
        </w:rPr>
        <w:t>,</w:t>
      </w:r>
      <w:r w:rsidRPr="009909C9">
        <w:rPr>
          <w:rFonts w:ascii="Arial Narrow" w:hAnsi="Arial Narrow" w:cs="Arial"/>
          <w:sz w:val="24"/>
          <w:szCs w:val="24"/>
        </w:rPr>
        <w:t xml:space="preserve"> </w:t>
      </w:r>
      <w:r>
        <w:rPr>
          <w:rFonts w:ascii="Arial Narrow" w:hAnsi="Arial Narrow" w:cs="Arial"/>
          <w:sz w:val="24"/>
          <w:szCs w:val="24"/>
        </w:rPr>
        <w:t xml:space="preserve">como </w:t>
      </w:r>
      <w:r w:rsidRPr="009909C9">
        <w:rPr>
          <w:rFonts w:ascii="Arial Narrow" w:hAnsi="Arial Narrow" w:cs="Arial"/>
          <w:sz w:val="24"/>
          <w:szCs w:val="24"/>
        </w:rPr>
        <w:t xml:space="preserve">en </w:t>
      </w:r>
      <w:r>
        <w:rPr>
          <w:rFonts w:ascii="Arial Narrow" w:hAnsi="Arial Narrow" w:cs="Arial"/>
          <w:sz w:val="24"/>
          <w:szCs w:val="24"/>
        </w:rPr>
        <w:t xml:space="preserve">materia de administración electrónica, en </w:t>
      </w:r>
      <w:r w:rsidRPr="009909C9">
        <w:rPr>
          <w:rFonts w:ascii="Arial Narrow" w:hAnsi="Arial Narrow" w:cs="Arial"/>
          <w:sz w:val="24"/>
          <w:szCs w:val="24"/>
        </w:rPr>
        <w:t>el sector de la metrología y  la monitorización de la contaminación medioambiental de origen agroindustrial</w:t>
      </w:r>
      <w:r>
        <w:rPr>
          <w:rFonts w:ascii="Arial Narrow" w:hAnsi="Arial Narrow" w:cs="Arial"/>
          <w:sz w:val="24"/>
          <w:szCs w:val="24"/>
        </w:rPr>
        <w:t>, y actuando como entidad colaboradora en la gestión de determinadas convocatorias públicas de subvenciones</w:t>
      </w:r>
      <w:r w:rsidRPr="009909C9">
        <w:rPr>
          <w:rFonts w:ascii="Arial Narrow" w:hAnsi="Arial Narrow" w:cs="Arial"/>
          <w:sz w:val="24"/>
          <w:szCs w:val="24"/>
        </w:rPr>
        <w:t xml:space="preserve">. </w:t>
      </w:r>
    </w:p>
    <w:p w14:paraId="322D61F5" w14:textId="77777777" w:rsidR="00615A1B" w:rsidRPr="009909C9" w:rsidRDefault="00615A1B" w:rsidP="00615A1B">
      <w:pPr>
        <w:jc w:val="both"/>
        <w:rPr>
          <w:rFonts w:ascii="Arial Narrow" w:hAnsi="Arial Narrow" w:cs="Arial"/>
          <w:sz w:val="24"/>
          <w:szCs w:val="24"/>
        </w:rPr>
      </w:pPr>
    </w:p>
    <w:p w14:paraId="1213BFC2"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 xml:space="preserve">Por lo que respecta a las actuaciones del parte de Innovación Tecnológica se enfocan al desarrollo de la "nueva economía", evaluando la aportación de soluciones a los retos que se están planteando a las regiones insulares, dado su retraso en términos del desarrollo tecnológico, innovación e indicadores de I+D. Esta </w:t>
      </w:r>
      <w:r>
        <w:rPr>
          <w:rFonts w:ascii="Arial Narrow" w:hAnsi="Arial Narrow" w:cs="Arial"/>
          <w:sz w:val="24"/>
          <w:szCs w:val="24"/>
        </w:rPr>
        <w:t>Área</w:t>
      </w:r>
      <w:r w:rsidRPr="009909C9">
        <w:rPr>
          <w:rFonts w:ascii="Arial Narrow" w:hAnsi="Arial Narrow" w:cs="Arial"/>
          <w:sz w:val="24"/>
          <w:szCs w:val="24"/>
        </w:rPr>
        <w:t xml:space="preserve">, por tanto, centra su actividad, fundamentalmente, en el desarrollo de proyectos que ayuden a incrementar la competitividad de las empresas canarias a través de la innovación; promover la transferencia de tecnología hacia las pequeñas y medianas empresas, así como impulsar la creación de nuevas empresas de base tecnológica en el Archipiélago canario. Todas las actuaciones que lleva a cabo </w:t>
      </w:r>
      <w:r>
        <w:rPr>
          <w:rFonts w:ascii="Arial Narrow" w:hAnsi="Arial Narrow" w:cs="Arial"/>
          <w:sz w:val="24"/>
          <w:szCs w:val="24"/>
        </w:rPr>
        <w:t>el Área</w:t>
      </w:r>
      <w:r w:rsidRPr="009909C9">
        <w:rPr>
          <w:rFonts w:ascii="Arial Narrow" w:hAnsi="Arial Narrow" w:cs="Arial"/>
          <w:sz w:val="24"/>
          <w:szCs w:val="24"/>
        </w:rPr>
        <w:t xml:space="preserve"> de Innovación Tecnológica en el campo de la innovación, transferencia de tecnología, apoyo y asesoramiento a las empresas, impulso al emprendimiento, etc. se desarrollan a través de sus departamentos. Ha seguido prestando apoyo técnico y administrativo a las actuaciones que la Agencia Canaria de Investigación, Innovación y Sociedad de la Información (ACIISI) ha encomendado al ITC en materia de innovación.</w:t>
      </w:r>
    </w:p>
    <w:p w14:paraId="1AB04175" w14:textId="77777777" w:rsidR="00615A1B" w:rsidRPr="009909C9" w:rsidRDefault="00615A1B" w:rsidP="00615A1B">
      <w:pPr>
        <w:jc w:val="both"/>
        <w:rPr>
          <w:rFonts w:ascii="Arial Narrow" w:hAnsi="Arial Narrow" w:cs="Arial"/>
          <w:sz w:val="24"/>
          <w:szCs w:val="24"/>
        </w:rPr>
      </w:pPr>
    </w:p>
    <w:p w14:paraId="76CBE005" w14:textId="77777777" w:rsidR="00615A1B" w:rsidRPr="00B675CB" w:rsidRDefault="00615A1B" w:rsidP="00615A1B">
      <w:pPr>
        <w:jc w:val="both"/>
        <w:rPr>
          <w:rFonts w:ascii="Arial Narrow" w:hAnsi="Arial Narrow" w:cs="Arial"/>
          <w:sz w:val="24"/>
          <w:szCs w:val="24"/>
        </w:rPr>
      </w:pPr>
      <w:r w:rsidRPr="009909C9">
        <w:rPr>
          <w:rFonts w:ascii="Arial Narrow" w:hAnsi="Arial Narrow" w:cs="Arial"/>
          <w:b/>
          <w:sz w:val="24"/>
          <w:szCs w:val="24"/>
        </w:rPr>
        <w:t xml:space="preserve">El Departamento de Energías Renovables </w:t>
      </w:r>
      <w:r>
        <w:rPr>
          <w:rFonts w:ascii="Arial Narrow" w:hAnsi="Arial Narrow" w:cs="Arial"/>
          <w:sz w:val="24"/>
          <w:szCs w:val="24"/>
        </w:rPr>
        <w:t>tiene, entre otras funciones, el apoyar</w:t>
      </w:r>
      <w:r w:rsidRPr="00B675CB">
        <w:rPr>
          <w:rFonts w:ascii="Arial Narrow" w:hAnsi="Arial Narrow" w:cs="Arial"/>
          <w:sz w:val="24"/>
          <w:szCs w:val="24"/>
        </w:rPr>
        <w:t xml:space="preserve"> al Gobierno Autónomo en la definición e implementación de políticas encaminadas a la descarbonización de la economía canaria, promoción de actividades de I+D que refuercen el conocimiento en EERR, y apoyar la creación de tejido industrial y empleo en el sector de las energías renovables</w:t>
      </w:r>
    </w:p>
    <w:p w14:paraId="065E1AB4" w14:textId="77777777" w:rsidR="00615A1B" w:rsidRDefault="00615A1B" w:rsidP="00615A1B">
      <w:pPr>
        <w:jc w:val="both"/>
        <w:rPr>
          <w:rFonts w:ascii="Arial Narrow" w:hAnsi="Arial Narrow" w:cs="Arial"/>
          <w:sz w:val="24"/>
          <w:szCs w:val="24"/>
        </w:rPr>
      </w:pPr>
    </w:p>
    <w:p w14:paraId="63331AAB"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En este sentido se disponen de </w:t>
      </w:r>
      <w:r w:rsidRPr="009909C9">
        <w:rPr>
          <w:rFonts w:ascii="Arial Narrow" w:hAnsi="Arial Narrow" w:cs="Arial"/>
          <w:sz w:val="24"/>
          <w:szCs w:val="24"/>
        </w:rPr>
        <w:t xml:space="preserve"> infraestructuras de laboratorios </w:t>
      </w:r>
      <w:r>
        <w:rPr>
          <w:rFonts w:ascii="Arial Narrow" w:hAnsi="Arial Narrow" w:cs="Arial"/>
          <w:sz w:val="24"/>
          <w:szCs w:val="24"/>
        </w:rPr>
        <w:t xml:space="preserve">en nuestras instalaciones de Pozo Izquierdo </w:t>
      </w:r>
      <w:r w:rsidRPr="009909C9">
        <w:rPr>
          <w:rFonts w:ascii="Arial Narrow" w:hAnsi="Arial Narrow" w:cs="Arial"/>
          <w:sz w:val="24"/>
          <w:szCs w:val="24"/>
        </w:rPr>
        <w:t xml:space="preserve">para el desarrollo y optimización de sistemas de energías renovables, componentes y aplicaciones, que permitan poner en valor las extraordinarias condiciones climáticas de </w:t>
      </w:r>
      <w:r>
        <w:rPr>
          <w:rFonts w:ascii="Arial Narrow" w:hAnsi="Arial Narrow" w:cs="Arial"/>
          <w:sz w:val="24"/>
          <w:szCs w:val="24"/>
        </w:rPr>
        <w:t>Canarias</w:t>
      </w:r>
      <w:r w:rsidRPr="009909C9">
        <w:rPr>
          <w:rFonts w:ascii="Arial Narrow" w:hAnsi="Arial Narrow" w:cs="Arial"/>
          <w:sz w:val="24"/>
          <w:szCs w:val="24"/>
        </w:rPr>
        <w:t xml:space="preserve">, especialmente las eólicas y solares. </w:t>
      </w:r>
    </w:p>
    <w:p w14:paraId="3A930390" w14:textId="77777777" w:rsidR="00615A1B" w:rsidRDefault="00615A1B" w:rsidP="00615A1B">
      <w:pPr>
        <w:jc w:val="both"/>
        <w:rPr>
          <w:rFonts w:ascii="Arial Narrow" w:hAnsi="Arial Narrow" w:cs="Arial"/>
          <w:sz w:val="24"/>
          <w:szCs w:val="24"/>
        </w:rPr>
      </w:pPr>
    </w:p>
    <w:p w14:paraId="34FC854D" w14:textId="77777777" w:rsidR="00615A1B" w:rsidRDefault="00615A1B" w:rsidP="00615A1B">
      <w:pPr>
        <w:jc w:val="both"/>
        <w:rPr>
          <w:rFonts w:ascii="Arial Narrow" w:hAnsi="Arial Narrow" w:cs="Arial"/>
          <w:sz w:val="24"/>
          <w:szCs w:val="24"/>
        </w:rPr>
      </w:pPr>
      <w:r>
        <w:rPr>
          <w:rFonts w:ascii="Arial Narrow" w:hAnsi="Arial Narrow" w:cs="Arial"/>
          <w:sz w:val="24"/>
          <w:szCs w:val="24"/>
        </w:rPr>
        <w:t>L</w:t>
      </w:r>
      <w:r w:rsidRPr="0010581F">
        <w:rPr>
          <w:rFonts w:ascii="Arial Narrow" w:hAnsi="Arial Narrow" w:cs="Arial"/>
          <w:sz w:val="24"/>
          <w:szCs w:val="24"/>
        </w:rPr>
        <w:t xml:space="preserve">a actividad investigadora </w:t>
      </w:r>
      <w:r>
        <w:rPr>
          <w:rFonts w:ascii="Arial Narrow" w:hAnsi="Arial Narrow" w:cs="Arial"/>
          <w:sz w:val="24"/>
          <w:szCs w:val="24"/>
        </w:rPr>
        <w:t xml:space="preserve">del Departamento se centra </w:t>
      </w:r>
      <w:r w:rsidRPr="0010581F">
        <w:rPr>
          <w:rFonts w:ascii="Arial Narrow" w:hAnsi="Arial Narrow" w:cs="Arial"/>
          <w:sz w:val="24"/>
          <w:szCs w:val="24"/>
        </w:rPr>
        <w:t xml:space="preserve">en las </w:t>
      </w:r>
      <w:r>
        <w:rPr>
          <w:rFonts w:ascii="Arial Narrow" w:hAnsi="Arial Narrow" w:cs="Arial"/>
          <w:sz w:val="24"/>
          <w:szCs w:val="24"/>
        </w:rPr>
        <w:t xml:space="preserve">siguientes </w:t>
      </w:r>
      <w:r w:rsidRPr="0010581F">
        <w:rPr>
          <w:rFonts w:ascii="Arial Narrow" w:hAnsi="Arial Narrow" w:cs="Arial"/>
          <w:sz w:val="24"/>
          <w:szCs w:val="24"/>
        </w:rPr>
        <w:t xml:space="preserve">líneas estratégicas : Desarrollo y optimización de sistemas de energías renovables; Sistemas de almacenamiento energético; </w:t>
      </w:r>
      <w:r>
        <w:rPr>
          <w:rFonts w:ascii="Arial Narrow" w:hAnsi="Arial Narrow" w:cs="Arial"/>
          <w:sz w:val="24"/>
          <w:szCs w:val="24"/>
        </w:rPr>
        <w:t>E</w:t>
      </w:r>
      <w:r w:rsidRPr="0010581F">
        <w:rPr>
          <w:rFonts w:ascii="Arial Narrow" w:hAnsi="Arial Narrow" w:cs="Arial"/>
          <w:sz w:val="24"/>
          <w:szCs w:val="24"/>
        </w:rPr>
        <w:t>studios de redes eléctricas; Gestión de Demanda (</w:t>
      </w:r>
      <w:proofErr w:type="spellStart"/>
      <w:r w:rsidRPr="0010581F">
        <w:rPr>
          <w:rFonts w:ascii="Arial Narrow" w:hAnsi="Arial Narrow" w:cs="Arial"/>
          <w:sz w:val="24"/>
          <w:szCs w:val="24"/>
        </w:rPr>
        <w:t>Demand</w:t>
      </w:r>
      <w:proofErr w:type="spellEnd"/>
      <w:r w:rsidRPr="0010581F">
        <w:rPr>
          <w:rFonts w:ascii="Arial Narrow" w:hAnsi="Arial Narrow" w:cs="Arial"/>
          <w:sz w:val="24"/>
          <w:szCs w:val="24"/>
        </w:rPr>
        <w:t xml:space="preserve"> </w:t>
      </w:r>
      <w:proofErr w:type="spellStart"/>
      <w:r w:rsidRPr="0010581F">
        <w:rPr>
          <w:rFonts w:ascii="Arial Narrow" w:hAnsi="Arial Narrow" w:cs="Arial"/>
          <w:sz w:val="24"/>
          <w:szCs w:val="24"/>
        </w:rPr>
        <w:t>Side</w:t>
      </w:r>
      <w:proofErr w:type="spellEnd"/>
      <w:r w:rsidRPr="0010581F">
        <w:rPr>
          <w:rFonts w:ascii="Arial Narrow" w:hAnsi="Arial Narrow" w:cs="Arial"/>
          <w:sz w:val="24"/>
          <w:szCs w:val="24"/>
        </w:rPr>
        <w:t xml:space="preserve"> Management/</w:t>
      </w:r>
      <w:proofErr w:type="spellStart"/>
      <w:r w:rsidRPr="0010581F">
        <w:rPr>
          <w:rFonts w:ascii="Arial Narrow" w:hAnsi="Arial Narrow" w:cs="Arial"/>
          <w:sz w:val="24"/>
          <w:szCs w:val="24"/>
        </w:rPr>
        <w:t>Demand</w:t>
      </w:r>
      <w:proofErr w:type="spellEnd"/>
      <w:r w:rsidRPr="0010581F">
        <w:rPr>
          <w:rFonts w:ascii="Arial Narrow" w:hAnsi="Arial Narrow" w:cs="Arial"/>
          <w:sz w:val="24"/>
          <w:szCs w:val="24"/>
        </w:rPr>
        <w:t xml:space="preserve"> Response); Generación distribuida; Predicción eólica, solar y demanda eléctrica; Caracterización y optimización de recursos energéticos renovables; Economía energética (Blue </w:t>
      </w:r>
      <w:proofErr w:type="spellStart"/>
      <w:r w:rsidRPr="0010581F">
        <w:rPr>
          <w:rFonts w:ascii="Arial Narrow" w:hAnsi="Arial Narrow" w:cs="Arial"/>
          <w:sz w:val="24"/>
          <w:szCs w:val="24"/>
        </w:rPr>
        <w:t>Economy</w:t>
      </w:r>
      <w:proofErr w:type="spellEnd"/>
      <w:r w:rsidRPr="0010581F">
        <w:rPr>
          <w:rFonts w:ascii="Arial Narrow" w:hAnsi="Arial Narrow" w:cs="Arial"/>
          <w:sz w:val="24"/>
          <w:szCs w:val="24"/>
        </w:rPr>
        <w:t xml:space="preserve">; Green </w:t>
      </w:r>
      <w:proofErr w:type="spellStart"/>
      <w:r w:rsidRPr="0010581F">
        <w:rPr>
          <w:rFonts w:ascii="Arial Narrow" w:hAnsi="Arial Narrow" w:cs="Arial"/>
          <w:sz w:val="24"/>
          <w:szCs w:val="24"/>
        </w:rPr>
        <w:t>Economy</w:t>
      </w:r>
      <w:proofErr w:type="spellEnd"/>
      <w:r w:rsidRPr="0010581F">
        <w:rPr>
          <w:rFonts w:ascii="Arial Narrow" w:hAnsi="Arial Narrow" w:cs="Arial"/>
          <w:sz w:val="24"/>
          <w:szCs w:val="24"/>
        </w:rPr>
        <w:t xml:space="preserve">; </w:t>
      </w:r>
      <w:proofErr w:type="spellStart"/>
      <w:r w:rsidRPr="0010581F">
        <w:rPr>
          <w:rFonts w:ascii="Arial Narrow" w:hAnsi="Arial Narrow" w:cs="Arial"/>
          <w:sz w:val="24"/>
          <w:szCs w:val="24"/>
        </w:rPr>
        <w:t>Low</w:t>
      </w:r>
      <w:proofErr w:type="spellEnd"/>
      <w:r w:rsidRPr="0010581F">
        <w:rPr>
          <w:rFonts w:ascii="Arial Narrow" w:hAnsi="Arial Narrow" w:cs="Arial"/>
          <w:sz w:val="24"/>
          <w:szCs w:val="24"/>
        </w:rPr>
        <w:t xml:space="preserve"> </w:t>
      </w:r>
      <w:proofErr w:type="spellStart"/>
      <w:r w:rsidRPr="0010581F">
        <w:rPr>
          <w:rFonts w:ascii="Arial Narrow" w:hAnsi="Arial Narrow" w:cs="Arial"/>
          <w:sz w:val="24"/>
          <w:szCs w:val="24"/>
        </w:rPr>
        <w:t>Carbon</w:t>
      </w:r>
      <w:proofErr w:type="spellEnd"/>
      <w:r w:rsidRPr="0010581F">
        <w:rPr>
          <w:rFonts w:ascii="Arial Narrow" w:hAnsi="Arial Narrow" w:cs="Arial"/>
          <w:sz w:val="24"/>
          <w:szCs w:val="24"/>
        </w:rPr>
        <w:t xml:space="preserve"> </w:t>
      </w:r>
      <w:proofErr w:type="spellStart"/>
      <w:r w:rsidRPr="0010581F">
        <w:rPr>
          <w:rFonts w:ascii="Arial Narrow" w:hAnsi="Arial Narrow" w:cs="Arial"/>
          <w:sz w:val="24"/>
          <w:szCs w:val="24"/>
        </w:rPr>
        <w:t>Economy</w:t>
      </w:r>
      <w:proofErr w:type="spellEnd"/>
      <w:r w:rsidRPr="0010581F">
        <w:rPr>
          <w:rFonts w:ascii="Arial Narrow" w:hAnsi="Arial Narrow" w:cs="Arial"/>
          <w:sz w:val="24"/>
          <w:szCs w:val="24"/>
        </w:rPr>
        <w:t xml:space="preserve">; Circular </w:t>
      </w:r>
      <w:proofErr w:type="spellStart"/>
      <w:r w:rsidRPr="0010581F">
        <w:rPr>
          <w:rFonts w:ascii="Arial Narrow" w:hAnsi="Arial Narrow" w:cs="Arial"/>
          <w:sz w:val="24"/>
          <w:szCs w:val="24"/>
        </w:rPr>
        <w:t>Economy</w:t>
      </w:r>
      <w:proofErr w:type="spellEnd"/>
      <w:r w:rsidRPr="0010581F">
        <w:rPr>
          <w:rFonts w:ascii="Arial Narrow" w:hAnsi="Arial Narrow" w:cs="Arial"/>
          <w:sz w:val="24"/>
          <w:szCs w:val="24"/>
        </w:rPr>
        <w:t>; Estudios de viabilidad técnica-económica de proyectos de EERR y Planificación energética); Energía solar térmica en climatización, producción de ACS y solarización de procesos industriales; Ahorro y eficiencia energética; Arquitectura bioclimática; Valorización energética de residuos; Movilidad sostenible; Desarrollo de componentes de electrónica de potencia.</w:t>
      </w:r>
    </w:p>
    <w:p w14:paraId="5692BA95" w14:textId="77777777" w:rsidR="00615A1B" w:rsidRDefault="00615A1B" w:rsidP="00615A1B">
      <w:pPr>
        <w:jc w:val="both"/>
        <w:rPr>
          <w:rFonts w:ascii="Arial Narrow" w:hAnsi="Arial Narrow" w:cs="Arial"/>
          <w:sz w:val="24"/>
          <w:szCs w:val="24"/>
        </w:rPr>
      </w:pPr>
    </w:p>
    <w:p w14:paraId="560CB746" w14:textId="77777777" w:rsidR="00615A1B" w:rsidRPr="009909C9" w:rsidRDefault="00615A1B" w:rsidP="00615A1B">
      <w:pPr>
        <w:jc w:val="both"/>
        <w:rPr>
          <w:rFonts w:ascii="Arial Narrow" w:hAnsi="Arial Narrow" w:cs="Arial"/>
          <w:sz w:val="24"/>
          <w:szCs w:val="24"/>
        </w:rPr>
      </w:pPr>
      <w:r>
        <w:rPr>
          <w:rFonts w:ascii="Arial Narrow" w:hAnsi="Arial Narrow" w:cs="Arial"/>
          <w:sz w:val="24"/>
          <w:szCs w:val="24"/>
        </w:rPr>
        <w:t xml:space="preserve">Asimismo presta </w:t>
      </w:r>
      <w:r w:rsidRPr="009909C9">
        <w:rPr>
          <w:rFonts w:ascii="Arial Narrow" w:hAnsi="Arial Narrow" w:cs="Arial"/>
          <w:sz w:val="24"/>
          <w:szCs w:val="24"/>
        </w:rPr>
        <w:t>apoy</w:t>
      </w:r>
      <w:r>
        <w:rPr>
          <w:rFonts w:ascii="Arial Narrow" w:hAnsi="Arial Narrow" w:cs="Arial"/>
          <w:sz w:val="24"/>
          <w:szCs w:val="24"/>
        </w:rPr>
        <w:t>o</w:t>
      </w:r>
      <w:r w:rsidRPr="009909C9">
        <w:rPr>
          <w:rFonts w:ascii="Arial Narrow" w:hAnsi="Arial Narrow" w:cs="Arial"/>
          <w:sz w:val="24"/>
          <w:szCs w:val="24"/>
        </w:rPr>
        <w:t xml:space="preserve"> a distintas instituciones públicas canarias, sobre todo al Gobierno de Canarias, en materia de planificación energética, y a los Cabildos y Mancomunidades de Municipios </w:t>
      </w:r>
      <w:r>
        <w:rPr>
          <w:rFonts w:ascii="Arial Narrow" w:hAnsi="Arial Narrow" w:cs="Arial"/>
          <w:sz w:val="24"/>
          <w:szCs w:val="24"/>
        </w:rPr>
        <w:t xml:space="preserve">participando y liderando tecnológicamente proyectos demostrativos de cómo maximizar la penetración de energías renovable en dicha islas o territorios, y colaborando </w:t>
      </w:r>
      <w:r w:rsidRPr="009909C9">
        <w:rPr>
          <w:rFonts w:ascii="Arial Narrow" w:hAnsi="Arial Narrow" w:cs="Arial"/>
          <w:sz w:val="24"/>
          <w:szCs w:val="24"/>
        </w:rPr>
        <w:t>en actividades de promoción de las renovables</w:t>
      </w:r>
      <w:r>
        <w:rPr>
          <w:rFonts w:ascii="Arial Narrow" w:hAnsi="Arial Narrow" w:cs="Arial"/>
          <w:sz w:val="24"/>
          <w:szCs w:val="24"/>
        </w:rPr>
        <w:t xml:space="preserve"> y eficiencia energética</w:t>
      </w:r>
      <w:r w:rsidRPr="009909C9">
        <w:rPr>
          <w:rFonts w:ascii="Arial Narrow" w:hAnsi="Arial Narrow" w:cs="Arial"/>
          <w:sz w:val="24"/>
          <w:szCs w:val="24"/>
        </w:rPr>
        <w:t xml:space="preserve"> en </w:t>
      </w:r>
      <w:r>
        <w:rPr>
          <w:rFonts w:ascii="Arial Narrow" w:hAnsi="Arial Narrow" w:cs="Arial"/>
          <w:sz w:val="24"/>
          <w:szCs w:val="24"/>
        </w:rPr>
        <w:t>l</w:t>
      </w:r>
      <w:r w:rsidRPr="009909C9">
        <w:rPr>
          <w:rFonts w:ascii="Arial Narrow" w:hAnsi="Arial Narrow" w:cs="Arial"/>
          <w:sz w:val="24"/>
          <w:szCs w:val="24"/>
        </w:rPr>
        <w:t xml:space="preserve">as </w:t>
      </w:r>
      <w:r>
        <w:rPr>
          <w:rFonts w:ascii="Arial Narrow" w:hAnsi="Arial Narrow" w:cs="Arial"/>
          <w:sz w:val="24"/>
          <w:szCs w:val="24"/>
        </w:rPr>
        <w:t>i</w:t>
      </w:r>
      <w:r w:rsidRPr="009909C9">
        <w:rPr>
          <w:rFonts w:ascii="Arial Narrow" w:hAnsi="Arial Narrow" w:cs="Arial"/>
          <w:sz w:val="24"/>
          <w:szCs w:val="24"/>
        </w:rPr>
        <w:t xml:space="preserve">slas </w:t>
      </w:r>
    </w:p>
    <w:p w14:paraId="40DFEDC5" w14:textId="77777777" w:rsidR="00615A1B" w:rsidRPr="009909C9" w:rsidRDefault="00615A1B" w:rsidP="00615A1B">
      <w:pPr>
        <w:jc w:val="both"/>
        <w:rPr>
          <w:rFonts w:ascii="Arial Narrow" w:hAnsi="Arial Narrow" w:cs="Arial"/>
          <w:sz w:val="24"/>
          <w:szCs w:val="24"/>
        </w:rPr>
      </w:pPr>
    </w:p>
    <w:p w14:paraId="69B16346" w14:textId="77777777" w:rsidR="00615A1B" w:rsidRPr="009909C9" w:rsidRDefault="00615A1B" w:rsidP="00C60DD6">
      <w:pPr>
        <w:keepNext/>
        <w:keepLines/>
        <w:jc w:val="both"/>
        <w:rPr>
          <w:rFonts w:ascii="Arial Narrow" w:hAnsi="Arial Narrow" w:cs="Arial"/>
          <w:sz w:val="24"/>
          <w:szCs w:val="24"/>
        </w:rPr>
      </w:pPr>
      <w:r w:rsidRPr="009909C9">
        <w:rPr>
          <w:rFonts w:ascii="Arial Narrow" w:hAnsi="Arial Narrow" w:cs="Arial"/>
          <w:b/>
          <w:sz w:val="24"/>
          <w:szCs w:val="24"/>
        </w:rPr>
        <w:t>El Departamento de Agua</w:t>
      </w:r>
      <w:r>
        <w:rPr>
          <w:rFonts w:ascii="Arial Narrow" w:hAnsi="Arial Narrow" w:cs="Arial"/>
          <w:b/>
          <w:sz w:val="24"/>
          <w:szCs w:val="24"/>
        </w:rPr>
        <w:t xml:space="preserve"> </w:t>
      </w:r>
      <w:r>
        <w:rPr>
          <w:rFonts w:ascii="Arial Narrow" w:hAnsi="Arial Narrow" w:cs="Arial"/>
          <w:sz w:val="24"/>
          <w:szCs w:val="24"/>
        </w:rPr>
        <w:t>trabaja de forma transversal dentro de varias estrategias de interés para Canarias (economía circular</w:t>
      </w:r>
      <w:r w:rsidRPr="009909C9">
        <w:rPr>
          <w:rFonts w:ascii="Arial Narrow" w:hAnsi="Arial Narrow" w:cs="Arial"/>
          <w:sz w:val="24"/>
          <w:szCs w:val="24"/>
        </w:rPr>
        <w:t xml:space="preserve">, </w:t>
      </w:r>
      <w:r>
        <w:rPr>
          <w:rFonts w:ascii="Arial Narrow" w:hAnsi="Arial Narrow" w:cs="Arial"/>
          <w:sz w:val="24"/>
          <w:szCs w:val="24"/>
        </w:rPr>
        <w:t>adaptación al cambio climático</w:t>
      </w:r>
      <w:r w:rsidRPr="004366BA">
        <w:rPr>
          <w:rFonts w:ascii="Arial Narrow" w:hAnsi="Arial Narrow" w:cs="Arial"/>
          <w:sz w:val="24"/>
          <w:szCs w:val="24"/>
        </w:rPr>
        <w:t xml:space="preserve"> </w:t>
      </w:r>
      <w:r>
        <w:rPr>
          <w:rFonts w:ascii="Arial Narrow" w:hAnsi="Arial Narrow" w:cs="Arial"/>
          <w:sz w:val="24"/>
          <w:szCs w:val="24"/>
        </w:rPr>
        <w:t>en el sector del agua,</w:t>
      </w:r>
      <w:r w:rsidRPr="009909C9">
        <w:rPr>
          <w:rFonts w:ascii="Arial Narrow" w:hAnsi="Arial Narrow" w:cs="Arial"/>
          <w:sz w:val="24"/>
          <w:szCs w:val="24"/>
        </w:rPr>
        <w:t xml:space="preserve"> </w:t>
      </w:r>
      <w:r>
        <w:rPr>
          <w:rFonts w:ascii="Arial Narrow" w:hAnsi="Arial Narrow" w:cs="Arial"/>
          <w:sz w:val="24"/>
          <w:szCs w:val="24"/>
        </w:rPr>
        <w:t xml:space="preserve">economía azul), fomentando con sus resultados la continua búsqueda de la sostenibilidad del ciclo industrial y uso del agua. De forma concreta lidera y participa en proyectos de alto valor añadido dentro de </w:t>
      </w:r>
      <w:r w:rsidRPr="009909C9">
        <w:rPr>
          <w:rFonts w:ascii="Arial Narrow" w:hAnsi="Arial Narrow" w:cs="Arial"/>
          <w:sz w:val="24"/>
          <w:szCs w:val="24"/>
        </w:rPr>
        <w:t>líneas estratégicas donde ha concentrado su mayor conocimiento</w:t>
      </w:r>
      <w:r>
        <w:rPr>
          <w:rFonts w:ascii="Arial Narrow" w:hAnsi="Arial Narrow" w:cs="Arial"/>
          <w:sz w:val="24"/>
          <w:szCs w:val="24"/>
        </w:rPr>
        <w:t xml:space="preserve">: </w:t>
      </w:r>
      <w:r w:rsidRPr="009909C9">
        <w:rPr>
          <w:rFonts w:ascii="Arial Narrow" w:hAnsi="Arial Narrow" w:cs="Arial"/>
          <w:sz w:val="24"/>
          <w:szCs w:val="24"/>
        </w:rPr>
        <w:t>desalación, evaluación y mejora de la calidad de las aguas</w:t>
      </w:r>
      <w:r>
        <w:rPr>
          <w:rFonts w:ascii="Arial Narrow" w:hAnsi="Arial Narrow" w:cs="Arial"/>
          <w:sz w:val="24"/>
          <w:szCs w:val="24"/>
        </w:rPr>
        <w:t>,</w:t>
      </w:r>
      <w:r w:rsidRPr="009909C9">
        <w:rPr>
          <w:rFonts w:ascii="Arial Narrow" w:hAnsi="Arial Narrow" w:cs="Arial"/>
          <w:sz w:val="24"/>
          <w:szCs w:val="24"/>
        </w:rPr>
        <w:t xml:space="preserve"> depuración</w:t>
      </w:r>
      <w:r>
        <w:rPr>
          <w:rFonts w:ascii="Arial Narrow" w:hAnsi="Arial Narrow" w:cs="Arial"/>
          <w:sz w:val="24"/>
          <w:szCs w:val="24"/>
        </w:rPr>
        <w:t xml:space="preserve"> y</w:t>
      </w:r>
      <w:r w:rsidRPr="009909C9">
        <w:rPr>
          <w:rFonts w:ascii="Arial Narrow" w:hAnsi="Arial Narrow" w:cs="Arial"/>
          <w:sz w:val="24"/>
          <w:szCs w:val="24"/>
        </w:rPr>
        <w:t xml:space="preserve"> regeneración</w:t>
      </w:r>
      <w:r>
        <w:rPr>
          <w:rFonts w:ascii="Arial Narrow" w:hAnsi="Arial Narrow" w:cs="Arial"/>
          <w:sz w:val="24"/>
          <w:szCs w:val="24"/>
        </w:rPr>
        <w:t>, capacitación y diseminación</w:t>
      </w:r>
      <w:r w:rsidRPr="009909C9">
        <w:rPr>
          <w:rFonts w:ascii="Arial Narrow" w:hAnsi="Arial Narrow" w:cs="Arial"/>
          <w:sz w:val="24"/>
          <w:szCs w:val="24"/>
        </w:rPr>
        <w:t>. Además, el Departamento ejecuta iniciativas de transferencia de tecnología y conocimiento</w:t>
      </w:r>
      <w:r>
        <w:rPr>
          <w:rFonts w:ascii="Arial Narrow" w:hAnsi="Arial Narrow" w:cs="Arial"/>
          <w:sz w:val="24"/>
          <w:szCs w:val="24"/>
        </w:rPr>
        <w:t>, vigilancia tecnológica</w:t>
      </w:r>
      <w:r w:rsidRPr="009909C9">
        <w:rPr>
          <w:rFonts w:ascii="Arial Narrow" w:hAnsi="Arial Narrow" w:cs="Arial"/>
          <w:sz w:val="24"/>
          <w:szCs w:val="24"/>
        </w:rPr>
        <w:t>, acompañamiento a</w:t>
      </w:r>
      <w:r>
        <w:rPr>
          <w:rFonts w:ascii="Arial Narrow" w:hAnsi="Arial Narrow" w:cs="Arial"/>
          <w:sz w:val="24"/>
          <w:szCs w:val="24"/>
        </w:rPr>
        <w:t xml:space="preserve"> decenas de</w:t>
      </w:r>
      <w:r w:rsidRPr="009909C9">
        <w:rPr>
          <w:rFonts w:ascii="Arial Narrow" w:hAnsi="Arial Narrow" w:cs="Arial"/>
          <w:sz w:val="24"/>
          <w:szCs w:val="24"/>
        </w:rPr>
        <w:t xml:space="preserve"> empresas</w:t>
      </w:r>
      <w:r>
        <w:rPr>
          <w:rFonts w:ascii="Arial Narrow" w:hAnsi="Arial Narrow" w:cs="Arial"/>
          <w:sz w:val="24"/>
          <w:szCs w:val="24"/>
        </w:rPr>
        <w:t xml:space="preserve"> industriales de C</w:t>
      </w:r>
      <w:r w:rsidRPr="009909C9">
        <w:rPr>
          <w:rFonts w:ascii="Arial Narrow" w:hAnsi="Arial Narrow" w:cs="Arial"/>
          <w:sz w:val="24"/>
          <w:szCs w:val="24"/>
        </w:rPr>
        <w:t xml:space="preserve">anarias en tareas especialización tecnológica, internacionalización y </w:t>
      </w:r>
      <w:r>
        <w:rPr>
          <w:rFonts w:ascii="Arial Narrow" w:hAnsi="Arial Narrow" w:cs="Arial"/>
          <w:sz w:val="24"/>
          <w:szCs w:val="24"/>
        </w:rPr>
        <w:t>participación en</w:t>
      </w:r>
      <w:r w:rsidRPr="009909C9">
        <w:rPr>
          <w:rFonts w:ascii="Arial Narrow" w:hAnsi="Arial Narrow" w:cs="Arial"/>
          <w:sz w:val="24"/>
          <w:szCs w:val="24"/>
        </w:rPr>
        <w:t xml:space="preserve"> eventos relacionados con el agua. Se continúa con la prestación de servicios (vía adjudicación directa o licitación internacional) a empresas y agentes de cooperación. Por otra parte se desarrollan, como ente instrumental del Gobierno de Canarias y </w:t>
      </w:r>
      <w:r>
        <w:rPr>
          <w:rFonts w:ascii="Arial Narrow" w:hAnsi="Arial Narrow" w:cs="Arial"/>
          <w:sz w:val="24"/>
          <w:szCs w:val="24"/>
        </w:rPr>
        <w:t>en</w:t>
      </w:r>
      <w:r w:rsidRPr="009909C9">
        <w:rPr>
          <w:rFonts w:ascii="Arial Narrow" w:hAnsi="Arial Narrow" w:cs="Arial"/>
          <w:sz w:val="24"/>
          <w:szCs w:val="24"/>
        </w:rPr>
        <w:t xml:space="preserve"> colaboración con otras Administraciones Públicas canarias, tareas de consultoría</w:t>
      </w:r>
      <w:r>
        <w:rPr>
          <w:rFonts w:ascii="Arial Narrow" w:hAnsi="Arial Narrow" w:cs="Arial"/>
          <w:sz w:val="24"/>
          <w:szCs w:val="24"/>
        </w:rPr>
        <w:t xml:space="preserve"> y apoyo</w:t>
      </w:r>
      <w:r w:rsidRPr="009909C9">
        <w:rPr>
          <w:rFonts w:ascii="Arial Narrow" w:hAnsi="Arial Narrow" w:cs="Arial"/>
          <w:sz w:val="24"/>
          <w:szCs w:val="24"/>
        </w:rPr>
        <w:t xml:space="preserve"> técnic</w:t>
      </w:r>
      <w:r>
        <w:rPr>
          <w:rFonts w:ascii="Arial Narrow" w:hAnsi="Arial Narrow" w:cs="Arial"/>
          <w:sz w:val="24"/>
          <w:szCs w:val="24"/>
        </w:rPr>
        <w:t>o en áreas como vertidos tierra-mar, prospectiva industrial del agua, eficiencia de las redes hidráulicas, emprendimiento en desalación y uso del agua en la biotecnología terrestre.</w:t>
      </w:r>
    </w:p>
    <w:p w14:paraId="553A63EC" w14:textId="77777777" w:rsidR="00615A1B" w:rsidRPr="009909C9" w:rsidRDefault="00615A1B" w:rsidP="00615A1B">
      <w:pPr>
        <w:jc w:val="both"/>
        <w:rPr>
          <w:rFonts w:ascii="Arial Narrow" w:hAnsi="Arial Narrow" w:cs="Arial"/>
          <w:sz w:val="24"/>
          <w:szCs w:val="24"/>
        </w:rPr>
      </w:pPr>
    </w:p>
    <w:p w14:paraId="085D7C74"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b/>
          <w:sz w:val="24"/>
          <w:szCs w:val="24"/>
        </w:rPr>
        <w:t xml:space="preserve">El Departamento de Biotecnología </w:t>
      </w:r>
      <w:r w:rsidRPr="009909C9">
        <w:rPr>
          <w:rFonts w:ascii="Arial Narrow" w:hAnsi="Arial Narrow" w:cs="Arial"/>
          <w:sz w:val="24"/>
          <w:szCs w:val="24"/>
        </w:rPr>
        <w:t>trabaja en su estrategia de generar un nuevo sector industrial en el campo de la biotecnología de algas en Canarias aprovechando las ventajas competitivas de nuestras condiciones naturales, conocimiento y ventajas del RE</w:t>
      </w:r>
      <w:r>
        <w:rPr>
          <w:rFonts w:ascii="Arial Narrow" w:hAnsi="Arial Narrow" w:cs="Arial"/>
          <w:sz w:val="24"/>
          <w:szCs w:val="24"/>
        </w:rPr>
        <w:t>F</w:t>
      </w:r>
      <w:r w:rsidRPr="009909C9">
        <w:rPr>
          <w:rFonts w:ascii="Arial Narrow" w:hAnsi="Arial Narrow" w:cs="Arial"/>
          <w:sz w:val="24"/>
          <w:szCs w:val="24"/>
        </w:rPr>
        <w:t>. En este sentido se está coordinando con otras Administraciones Públicas canarias y con centros de I+D+i en este sector la planificación territorial, de regulación de actividad y medioambiental que permita la implantación de industrias biotecnológicas en Canarias. En dicha planificación</w:t>
      </w:r>
      <w:r>
        <w:rPr>
          <w:rFonts w:ascii="Arial Narrow" w:hAnsi="Arial Narrow" w:cs="Arial"/>
          <w:sz w:val="24"/>
          <w:szCs w:val="24"/>
        </w:rPr>
        <w:t xml:space="preserve"> </w:t>
      </w:r>
      <w:r w:rsidRPr="009909C9">
        <w:rPr>
          <w:rFonts w:ascii="Arial Narrow" w:hAnsi="Arial Narrow" w:cs="Arial"/>
          <w:sz w:val="24"/>
          <w:szCs w:val="24"/>
        </w:rPr>
        <w:t>el papel del ITC se orienta a prestar, de forma integrada y coordinada, servicios y transferir tecnología a empresas, para lo cual se han desarrollado documentos de planificación estratégica que reorientan la actividad y estructura organizativa del ITC para especializarlo en este determinado ámbito, en el que tenía mayor fortaleza y conocimiento, de tal forma que se complemente con las actividades de otros centros de I+D+i y pueda ofrecer unos servicios de mayor calidad.</w:t>
      </w:r>
      <w:r w:rsidRPr="009909C9">
        <w:rPr>
          <w:rFonts w:ascii="Arial Narrow" w:hAnsi="Arial Narrow" w:cs="Arial"/>
          <w:i/>
          <w:sz w:val="24"/>
          <w:szCs w:val="24"/>
        </w:rPr>
        <w:t xml:space="preserve"> </w:t>
      </w:r>
    </w:p>
    <w:p w14:paraId="057C358D" w14:textId="77777777" w:rsidR="00615A1B" w:rsidRPr="009909C9" w:rsidRDefault="00615A1B" w:rsidP="00615A1B">
      <w:pPr>
        <w:jc w:val="both"/>
        <w:rPr>
          <w:rFonts w:ascii="Arial Narrow" w:hAnsi="Arial Narrow" w:cs="Arial"/>
          <w:sz w:val="24"/>
          <w:szCs w:val="24"/>
        </w:rPr>
      </w:pPr>
    </w:p>
    <w:p w14:paraId="091F19AC" w14:textId="77777777" w:rsidR="00615A1B" w:rsidRDefault="00615A1B" w:rsidP="00615A1B">
      <w:pPr>
        <w:jc w:val="both"/>
        <w:rPr>
          <w:rFonts w:ascii="Arial Narrow" w:hAnsi="Arial Narrow"/>
          <w:sz w:val="24"/>
        </w:rPr>
      </w:pPr>
      <w:r w:rsidRPr="00BE0D9A">
        <w:rPr>
          <w:rFonts w:ascii="Arial Narrow" w:hAnsi="Arial Narrow"/>
          <w:sz w:val="24"/>
        </w:rPr>
        <w:t xml:space="preserve">El </w:t>
      </w:r>
      <w:r w:rsidRPr="00BE0D9A">
        <w:rPr>
          <w:rFonts w:ascii="Arial Narrow" w:hAnsi="Arial Narrow"/>
          <w:b/>
          <w:sz w:val="24"/>
        </w:rPr>
        <w:t>Departamento de Análisis Ambiental</w:t>
      </w:r>
      <w:r w:rsidRPr="00BE0D9A">
        <w:rPr>
          <w:rFonts w:ascii="Arial Narrow" w:hAnsi="Arial Narrow"/>
          <w:sz w:val="24"/>
        </w:rPr>
        <w:t xml:space="preserve"> desarrolla su actividad en el ámbito de la Agricultura Sostenible y la Seguridad Alimentaria, con una vocación de prestación de servicios analíticos, de I+D aplicada y </w:t>
      </w:r>
      <w:r>
        <w:rPr>
          <w:rFonts w:ascii="Arial Narrow" w:hAnsi="Arial Narrow"/>
          <w:sz w:val="24"/>
        </w:rPr>
        <w:t xml:space="preserve">de </w:t>
      </w:r>
      <w:r w:rsidRPr="00BE0D9A">
        <w:rPr>
          <w:rFonts w:ascii="Arial Narrow" w:hAnsi="Arial Narrow"/>
          <w:sz w:val="24"/>
        </w:rPr>
        <w:t xml:space="preserve">consultoría, en respuesta a las necesidades y propuestas que recibe desde el Sector Primario y las Administraciones Canarias competentes, con </w:t>
      </w:r>
      <w:r>
        <w:rPr>
          <w:rFonts w:ascii="Arial Narrow" w:hAnsi="Arial Narrow"/>
          <w:sz w:val="24"/>
        </w:rPr>
        <w:t xml:space="preserve">el objetivo de incrementar la </w:t>
      </w:r>
      <w:r w:rsidRPr="00BE0D9A">
        <w:rPr>
          <w:rFonts w:ascii="Arial Narrow" w:hAnsi="Arial Narrow"/>
          <w:sz w:val="24"/>
        </w:rPr>
        <w:t xml:space="preserve"> mejora y competitividad </w:t>
      </w:r>
      <w:r w:rsidRPr="00100B06">
        <w:rPr>
          <w:rFonts w:ascii="Arial Narrow" w:hAnsi="Arial Narrow"/>
          <w:sz w:val="24"/>
        </w:rPr>
        <w:t xml:space="preserve">del Producto Local Canario </w:t>
      </w:r>
      <w:r>
        <w:rPr>
          <w:rFonts w:ascii="Arial Narrow" w:hAnsi="Arial Narrow"/>
          <w:sz w:val="24"/>
        </w:rPr>
        <w:t xml:space="preserve"> así como</w:t>
      </w:r>
      <w:r w:rsidRPr="00BE0D9A">
        <w:rPr>
          <w:rFonts w:ascii="Arial Narrow" w:hAnsi="Arial Narrow"/>
          <w:sz w:val="24"/>
        </w:rPr>
        <w:t xml:space="preserve"> </w:t>
      </w:r>
      <w:r w:rsidRPr="00100B06">
        <w:rPr>
          <w:rFonts w:ascii="Arial Narrow" w:hAnsi="Arial Narrow"/>
          <w:sz w:val="24"/>
        </w:rPr>
        <w:t>e</w:t>
      </w:r>
      <w:r w:rsidRPr="00BE0D9A">
        <w:rPr>
          <w:rFonts w:ascii="Arial Narrow" w:hAnsi="Arial Narrow"/>
          <w:sz w:val="24"/>
        </w:rPr>
        <w:t xml:space="preserve">l bienestar y la salud de los Consumidores de las Islas. </w:t>
      </w:r>
    </w:p>
    <w:p w14:paraId="09289ED9" w14:textId="77777777" w:rsidR="00615A1B" w:rsidRDefault="00615A1B" w:rsidP="00615A1B">
      <w:pPr>
        <w:jc w:val="both"/>
        <w:rPr>
          <w:rFonts w:ascii="Arial Narrow" w:hAnsi="Arial Narrow"/>
          <w:sz w:val="24"/>
        </w:rPr>
      </w:pPr>
    </w:p>
    <w:p w14:paraId="7662A99E" w14:textId="77777777" w:rsidR="00615A1B" w:rsidRDefault="00615A1B" w:rsidP="00615A1B">
      <w:pPr>
        <w:jc w:val="both"/>
        <w:rPr>
          <w:rFonts w:ascii="Arial Narrow" w:hAnsi="Arial Narrow"/>
          <w:sz w:val="24"/>
        </w:rPr>
      </w:pPr>
      <w:r w:rsidRPr="00BE0D9A">
        <w:rPr>
          <w:rFonts w:ascii="Arial Narrow" w:hAnsi="Arial Narrow"/>
          <w:sz w:val="24"/>
        </w:rPr>
        <w:t xml:space="preserve">Dentro </w:t>
      </w:r>
      <w:r>
        <w:rPr>
          <w:rFonts w:ascii="Arial Narrow" w:hAnsi="Arial Narrow"/>
          <w:sz w:val="24"/>
        </w:rPr>
        <w:t>del ámbito de A</w:t>
      </w:r>
      <w:r w:rsidRPr="00100B06">
        <w:rPr>
          <w:rFonts w:ascii="Arial Narrow" w:hAnsi="Arial Narrow"/>
          <w:sz w:val="24"/>
        </w:rPr>
        <w:t xml:space="preserve">gricultura </w:t>
      </w:r>
      <w:r>
        <w:rPr>
          <w:rFonts w:ascii="Arial Narrow" w:hAnsi="Arial Narrow"/>
          <w:sz w:val="24"/>
        </w:rPr>
        <w:t>S</w:t>
      </w:r>
      <w:r w:rsidRPr="00100B06">
        <w:rPr>
          <w:rFonts w:ascii="Arial Narrow" w:hAnsi="Arial Narrow"/>
          <w:sz w:val="24"/>
        </w:rPr>
        <w:t xml:space="preserve">ostenible y </w:t>
      </w:r>
      <w:r>
        <w:rPr>
          <w:rFonts w:ascii="Arial Narrow" w:hAnsi="Arial Narrow"/>
          <w:sz w:val="24"/>
        </w:rPr>
        <w:t>S</w:t>
      </w:r>
      <w:r w:rsidRPr="00100B06">
        <w:rPr>
          <w:rFonts w:ascii="Arial Narrow" w:hAnsi="Arial Narrow"/>
          <w:sz w:val="24"/>
        </w:rPr>
        <w:t xml:space="preserve">eguridad </w:t>
      </w:r>
      <w:r>
        <w:rPr>
          <w:rFonts w:ascii="Arial Narrow" w:hAnsi="Arial Narrow"/>
          <w:sz w:val="24"/>
        </w:rPr>
        <w:t>A</w:t>
      </w:r>
      <w:r w:rsidRPr="00BE0D9A">
        <w:rPr>
          <w:rFonts w:ascii="Arial Narrow" w:hAnsi="Arial Narrow"/>
          <w:sz w:val="24"/>
        </w:rPr>
        <w:t xml:space="preserve">limentaria, el área de especialización del Departamento son los residuos de plaguicidas resultantes del uso de productos fitosanitarios en los cultivos agrícolas. Para ello, contamos con un Laboratorio de Residuos de Plaguicidas en productos vegetales que es Laboratorio Oficial del Gobierno de Canarias y que está reconocido como tal en el Ministerio de Agricultura, Pesca y Alimentación y, en el Ministerio de Sanidad, Consumo y Bienestar Social, además de estar incluido en la Red de Laboratorios Oficiales Europeos en materia de residuos de plaguicidas. El Laboratorio está acreditado, requisito indispensable para ser Laboratorio Oficial, por la Entidad Nacional de Acreditación, ENAC, para la realización de análisis de residuos de plaguicidas en productos vegetales. </w:t>
      </w:r>
    </w:p>
    <w:p w14:paraId="42121AD8" w14:textId="77777777" w:rsidR="00615A1B" w:rsidRDefault="00615A1B" w:rsidP="00615A1B">
      <w:pPr>
        <w:jc w:val="both"/>
        <w:rPr>
          <w:rFonts w:ascii="Arial Narrow" w:hAnsi="Arial Narrow"/>
          <w:sz w:val="24"/>
        </w:rPr>
      </w:pPr>
    </w:p>
    <w:p w14:paraId="4B9CA177" w14:textId="77777777" w:rsidR="00615A1B" w:rsidRPr="00BE0D9A" w:rsidRDefault="00615A1B" w:rsidP="00615A1B">
      <w:pPr>
        <w:jc w:val="both"/>
        <w:rPr>
          <w:rFonts w:ascii="Arial Narrow" w:hAnsi="Arial Narrow"/>
          <w:sz w:val="24"/>
        </w:rPr>
      </w:pPr>
      <w:r w:rsidRPr="00BE0D9A">
        <w:rPr>
          <w:rFonts w:ascii="Arial Narrow" w:hAnsi="Arial Narrow"/>
          <w:sz w:val="24"/>
        </w:rPr>
        <w:t>Como reto de futuro el Departamento afronta el desarrollo de una nueva línea de trabajo en el área de especialización de la caracterización de la huella isotópica de elementos ligeros y del perfil de elementos traza</w:t>
      </w:r>
      <w:r>
        <w:rPr>
          <w:rFonts w:ascii="Arial Narrow" w:hAnsi="Arial Narrow"/>
          <w:sz w:val="24"/>
        </w:rPr>
        <w:t>, para</w:t>
      </w:r>
      <w:r w:rsidRPr="00BE0D9A">
        <w:rPr>
          <w:rFonts w:ascii="Arial Narrow" w:hAnsi="Arial Narrow"/>
          <w:sz w:val="24"/>
        </w:rPr>
        <w:t xml:space="preserve"> investigar y verificar el origen y autenticidad de nuestros productos agroalimentarios, cultivados y producidos en los territorios insulares</w:t>
      </w:r>
      <w:r>
        <w:rPr>
          <w:rFonts w:ascii="Arial Narrow" w:hAnsi="Arial Narrow"/>
          <w:sz w:val="24"/>
        </w:rPr>
        <w:t>.</w:t>
      </w:r>
      <w:r w:rsidRPr="00BE0D9A">
        <w:rPr>
          <w:rFonts w:ascii="Arial Narrow" w:hAnsi="Arial Narrow"/>
          <w:sz w:val="24"/>
        </w:rPr>
        <w:t xml:space="preserve"> </w:t>
      </w:r>
    </w:p>
    <w:p w14:paraId="52EB39A1" w14:textId="77777777" w:rsidR="00615A1B" w:rsidRPr="009909C9" w:rsidRDefault="00615A1B" w:rsidP="00615A1B">
      <w:pPr>
        <w:jc w:val="both"/>
        <w:rPr>
          <w:rFonts w:ascii="Arial Narrow" w:hAnsi="Arial Narrow" w:cs="Arial"/>
          <w:sz w:val="24"/>
          <w:szCs w:val="24"/>
        </w:rPr>
      </w:pPr>
    </w:p>
    <w:p w14:paraId="250EC8CE" w14:textId="77777777" w:rsidR="00615A1B" w:rsidRPr="00B675CB" w:rsidRDefault="00615A1B" w:rsidP="00615A1B">
      <w:pPr>
        <w:jc w:val="both"/>
        <w:rPr>
          <w:rFonts w:ascii="Arial Narrow" w:hAnsi="Arial Narrow" w:cs="Arial"/>
          <w:sz w:val="24"/>
          <w:szCs w:val="24"/>
        </w:rPr>
      </w:pPr>
      <w:r w:rsidRPr="00B675CB">
        <w:rPr>
          <w:rFonts w:ascii="Arial Narrow" w:hAnsi="Arial Narrow" w:cs="Arial"/>
          <w:b/>
          <w:sz w:val="24"/>
          <w:szCs w:val="24"/>
        </w:rPr>
        <w:t>El Departamento de Ingeniería Biomédica</w:t>
      </w:r>
      <w:r w:rsidRPr="00B675CB">
        <w:rPr>
          <w:rFonts w:ascii="Arial Narrow" w:hAnsi="Arial Narrow" w:cs="Arial"/>
          <w:sz w:val="24"/>
          <w:szCs w:val="24"/>
        </w:rPr>
        <w:t xml:space="preserve"> desarrolla sus actividades en el ámbito de la biomecánica, desarrollando productos innovadores y prestando servicios de alto valor añadido focalizados a la reconstrucción y regeneración ósea para aplicaciones en cirugía ortopédica, maxilofacial, torácica y neuro. En el sector humano se trabaja exclusivamente con implantes a medida mientras en el sector veterinario con implantes en serie. El mayor valor añadido radica en una alta porosidad de los implantes que favorece la regeneración de vasos y de huesos. Se continúan desarrollando las actividades de I+D+i relacionadas con scaffolds reabsorbibles para ingeniería de tejido y la introducción de nuevos materiales implantables para la fabricación aditiva de implantes a medida.  Se siguen abriendo nuevas líneas de trabajo con centros hospitalarios nacionales e internacionales que  surgen en respuesta a  especiales requerimientos de pacientes cuyo tratamiento quirúrgico no se puede abordar con implantes en serie. El Departamento está experimentando un crecimiento piloto en simbiosis con </w:t>
      </w:r>
      <w:proofErr w:type="gramStart"/>
      <w:r w:rsidRPr="00B675CB">
        <w:rPr>
          <w:rFonts w:ascii="Arial Narrow" w:hAnsi="Arial Narrow" w:cs="Arial"/>
          <w:sz w:val="24"/>
          <w:szCs w:val="24"/>
        </w:rPr>
        <w:t>una</w:t>
      </w:r>
      <w:proofErr w:type="gramEnd"/>
      <w:r w:rsidRPr="00B675CB">
        <w:rPr>
          <w:rFonts w:ascii="Arial Narrow" w:hAnsi="Arial Narrow" w:cs="Arial"/>
          <w:sz w:val="24"/>
          <w:szCs w:val="24"/>
        </w:rPr>
        <w:t xml:space="preserve"> spin off, que proporciona operatividad y favorece la transferencia de resultados al mercado. Se colabora con el Servicio Canario de Salud tanto en la búsqueda de soluciones para casos clínicos complejos como en impulsar las actividades traslacionales en la I+D+i sanitaria.   </w:t>
      </w:r>
    </w:p>
    <w:p w14:paraId="433A4F38" w14:textId="77777777" w:rsidR="00615A1B" w:rsidRPr="009909C9" w:rsidRDefault="00615A1B" w:rsidP="00615A1B">
      <w:pPr>
        <w:jc w:val="both"/>
        <w:rPr>
          <w:rFonts w:ascii="Arial Narrow" w:hAnsi="Arial Narrow" w:cs="Arial"/>
          <w:sz w:val="24"/>
          <w:szCs w:val="24"/>
        </w:rPr>
      </w:pPr>
    </w:p>
    <w:p w14:paraId="2EFDDCA7" w14:textId="6F2AF9D9" w:rsidR="00615A1B" w:rsidRDefault="00615A1B" w:rsidP="00615A1B">
      <w:pPr>
        <w:jc w:val="both"/>
        <w:rPr>
          <w:rFonts w:ascii="Arial Narrow" w:hAnsi="Arial Narrow" w:cs="Arial"/>
          <w:sz w:val="24"/>
          <w:szCs w:val="24"/>
        </w:rPr>
      </w:pPr>
      <w:r>
        <w:rPr>
          <w:rFonts w:ascii="Arial Narrow" w:hAnsi="Arial Narrow"/>
          <w:sz w:val="24"/>
          <w:szCs w:val="24"/>
        </w:rPr>
        <w:t xml:space="preserve">El </w:t>
      </w:r>
      <w:r>
        <w:rPr>
          <w:rFonts w:ascii="Arial Narrow" w:hAnsi="Arial Narrow"/>
          <w:b/>
          <w:bCs/>
          <w:sz w:val="24"/>
          <w:szCs w:val="24"/>
        </w:rPr>
        <w:t>Departamento de Computación Científica y Tecnológica</w:t>
      </w:r>
      <w:r>
        <w:rPr>
          <w:rFonts w:ascii="Arial Narrow" w:hAnsi="Arial Narrow"/>
          <w:sz w:val="24"/>
          <w:szCs w:val="24"/>
        </w:rPr>
        <w:t xml:space="preserve"> centra su actividad principalmente en  potenciar el servicio que ofrecemos de Administración Electrónica a diferentes departamentos del Gobierno de Canarias, en relación al desarrollo de sus aplicaciones de Administración Electrónica para la gestión de las ayudas y convocatorias. Cabe destacar una nueva línea de trabajo relacionado con un sistema de Gestión para el sector empresarial, que estamos implantando en el ITC y con el objetivo de ofrecerlo a otras empresas públicas Canarias que puedan estar interesadas. Asimismo, el Departamento da soporte TIC al resto de departamentos técnicos del ITC, en la realización de sus proyectos centrándonos en el análisis y gestión de datos y estudio de modelos de predicción – simulación. Por último, el departamento tiene el firme propósito de potenciar tanto el sector TIC en Canarias, en sectores estratégicos como el Turismo y la Agricultura, así  como la internacionalización de las empresas TIC.</w:t>
      </w:r>
    </w:p>
    <w:p w14:paraId="5C06CD2E" w14:textId="77777777" w:rsidR="00615A1B" w:rsidRPr="009909C9" w:rsidRDefault="00615A1B" w:rsidP="00615A1B">
      <w:pPr>
        <w:jc w:val="both"/>
        <w:rPr>
          <w:rFonts w:ascii="Arial Narrow" w:hAnsi="Arial Narrow" w:cs="Arial"/>
          <w:sz w:val="24"/>
          <w:szCs w:val="24"/>
        </w:rPr>
      </w:pPr>
    </w:p>
    <w:p w14:paraId="0BFA47BD"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 xml:space="preserve">El </w:t>
      </w:r>
      <w:r w:rsidRPr="009909C9">
        <w:rPr>
          <w:rFonts w:ascii="Arial Narrow" w:hAnsi="Arial Narrow" w:cs="Arial"/>
          <w:b/>
          <w:sz w:val="24"/>
          <w:szCs w:val="24"/>
        </w:rPr>
        <w:t>Departamento de Servicios de Metrología</w:t>
      </w:r>
      <w:r w:rsidRPr="009909C9">
        <w:rPr>
          <w:rFonts w:ascii="Arial Narrow" w:hAnsi="Arial Narrow" w:cs="Arial"/>
          <w:sz w:val="24"/>
          <w:szCs w:val="24"/>
        </w:rPr>
        <w:t xml:space="preserve"> realiza las actividades directamente relacionadas con la gestión de los Laboratorios de Metrología, y con la prestación de diversos servicios metrológicos a empresas privadas, fundamentalmente en </w:t>
      </w:r>
      <w:r>
        <w:rPr>
          <w:rFonts w:ascii="Arial Narrow" w:hAnsi="Arial Narrow" w:cs="Arial"/>
          <w:sz w:val="24"/>
          <w:szCs w:val="24"/>
        </w:rPr>
        <w:t>el área de Combustibles</w:t>
      </w:r>
      <w:r w:rsidRPr="009909C9">
        <w:rPr>
          <w:rFonts w:ascii="Arial Narrow" w:hAnsi="Arial Narrow" w:cs="Arial"/>
          <w:sz w:val="24"/>
          <w:szCs w:val="24"/>
        </w:rPr>
        <w:t xml:space="preserve">. También continúa prestando apoyo a </w:t>
      </w:r>
      <w:r>
        <w:rPr>
          <w:rFonts w:ascii="Arial Narrow" w:hAnsi="Arial Narrow" w:cs="Arial"/>
          <w:sz w:val="24"/>
          <w:szCs w:val="24"/>
        </w:rPr>
        <w:t xml:space="preserve">los diferentes organismos o entes de la Administración Pública de Canarias </w:t>
      </w:r>
      <w:r w:rsidRPr="009909C9">
        <w:rPr>
          <w:rFonts w:ascii="Arial Narrow" w:hAnsi="Arial Narrow" w:cs="Arial"/>
          <w:sz w:val="24"/>
          <w:szCs w:val="24"/>
        </w:rPr>
        <w:t xml:space="preserve">en la Gestión y evaluación técnica de los expedientes de las diferentes convocatorias </w:t>
      </w:r>
      <w:r>
        <w:rPr>
          <w:rFonts w:ascii="Arial Narrow" w:hAnsi="Arial Narrow" w:cs="Arial"/>
          <w:sz w:val="24"/>
          <w:szCs w:val="24"/>
        </w:rPr>
        <w:t xml:space="preserve">de subvenciones y ayudas </w:t>
      </w:r>
      <w:r w:rsidRPr="009909C9">
        <w:rPr>
          <w:rFonts w:ascii="Arial Narrow" w:hAnsi="Arial Narrow" w:cs="Arial"/>
          <w:sz w:val="24"/>
          <w:szCs w:val="24"/>
        </w:rPr>
        <w:t xml:space="preserve">en </w:t>
      </w:r>
      <w:r>
        <w:rPr>
          <w:rFonts w:ascii="Arial Narrow" w:hAnsi="Arial Narrow" w:cs="Arial"/>
          <w:sz w:val="24"/>
          <w:szCs w:val="24"/>
        </w:rPr>
        <w:t xml:space="preserve">las </w:t>
      </w:r>
      <w:r w:rsidRPr="009909C9">
        <w:rPr>
          <w:rFonts w:ascii="Arial Narrow" w:hAnsi="Arial Narrow" w:cs="Arial"/>
          <w:sz w:val="24"/>
          <w:szCs w:val="24"/>
        </w:rPr>
        <w:t>materia</w:t>
      </w:r>
      <w:r>
        <w:rPr>
          <w:rFonts w:ascii="Arial Narrow" w:hAnsi="Arial Narrow" w:cs="Arial"/>
          <w:sz w:val="24"/>
          <w:szCs w:val="24"/>
        </w:rPr>
        <w:t>s objeto de sus respectivas competencias. Recientemente el departamento ha iniciado una nueva actividad encaminada a la promoción de iniciativas emprendedoras en Economía Circular en Canarias.</w:t>
      </w:r>
    </w:p>
    <w:p w14:paraId="1B9ED1F6" w14:textId="77777777" w:rsidR="00615A1B" w:rsidRPr="009909C9" w:rsidRDefault="00615A1B" w:rsidP="00615A1B">
      <w:pPr>
        <w:jc w:val="both"/>
        <w:rPr>
          <w:rFonts w:ascii="Arial Narrow" w:hAnsi="Arial Narrow" w:cs="Arial"/>
          <w:sz w:val="24"/>
          <w:szCs w:val="24"/>
        </w:rPr>
      </w:pPr>
    </w:p>
    <w:p w14:paraId="36E99BF7" w14:textId="77777777" w:rsidR="00615A1B" w:rsidRDefault="00615A1B" w:rsidP="00615A1B">
      <w:pPr>
        <w:jc w:val="both"/>
        <w:rPr>
          <w:rFonts w:ascii="Arial Narrow" w:hAnsi="Arial Narrow" w:cs="Arial"/>
          <w:sz w:val="24"/>
          <w:szCs w:val="24"/>
        </w:rPr>
      </w:pPr>
      <w:r w:rsidRPr="009909C9">
        <w:rPr>
          <w:rFonts w:ascii="Arial Narrow" w:hAnsi="Arial Narrow" w:cs="Arial"/>
          <w:sz w:val="24"/>
          <w:szCs w:val="24"/>
        </w:rPr>
        <w:t xml:space="preserve">El </w:t>
      </w:r>
      <w:r w:rsidRPr="009909C9">
        <w:rPr>
          <w:rFonts w:ascii="Arial Narrow" w:hAnsi="Arial Narrow" w:cs="Arial"/>
          <w:b/>
          <w:sz w:val="24"/>
          <w:szCs w:val="24"/>
        </w:rPr>
        <w:t>Departamento de Innovación</w:t>
      </w:r>
      <w:r w:rsidRPr="009909C9">
        <w:rPr>
          <w:rFonts w:ascii="Arial Narrow" w:hAnsi="Arial Narrow" w:cs="Arial"/>
          <w:sz w:val="24"/>
          <w:szCs w:val="24"/>
        </w:rPr>
        <w:t xml:space="preserve"> se enfoca al desarrollo de la "nueva economía", evaluando la aportación de soluciones a los retos que se están planteando a las regiones insulares, dado su retraso en términos del desarrollo tecnológico, innovación e indicadores de I+D. Est</w:t>
      </w:r>
      <w:r>
        <w:rPr>
          <w:rFonts w:ascii="Arial Narrow" w:hAnsi="Arial Narrow" w:cs="Arial"/>
          <w:sz w:val="24"/>
          <w:szCs w:val="24"/>
        </w:rPr>
        <w:t>e Departamento</w:t>
      </w:r>
      <w:r w:rsidRPr="009909C9">
        <w:rPr>
          <w:rFonts w:ascii="Arial Narrow" w:hAnsi="Arial Narrow" w:cs="Arial"/>
          <w:sz w:val="24"/>
          <w:szCs w:val="24"/>
        </w:rPr>
        <w:t xml:space="preserve">, por tanto, centra su actividad, fundamentalmente, en el desarrollo de proyectos que ayuden a incrementar la competitividad de las empresas canarias a través de la innovación; promover la transferencia de tecnología </w:t>
      </w:r>
      <w:r>
        <w:rPr>
          <w:rFonts w:ascii="Arial Narrow" w:hAnsi="Arial Narrow" w:cs="Arial"/>
          <w:sz w:val="24"/>
          <w:szCs w:val="24"/>
        </w:rPr>
        <w:t xml:space="preserve">e internacionalización </w:t>
      </w:r>
      <w:r w:rsidRPr="009909C9">
        <w:rPr>
          <w:rFonts w:ascii="Arial Narrow" w:hAnsi="Arial Narrow" w:cs="Arial"/>
          <w:sz w:val="24"/>
          <w:szCs w:val="24"/>
        </w:rPr>
        <w:t xml:space="preserve">hacia las pequeñas y medianas empresas, así como impulsar la creación de nuevas empresas de base tecnológica en el Archipiélago canario. Ha seguido prestando apoyo técnico y administrativo a las actuaciones </w:t>
      </w:r>
      <w:r>
        <w:rPr>
          <w:rFonts w:ascii="Arial Narrow" w:hAnsi="Arial Narrow" w:cs="Arial"/>
          <w:sz w:val="24"/>
          <w:szCs w:val="24"/>
        </w:rPr>
        <w:t xml:space="preserve">de apoyo a la innovación empresarial, de desarrollo de la política industrial, dinamización del emprendimiento, y de divulgación científica </w:t>
      </w:r>
      <w:r w:rsidRPr="009909C9">
        <w:rPr>
          <w:rFonts w:ascii="Arial Narrow" w:hAnsi="Arial Narrow" w:cs="Arial"/>
          <w:sz w:val="24"/>
          <w:szCs w:val="24"/>
        </w:rPr>
        <w:t>que l</w:t>
      </w:r>
      <w:r>
        <w:rPr>
          <w:rFonts w:ascii="Arial Narrow" w:hAnsi="Arial Narrow" w:cs="Arial"/>
          <w:sz w:val="24"/>
          <w:szCs w:val="24"/>
        </w:rPr>
        <w:t xml:space="preserve">os diferentes organismos o entidades de la Administración de la CAC le han encomendado. </w:t>
      </w:r>
    </w:p>
    <w:p w14:paraId="3B112527" w14:textId="77777777" w:rsidR="00615A1B" w:rsidRPr="009909C9" w:rsidRDefault="00615A1B" w:rsidP="00615A1B">
      <w:pPr>
        <w:jc w:val="both"/>
        <w:rPr>
          <w:rFonts w:ascii="Arial Narrow" w:hAnsi="Arial Narrow" w:cs="Arial"/>
          <w:sz w:val="24"/>
          <w:szCs w:val="24"/>
        </w:rPr>
      </w:pPr>
    </w:p>
    <w:p w14:paraId="1BCB1B84" w14:textId="69912CB4" w:rsidR="00615A1B" w:rsidRDefault="00615A1B" w:rsidP="00615A1B">
      <w:pPr>
        <w:jc w:val="both"/>
        <w:rPr>
          <w:rFonts w:ascii="Arial Narrow" w:hAnsi="Arial Narrow" w:cs="Arial"/>
          <w:sz w:val="24"/>
          <w:szCs w:val="24"/>
        </w:rPr>
      </w:pPr>
      <w:r w:rsidRPr="009909C9">
        <w:rPr>
          <w:rFonts w:ascii="Arial Narrow" w:hAnsi="Arial Narrow" w:cs="Arial"/>
          <w:sz w:val="24"/>
          <w:szCs w:val="24"/>
        </w:rPr>
        <w:t xml:space="preserve">El </w:t>
      </w:r>
      <w:r w:rsidRPr="009909C9">
        <w:rPr>
          <w:rFonts w:ascii="Arial Narrow" w:hAnsi="Arial Narrow" w:cs="Arial"/>
          <w:b/>
          <w:sz w:val="24"/>
          <w:szCs w:val="24"/>
        </w:rPr>
        <w:t>Departamento de Sociedad de la Información</w:t>
      </w:r>
      <w:r w:rsidRPr="009909C9">
        <w:rPr>
          <w:rFonts w:ascii="Arial Narrow" w:hAnsi="Arial Narrow" w:cs="Arial"/>
          <w:sz w:val="24"/>
          <w:szCs w:val="24"/>
        </w:rPr>
        <w:t xml:space="preserve">, </w:t>
      </w:r>
      <w:r>
        <w:rPr>
          <w:rFonts w:ascii="Arial Narrow" w:hAnsi="Arial Narrow" w:cs="Arial"/>
          <w:sz w:val="24"/>
          <w:szCs w:val="24"/>
        </w:rPr>
        <w:t>dentro de sus funciones de soporte al Gobierno de Canarias, desarrolla actividades de diseño y planificación de actuaciones públicas en materia de telecomunicaciones, orientadas a un pleno desarrollo de la Sociedad de la Información en Canarias. Paralelamente, desarrolla una vigilancia activa del uso y explotación del espectro radioeléctrico en nuestra Comunidad, en especial, de los servicios de radio y televisión. Igualmente, en materia de telecomunicaciones, realiza estudios específicos sobre aspectos o materias concretas relativas al desarrollo de la Sociedad de la Información en Canarias, así como fomenta la adopción de competencias digitales entre la ciudadanía y empresa, con especial enfoque a un público más juvenil. Adicionalmente, el Departamento dispone de un laboratorio de electrónica donde desarrolla prototipos electrónicos bajo demanda, así como actividades de impresión 3D, realidad virtual y prospectiva tecnológica. Finalmente, como operadores de drones, con capacidad de vuelo en el espacio aéreo controlado de Canarias, se disponen distintas aeronaves y cámaras que permiten atender actividades de reconocimiento instrumental, así como en ámbitos de I+D.</w:t>
      </w:r>
    </w:p>
    <w:p w14:paraId="59EB6254" w14:textId="77777777" w:rsidR="00615A1B" w:rsidRDefault="00615A1B" w:rsidP="00615A1B">
      <w:pPr>
        <w:jc w:val="both"/>
        <w:rPr>
          <w:rFonts w:ascii="Arial Narrow" w:hAnsi="Arial Narrow" w:cs="Arial"/>
          <w:sz w:val="24"/>
          <w:szCs w:val="24"/>
        </w:rPr>
      </w:pPr>
    </w:p>
    <w:p w14:paraId="3D55265D" w14:textId="77777777" w:rsidR="00615A1B" w:rsidRDefault="00615A1B" w:rsidP="00615A1B">
      <w:pPr>
        <w:jc w:val="both"/>
        <w:rPr>
          <w:rFonts w:ascii="Arial Narrow" w:hAnsi="Arial Narrow" w:cs="Arial"/>
          <w:sz w:val="24"/>
          <w:szCs w:val="24"/>
        </w:rPr>
      </w:pPr>
    </w:p>
    <w:p w14:paraId="06AD906F" w14:textId="77777777" w:rsidR="00615A1B" w:rsidRPr="00D512EF" w:rsidRDefault="00615A1B" w:rsidP="00615A1B">
      <w:pPr>
        <w:spacing w:after="240"/>
        <w:jc w:val="both"/>
        <w:rPr>
          <w:rFonts w:ascii="Arial Narrow" w:hAnsi="Arial Narrow" w:cs="Arial"/>
          <w:b/>
          <w:sz w:val="24"/>
          <w:szCs w:val="24"/>
          <w:lang w:eastAsia="es-ES"/>
        </w:rPr>
      </w:pPr>
      <w:r>
        <w:rPr>
          <w:rFonts w:ascii="Arial Narrow" w:hAnsi="Arial Narrow" w:cs="Arial"/>
          <w:b/>
          <w:sz w:val="24"/>
          <w:szCs w:val="24"/>
          <w:lang w:eastAsia="es-ES"/>
        </w:rPr>
        <w:t xml:space="preserve">3.- </w:t>
      </w:r>
      <w:r w:rsidRPr="000B63CA">
        <w:rPr>
          <w:rFonts w:ascii="Arial Narrow" w:hAnsi="Arial Narrow" w:cs="Arial"/>
          <w:b/>
          <w:sz w:val="24"/>
          <w:szCs w:val="24"/>
          <w:lang w:eastAsia="es-ES"/>
        </w:rPr>
        <w:t>PRINCIPALES DATOS ECONÓMICOS Y EVOLUCIÓN PREVISIBLE DEL ITC.</w:t>
      </w:r>
    </w:p>
    <w:p w14:paraId="4B8AB336" w14:textId="77777777" w:rsidR="00615A1B" w:rsidRPr="000B63CA" w:rsidRDefault="00615A1B" w:rsidP="00615A1B">
      <w:pPr>
        <w:jc w:val="both"/>
        <w:rPr>
          <w:rFonts w:ascii="Arial Narrow" w:hAnsi="Arial Narrow" w:cs="Arial"/>
          <w:sz w:val="24"/>
          <w:szCs w:val="24"/>
        </w:rPr>
      </w:pPr>
      <w:r w:rsidRPr="000B63CA">
        <w:rPr>
          <w:rFonts w:ascii="Arial Narrow" w:hAnsi="Arial Narrow" w:cs="Arial"/>
          <w:sz w:val="24"/>
          <w:szCs w:val="24"/>
        </w:rPr>
        <w:t>El ITC como ente con presupuesto estimativo, integrado en los Presupuestos Generales de la Comunidad Autónoma de Canarias, se encuentra afectado por la senda de cumplimiento de los objetivos de estabilidad presupuestaria asignados a Canarias.</w:t>
      </w:r>
    </w:p>
    <w:p w14:paraId="230A03FF" w14:textId="77777777" w:rsidR="00615A1B" w:rsidRPr="00B63CFF" w:rsidRDefault="00615A1B" w:rsidP="00615A1B">
      <w:pPr>
        <w:jc w:val="both"/>
        <w:rPr>
          <w:rFonts w:ascii="Arial Narrow" w:hAnsi="Arial Narrow" w:cs="Arial"/>
          <w:sz w:val="24"/>
          <w:szCs w:val="24"/>
        </w:rPr>
      </w:pPr>
    </w:p>
    <w:p w14:paraId="52481E42" w14:textId="77777777" w:rsidR="00615A1B" w:rsidRDefault="00615A1B" w:rsidP="00615A1B">
      <w:pPr>
        <w:jc w:val="both"/>
        <w:rPr>
          <w:rFonts w:ascii="Arial Narrow" w:hAnsi="Arial Narrow" w:cs="Arial"/>
          <w:sz w:val="24"/>
          <w:szCs w:val="24"/>
        </w:rPr>
      </w:pPr>
      <w:r w:rsidRPr="00B63CFF">
        <w:rPr>
          <w:rFonts w:ascii="Arial Narrow" w:hAnsi="Arial Narrow" w:cs="Arial"/>
          <w:sz w:val="24"/>
          <w:szCs w:val="24"/>
        </w:rPr>
        <w:t>En el art. 7</w:t>
      </w:r>
      <w:r>
        <w:rPr>
          <w:rFonts w:ascii="Arial Narrow" w:hAnsi="Arial Narrow" w:cs="Arial"/>
          <w:sz w:val="24"/>
          <w:szCs w:val="24"/>
        </w:rPr>
        <w:t>0</w:t>
      </w:r>
      <w:r w:rsidRPr="00B63CFF">
        <w:rPr>
          <w:rFonts w:ascii="Arial Narrow" w:hAnsi="Arial Narrow" w:cs="Arial"/>
          <w:sz w:val="24"/>
          <w:szCs w:val="24"/>
        </w:rPr>
        <w:t xml:space="preserve"> de la Ley </w:t>
      </w:r>
      <w:r>
        <w:rPr>
          <w:rFonts w:ascii="Arial Narrow" w:hAnsi="Arial Narrow" w:cs="Arial"/>
          <w:sz w:val="24"/>
          <w:szCs w:val="24"/>
        </w:rPr>
        <w:t>7</w:t>
      </w:r>
      <w:r w:rsidRPr="00B63CFF">
        <w:rPr>
          <w:rFonts w:ascii="Arial Narrow" w:hAnsi="Arial Narrow" w:cs="Arial"/>
          <w:sz w:val="24"/>
          <w:szCs w:val="24"/>
        </w:rPr>
        <w:t>/201</w:t>
      </w:r>
      <w:r>
        <w:rPr>
          <w:rFonts w:ascii="Arial Narrow" w:hAnsi="Arial Narrow" w:cs="Arial"/>
          <w:sz w:val="24"/>
          <w:szCs w:val="24"/>
        </w:rPr>
        <w:t>8</w:t>
      </w:r>
      <w:r w:rsidRPr="00B63CFF">
        <w:rPr>
          <w:rFonts w:ascii="Arial Narrow" w:hAnsi="Arial Narrow" w:cs="Arial"/>
          <w:sz w:val="24"/>
          <w:szCs w:val="24"/>
        </w:rPr>
        <w:t>, de 2</w:t>
      </w:r>
      <w:r>
        <w:rPr>
          <w:rFonts w:ascii="Arial Narrow" w:hAnsi="Arial Narrow" w:cs="Arial"/>
          <w:sz w:val="24"/>
          <w:szCs w:val="24"/>
        </w:rPr>
        <w:t>8</w:t>
      </w:r>
      <w:r w:rsidRPr="00B63CFF">
        <w:rPr>
          <w:rFonts w:ascii="Arial Narrow" w:hAnsi="Arial Narrow" w:cs="Arial"/>
          <w:sz w:val="24"/>
          <w:szCs w:val="24"/>
        </w:rPr>
        <w:t xml:space="preserve"> de diciembre, de Presupuestos Generales de la Comunidad Autónoma de Canarias para 201</w:t>
      </w:r>
      <w:r>
        <w:rPr>
          <w:rFonts w:ascii="Arial Narrow" w:hAnsi="Arial Narrow" w:cs="Arial"/>
          <w:sz w:val="24"/>
          <w:szCs w:val="24"/>
        </w:rPr>
        <w:t>9</w:t>
      </w:r>
      <w:r w:rsidRPr="00B63CFF">
        <w:rPr>
          <w:rFonts w:ascii="Arial Narrow" w:hAnsi="Arial Narrow" w:cs="Arial"/>
          <w:sz w:val="24"/>
          <w:szCs w:val="24"/>
        </w:rPr>
        <w:t>, se estipulaba que los entes que tengan la consideración de unidades públicas clasificadas dentro del subsector de Administración regional de la Comunidad Autónoma de Canarias de acuerdo con la definición y delimitación del sistema europeo de cuentas nacionales y regionales (como es el caso del ITC) se someterán al principio de estabilidad presupuestaria conforme a los dispuesto en el artículo 3 de la Ley Orgánica 2/2012, de 27 de abril, de Estabilidad Presupuestaria y Sostenibilidad Financiera.</w:t>
      </w:r>
    </w:p>
    <w:p w14:paraId="33BDB4E6" w14:textId="77777777" w:rsidR="00615A1B" w:rsidRDefault="00615A1B" w:rsidP="00615A1B">
      <w:pPr>
        <w:jc w:val="both"/>
        <w:rPr>
          <w:rFonts w:ascii="Arial Narrow" w:hAnsi="Arial Narrow" w:cs="Arial"/>
          <w:sz w:val="24"/>
          <w:szCs w:val="24"/>
        </w:rPr>
      </w:pPr>
    </w:p>
    <w:p w14:paraId="0FD1BD1D" w14:textId="77777777" w:rsidR="00615A1B" w:rsidRDefault="00615A1B" w:rsidP="00615A1B">
      <w:pPr>
        <w:jc w:val="both"/>
        <w:rPr>
          <w:rFonts w:ascii="Arial Narrow" w:hAnsi="Arial Narrow" w:cs="Arial"/>
          <w:sz w:val="24"/>
          <w:szCs w:val="24"/>
        </w:rPr>
      </w:pPr>
      <w:r>
        <w:rPr>
          <w:rFonts w:ascii="Arial Narrow" w:hAnsi="Arial Narrow" w:cs="Arial"/>
          <w:sz w:val="24"/>
          <w:szCs w:val="24"/>
        </w:rPr>
        <w:t>A modo de resumen inicial y en el marco de la evolución de le empresa durante estos últimos ejercicios, condicionados por la complicada situación financiera que se arrastraba como consecuencia de la crisis internacional que atravesamos, puede afirmarse que el ejercicio 2019 ha supuesto la consolidación del proceso de reestructuración iniciado en 2017.</w:t>
      </w:r>
    </w:p>
    <w:p w14:paraId="7C50C80A"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A lo largo de todo el </w:t>
      </w:r>
      <w:r w:rsidRPr="00A6406D">
        <w:rPr>
          <w:rFonts w:ascii="Arial Narrow" w:hAnsi="Arial Narrow" w:cs="Arial"/>
          <w:sz w:val="24"/>
          <w:szCs w:val="24"/>
        </w:rPr>
        <w:t xml:space="preserve"> ejercicio 201</w:t>
      </w:r>
      <w:r>
        <w:rPr>
          <w:rFonts w:ascii="Arial Narrow" w:hAnsi="Arial Narrow" w:cs="Arial"/>
          <w:sz w:val="24"/>
          <w:szCs w:val="24"/>
        </w:rPr>
        <w:t>9</w:t>
      </w:r>
      <w:r w:rsidRPr="00A6406D">
        <w:rPr>
          <w:rFonts w:ascii="Arial Narrow" w:hAnsi="Arial Narrow" w:cs="Arial"/>
          <w:sz w:val="24"/>
          <w:szCs w:val="24"/>
        </w:rPr>
        <w:t xml:space="preserve"> se ha </w:t>
      </w:r>
      <w:r>
        <w:rPr>
          <w:rFonts w:ascii="Arial Narrow" w:hAnsi="Arial Narrow" w:cs="Arial"/>
          <w:sz w:val="24"/>
          <w:szCs w:val="24"/>
        </w:rPr>
        <w:t xml:space="preserve">seguido </w:t>
      </w:r>
      <w:r w:rsidRPr="00A6406D">
        <w:rPr>
          <w:rFonts w:ascii="Arial Narrow" w:hAnsi="Arial Narrow" w:cs="Arial"/>
          <w:sz w:val="24"/>
          <w:szCs w:val="24"/>
        </w:rPr>
        <w:t xml:space="preserve">trabajando </w:t>
      </w:r>
      <w:r>
        <w:rPr>
          <w:rFonts w:ascii="Arial Narrow" w:hAnsi="Arial Narrow" w:cs="Arial"/>
          <w:sz w:val="24"/>
          <w:szCs w:val="24"/>
        </w:rPr>
        <w:t xml:space="preserve">y avanzando </w:t>
      </w:r>
      <w:r w:rsidRPr="00A6406D">
        <w:rPr>
          <w:rFonts w:ascii="Arial Narrow" w:hAnsi="Arial Narrow" w:cs="Arial"/>
          <w:sz w:val="24"/>
          <w:szCs w:val="24"/>
        </w:rPr>
        <w:t xml:space="preserve">en </w:t>
      </w:r>
      <w:r>
        <w:rPr>
          <w:rFonts w:ascii="Arial Narrow" w:hAnsi="Arial Narrow" w:cs="Arial"/>
          <w:sz w:val="24"/>
          <w:szCs w:val="24"/>
        </w:rPr>
        <w:t xml:space="preserve">la implementación del </w:t>
      </w:r>
      <w:r w:rsidRPr="00A6406D">
        <w:rPr>
          <w:rFonts w:ascii="Arial Narrow" w:hAnsi="Arial Narrow" w:cs="Arial"/>
          <w:sz w:val="24"/>
          <w:szCs w:val="24"/>
        </w:rPr>
        <w:t xml:space="preserve"> conjunto de medidas </w:t>
      </w:r>
      <w:r>
        <w:rPr>
          <w:rFonts w:ascii="Arial Narrow" w:hAnsi="Arial Narrow" w:cs="Arial"/>
          <w:sz w:val="24"/>
          <w:szCs w:val="24"/>
        </w:rPr>
        <w:t>recogidas en el</w:t>
      </w:r>
      <w:r w:rsidRPr="00A6406D">
        <w:rPr>
          <w:rFonts w:ascii="Arial Narrow" w:hAnsi="Arial Narrow" w:cs="Arial"/>
          <w:sz w:val="24"/>
          <w:szCs w:val="24"/>
        </w:rPr>
        <w:t xml:space="preserve"> Plan de Reestructuración de la empresa</w:t>
      </w:r>
      <w:r>
        <w:rPr>
          <w:rFonts w:ascii="Arial Narrow" w:hAnsi="Arial Narrow" w:cs="Arial"/>
          <w:sz w:val="24"/>
          <w:szCs w:val="24"/>
        </w:rPr>
        <w:t>,</w:t>
      </w:r>
      <w:r w:rsidRPr="00A6406D">
        <w:rPr>
          <w:rFonts w:ascii="Arial Narrow" w:hAnsi="Arial Narrow" w:cs="Arial"/>
          <w:sz w:val="24"/>
          <w:szCs w:val="24"/>
        </w:rPr>
        <w:t xml:space="preserve"> </w:t>
      </w:r>
      <w:r>
        <w:rPr>
          <w:rFonts w:ascii="Arial Narrow" w:hAnsi="Arial Narrow" w:cs="Arial"/>
          <w:sz w:val="24"/>
          <w:szCs w:val="24"/>
        </w:rPr>
        <w:t xml:space="preserve">y </w:t>
      </w:r>
      <w:r w:rsidRPr="00A6406D">
        <w:rPr>
          <w:rFonts w:ascii="Arial Narrow" w:hAnsi="Arial Narrow" w:cs="Arial"/>
          <w:sz w:val="24"/>
          <w:szCs w:val="24"/>
        </w:rPr>
        <w:t xml:space="preserve">orientadas hacia una serie de líneas estratégicas que entendemos deben constituir el armazón de la nueva estructura del ITC y que en última instancia buscan garantizar su sostenibilidad y viabilidad futura, </w:t>
      </w:r>
      <w:r>
        <w:rPr>
          <w:rFonts w:ascii="Arial Narrow" w:hAnsi="Arial Narrow" w:cs="Arial"/>
          <w:sz w:val="24"/>
          <w:szCs w:val="24"/>
        </w:rPr>
        <w:t xml:space="preserve">a través de una </w:t>
      </w:r>
      <w:r w:rsidRPr="00A6406D">
        <w:rPr>
          <w:rFonts w:ascii="Arial Narrow" w:hAnsi="Arial Narrow" w:cs="Arial"/>
          <w:sz w:val="24"/>
          <w:szCs w:val="24"/>
        </w:rPr>
        <w:t xml:space="preserve">mejora </w:t>
      </w:r>
      <w:r>
        <w:rPr>
          <w:rFonts w:ascii="Arial Narrow" w:hAnsi="Arial Narrow" w:cs="Arial"/>
          <w:sz w:val="24"/>
          <w:szCs w:val="24"/>
        </w:rPr>
        <w:t>d</w:t>
      </w:r>
      <w:r w:rsidRPr="00A6406D">
        <w:rPr>
          <w:rFonts w:ascii="Arial Narrow" w:hAnsi="Arial Narrow" w:cs="Arial"/>
          <w:sz w:val="24"/>
          <w:szCs w:val="24"/>
        </w:rPr>
        <w:t>el funcionamiento del ITC</w:t>
      </w:r>
      <w:r>
        <w:rPr>
          <w:rFonts w:ascii="Arial Narrow" w:hAnsi="Arial Narrow" w:cs="Arial"/>
          <w:sz w:val="24"/>
          <w:szCs w:val="24"/>
        </w:rPr>
        <w:t xml:space="preserve"> y</w:t>
      </w:r>
      <w:r w:rsidRPr="00A6406D">
        <w:rPr>
          <w:rFonts w:ascii="Arial Narrow" w:hAnsi="Arial Narrow" w:cs="Arial"/>
          <w:sz w:val="24"/>
          <w:szCs w:val="24"/>
        </w:rPr>
        <w:t xml:space="preserve"> </w:t>
      </w:r>
      <w:r>
        <w:rPr>
          <w:rFonts w:ascii="Arial Narrow" w:hAnsi="Arial Narrow" w:cs="Arial"/>
          <w:sz w:val="24"/>
          <w:szCs w:val="24"/>
        </w:rPr>
        <w:t xml:space="preserve">de </w:t>
      </w:r>
      <w:r w:rsidRPr="00A6406D">
        <w:rPr>
          <w:rFonts w:ascii="Arial Narrow" w:hAnsi="Arial Narrow" w:cs="Arial"/>
          <w:sz w:val="24"/>
          <w:szCs w:val="24"/>
        </w:rPr>
        <w:t xml:space="preserve">su capacidad de ejecución </w:t>
      </w:r>
      <w:r>
        <w:rPr>
          <w:rFonts w:ascii="Arial Narrow" w:hAnsi="Arial Narrow" w:cs="Arial"/>
          <w:sz w:val="24"/>
          <w:szCs w:val="24"/>
        </w:rPr>
        <w:t xml:space="preserve">que le permitan </w:t>
      </w:r>
      <w:r w:rsidRPr="00A6406D">
        <w:rPr>
          <w:rFonts w:ascii="Arial Narrow" w:hAnsi="Arial Narrow" w:cs="Arial"/>
          <w:sz w:val="24"/>
          <w:szCs w:val="24"/>
        </w:rPr>
        <w:t xml:space="preserve">maximizar su aprovechamiento como instrumento público al servicio de la actividad de I+D+i </w:t>
      </w:r>
      <w:r>
        <w:rPr>
          <w:rFonts w:ascii="Arial Narrow" w:hAnsi="Arial Narrow" w:cs="Arial"/>
          <w:sz w:val="24"/>
          <w:szCs w:val="24"/>
        </w:rPr>
        <w:t>a</w:t>
      </w:r>
      <w:r w:rsidRPr="00A6406D">
        <w:rPr>
          <w:rFonts w:ascii="Arial Narrow" w:hAnsi="Arial Narrow" w:cs="Arial"/>
          <w:sz w:val="24"/>
          <w:szCs w:val="24"/>
        </w:rPr>
        <w:t>plicada.</w:t>
      </w:r>
    </w:p>
    <w:p w14:paraId="421724EA" w14:textId="77777777" w:rsidR="00615A1B" w:rsidRDefault="00615A1B" w:rsidP="00615A1B">
      <w:pPr>
        <w:jc w:val="both"/>
        <w:rPr>
          <w:rFonts w:ascii="Arial Narrow" w:hAnsi="Arial Narrow" w:cs="Arial"/>
          <w:sz w:val="24"/>
          <w:szCs w:val="24"/>
        </w:rPr>
      </w:pPr>
    </w:p>
    <w:p w14:paraId="0CEFF376" w14:textId="77777777" w:rsidR="00615A1B" w:rsidRDefault="00615A1B" w:rsidP="00615A1B">
      <w:pPr>
        <w:jc w:val="both"/>
        <w:rPr>
          <w:rFonts w:ascii="Arial Narrow" w:hAnsi="Arial Narrow" w:cs="Arial"/>
          <w:sz w:val="24"/>
          <w:szCs w:val="24"/>
        </w:rPr>
      </w:pPr>
      <w:r>
        <w:rPr>
          <w:rFonts w:ascii="Arial Narrow" w:hAnsi="Arial Narrow" w:cs="Arial"/>
          <w:sz w:val="24"/>
          <w:szCs w:val="24"/>
        </w:rPr>
        <w:t>Así, y gracias a</w:t>
      </w:r>
      <w:r w:rsidRPr="00A6406D">
        <w:rPr>
          <w:rFonts w:ascii="Arial Narrow" w:hAnsi="Arial Narrow" w:cs="Arial"/>
          <w:sz w:val="24"/>
          <w:szCs w:val="24"/>
        </w:rPr>
        <w:t>l esfuerzo realizado por todos los trabajadores</w:t>
      </w:r>
      <w:r>
        <w:rPr>
          <w:rFonts w:ascii="Arial Narrow" w:hAnsi="Arial Narrow" w:cs="Arial"/>
          <w:sz w:val="24"/>
          <w:szCs w:val="24"/>
        </w:rPr>
        <w:t xml:space="preserve">, al apoyo prestado por el Gobierno de Canarias, </w:t>
      </w:r>
      <w:r w:rsidRPr="00A6406D">
        <w:rPr>
          <w:rFonts w:ascii="Arial Narrow" w:hAnsi="Arial Narrow" w:cs="Arial"/>
          <w:sz w:val="24"/>
          <w:szCs w:val="24"/>
        </w:rPr>
        <w:t xml:space="preserve">y la obtención de los resultados de las medidas aplicadas del Plan de Reestructuración, </w:t>
      </w:r>
      <w:r>
        <w:rPr>
          <w:rFonts w:ascii="Arial Narrow" w:hAnsi="Arial Narrow" w:cs="Arial"/>
          <w:sz w:val="24"/>
          <w:szCs w:val="24"/>
        </w:rPr>
        <w:t>se</w:t>
      </w:r>
      <w:r w:rsidRPr="00A6406D">
        <w:rPr>
          <w:rFonts w:ascii="Arial Narrow" w:hAnsi="Arial Narrow" w:cs="Arial"/>
          <w:sz w:val="24"/>
          <w:szCs w:val="24"/>
        </w:rPr>
        <w:t xml:space="preserve"> </w:t>
      </w:r>
      <w:r>
        <w:rPr>
          <w:rFonts w:ascii="Arial Narrow" w:hAnsi="Arial Narrow" w:cs="Arial"/>
          <w:sz w:val="24"/>
          <w:szCs w:val="24"/>
        </w:rPr>
        <w:t xml:space="preserve">ha </w:t>
      </w:r>
      <w:r w:rsidRPr="00A6406D">
        <w:rPr>
          <w:rFonts w:ascii="Arial Narrow" w:hAnsi="Arial Narrow" w:cs="Arial"/>
          <w:sz w:val="24"/>
          <w:szCs w:val="24"/>
        </w:rPr>
        <w:t>p</w:t>
      </w:r>
      <w:r>
        <w:rPr>
          <w:rFonts w:ascii="Arial Narrow" w:hAnsi="Arial Narrow" w:cs="Arial"/>
          <w:sz w:val="24"/>
          <w:szCs w:val="24"/>
        </w:rPr>
        <w:t>odido mantener, por  tercer ejercicio consecutivo,</w:t>
      </w:r>
      <w:r w:rsidRPr="00A6406D">
        <w:rPr>
          <w:rFonts w:ascii="Arial Narrow" w:hAnsi="Arial Narrow" w:cs="Arial"/>
          <w:sz w:val="24"/>
          <w:szCs w:val="24"/>
        </w:rPr>
        <w:t xml:space="preserve"> </w:t>
      </w:r>
      <w:r w:rsidRPr="00870785">
        <w:rPr>
          <w:rFonts w:ascii="Arial Narrow" w:hAnsi="Arial Narrow" w:cs="Arial"/>
          <w:sz w:val="24"/>
          <w:szCs w:val="24"/>
        </w:rPr>
        <w:t>la tendencia de equilibrio</w:t>
      </w:r>
      <w:r>
        <w:rPr>
          <w:rFonts w:ascii="Arial Narrow" w:hAnsi="Arial Narrow" w:cs="Arial"/>
          <w:sz w:val="24"/>
          <w:szCs w:val="24"/>
        </w:rPr>
        <w:t xml:space="preserve"> económico</w:t>
      </w:r>
      <w:r w:rsidRPr="00870785">
        <w:rPr>
          <w:rFonts w:ascii="Arial Narrow" w:hAnsi="Arial Narrow" w:cs="Arial"/>
          <w:sz w:val="24"/>
          <w:szCs w:val="24"/>
        </w:rPr>
        <w:t xml:space="preserve">, cerrando </w:t>
      </w:r>
      <w:r>
        <w:rPr>
          <w:rFonts w:ascii="Arial Narrow" w:hAnsi="Arial Narrow" w:cs="Arial"/>
          <w:sz w:val="24"/>
          <w:szCs w:val="24"/>
        </w:rPr>
        <w:t xml:space="preserve">el ejercicio 2019 </w:t>
      </w:r>
      <w:r w:rsidRPr="00870785">
        <w:rPr>
          <w:rFonts w:ascii="Arial Narrow" w:hAnsi="Arial Narrow" w:cs="Arial"/>
          <w:sz w:val="24"/>
          <w:szCs w:val="24"/>
        </w:rPr>
        <w:t>sin pérdidas</w:t>
      </w:r>
      <w:r>
        <w:rPr>
          <w:rFonts w:ascii="Arial Narrow" w:hAnsi="Arial Narrow" w:cs="Arial"/>
          <w:sz w:val="24"/>
          <w:szCs w:val="24"/>
        </w:rPr>
        <w:t>,</w:t>
      </w:r>
      <w:r w:rsidRPr="00A0687F">
        <w:t xml:space="preserve"> </w:t>
      </w:r>
      <w:r w:rsidRPr="00A0687F">
        <w:rPr>
          <w:rFonts w:ascii="Arial Narrow" w:hAnsi="Arial Narrow" w:cs="Arial"/>
          <w:sz w:val="24"/>
          <w:szCs w:val="24"/>
        </w:rPr>
        <w:t>entendiendo por pérdidas aquellas que no están financiadas por aportaciones de la CAC,</w:t>
      </w:r>
      <w:r w:rsidRPr="00870785">
        <w:rPr>
          <w:rFonts w:ascii="Arial Narrow" w:hAnsi="Arial Narrow" w:cs="Arial"/>
          <w:sz w:val="24"/>
          <w:szCs w:val="24"/>
        </w:rPr>
        <w:t xml:space="preserve"> </w:t>
      </w:r>
      <w:r>
        <w:rPr>
          <w:rFonts w:ascii="Arial Narrow" w:hAnsi="Arial Narrow" w:cs="Arial"/>
          <w:sz w:val="24"/>
          <w:szCs w:val="24"/>
        </w:rPr>
        <w:t>y con unos niveles de actividad superiores a las previsiones iniciales previstas en el PAIF inicial de este ejercicio 2019, y que ya suponían un importante incremento de actividad sobre la del ejercicio anterior, y que supone por primera vez en muchos años acercarnos a los niveles de actividad previos a los efectos en el ITC de la crisis internacional de 2008-2009.</w:t>
      </w:r>
    </w:p>
    <w:p w14:paraId="6C5BB029" w14:textId="77777777" w:rsidR="00615A1B" w:rsidRDefault="00615A1B" w:rsidP="00615A1B">
      <w:pPr>
        <w:jc w:val="both"/>
        <w:rPr>
          <w:rFonts w:ascii="Arial Narrow" w:hAnsi="Arial Narrow" w:cs="Arial"/>
          <w:sz w:val="24"/>
          <w:szCs w:val="24"/>
        </w:rPr>
      </w:pPr>
    </w:p>
    <w:p w14:paraId="1481FAE0" w14:textId="77777777" w:rsidR="00615A1B" w:rsidRDefault="00615A1B" w:rsidP="00615A1B">
      <w:pPr>
        <w:jc w:val="both"/>
        <w:rPr>
          <w:rFonts w:ascii="Arial Narrow" w:hAnsi="Arial Narrow" w:cs="Arial"/>
          <w:sz w:val="24"/>
          <w:szCs w:val="24"/>
        </w:rPr>
      </w:pPr>
      <w:r>
        <w:rPr>
          <w:rFonts w:ascii="Arial Narrow" w:hAnsi="Arial Narrow" w:cs="Arial"/>
          <w:sz w:val="24"/>
          <w:szCs w:val="24"/>
        </w:rPr>
        <w:t>En el ejercicio 2019 se ha producido</w:t>
      </w:r>
      <w:r w:rsidRPr="00870785">
        <w:rPr>
          <w:rFonts w:ascii="Arial Narrow" w:hAnsi="Arial Narrow" w:cs="Arial"/>
          <w:sz w:val="24"/>
          <w:szCs w:val="24"/>
        </w:rPr>
        <w:t xml:space="preserve"> un </w:t>
      </w:r>
      <w:r>
        <w:rPr>
          <w:rFonts w:ascii="Arial Narrow" w:hAnsi="Arial Narrow" w:cs="Arial"/>
          <w:sz w:val="24"/>
          <w:szCs w:val="24"/>
        </w:rPr>
        <w:t xml:space="preserve">significativo </w:t>
      </w:r>
      <w:r w:rsidRPr="00870785">
        <w:rPr>
          <w:rFonts w:ascii="Arial Narrow" w:hAnsi="Arial Narrow" w:cs="Arial"/>
          <w:sz w:val="24"/>
          <w:szCs w:val="24"/>
        </w:rPr>
        <w:t>incremento de actividad</w:t>
      </w:r>
      <w:r>
        <w:rPr>
          <w:rFonts w:ascii="Arial Narrow" w:hAnsi="Arial Narrow" w:cs="Arial"/>
          <w:sz w:val="24"/>
          <w:szCs w:val="24"/>
        </w:rPr>
        <w:t>,</w:t>
      </w:r>
      <w:r w:rsidRPr="00870785">
        <w:rPr>
          <w:rFonts w:ascii="Arial Narrow" w:hAnsi="Arial Narrow" w:cs="Arial"/>
          <w:sz w:val="24"/>
          <w:szCs w:val="24"/>
        </w:rPr>
        <w:t xml:space="preserve"> de casi un </w:t>
      </w:r>
      <w:r>
        <w:rPr>
          <w:rFonts w:ascii="Arial Narrow" w:hAnsi="Arial Narrow" w:cs="Arial"/>
          <w:sz w:val="24"/>
          <w:szCs w:val="24"/>
        </w:rPr>
        <w:t>1</w:t>
      </w:r>
      <w:r w:rsidRPr="00870785">
        <w:rPr>
          <w:rFonts w:ascii="Arial Narrow" w:hAnsi="Arial Narrow" w:cs="Arial"/>
          <w:sz w:val="24"/>
          <w:szCs w:val="24"/>
        </w:rPr>
        <w:t>0%</w:t>
      </w:r>
      <w:r>
        <w:rPr>
          <w:rFonts w:ascii="Arial Narrow" w:hAnsi="Arial Narrow" w:cs="Arial"/>
          <w:sz w:val="24"/>
          <w:szCs w:val="24"/>
        </w:rPr>
        <w:t>,</w:t>
      </w:r>
      <w:r w:rsidRPr="00870785">
        <w:rPr>
          <w:rFonts w:ascii="Arial Narrow" w:hAnsi="Arial Narrow" w:cs="Arial"/>
          <w:sz w:val="24"/>
          <w:szCs w:val="24"/>
        </w:rPr>
        <w:t xml:space="preserve"> sobre el ejercicio 201</w:t>
      </w:r>
      <w:r>
        <w:rPr>
          <w:rFonts w:ascii="Arial Narrow" w:hAnsi="Arial Narrow" w:cs="Arial"/>
          <w:sz w:val="24"/>
          <w:szCs w:val="24"/>
        </w:rPr>
        <w:t>8</w:t>
      </w:r>
      <w:r w:rsidRPr="00870785">
        <w:rPr>
          <w:rFonts w:ascii="Arial Narrow" w:hAnsi="Arial Narrow" w:cs="Arial"/>
          <w:sz w:val="24"/>
          <w:szCs w:val="24"/>
        </w:rPr>
        <w:t xml:space="preserve">, </w:t>
      </w:r>
      <w:r>
        <w:rPr>
          <w:rFonts w:ascii="Arial Narrow" w:hAnsi="Arial Narrow" w:cs="Arial"/>
          <w:sz w:val="24"/>
          <w:szCs w:val="24"/>
        </w:rPr>
        <w:t xml:space="preserve">y que de forma acumulativa ya asciende a un 42% en el trienio 2017-2019, desde el cambio de tendencia iniciado a finales del ejercicio 2016, y que con ello ya nos </w:t>
      </w:r>
      <w:r w:rsidRPr="00870785">
        <w:rPr>
          <w:rFonts w:ascii="Arial Narrow" w:hAnsi="Arial Narrow" w:cs="Arial"/>
          <w:sz w:val="24"/>
          <w:szCs w:val="24"/>
        </w:rPr>
        <w:t>acerc</w:t>
      </w:r>
      <w:r>
        <w:rPr>
          <w:rFonts w:ascii="Arial Narrow" w:hAnsi="Arial Narrow" w:cs="Arial"/>
          <w:sz w:val="24"/>
          <w:szCs w:val="24"/>
        </w:rPr>
        <w:t>amos</w:t>
      </w:r>
      <w:r w:rsidRPr="00870785">
        <w:rPr>
          <w:rFonts w:ascii="Arial Narrow" w:hAnsi="Arial Narrow" w:cs="Arial"/>
          <w:sz w:val="24"/>
          <w:szCs w:val="24"/>
        </w:rPr>
        <w:t xml:space="preserve"> a los niveles de actividad </w:t>
      </w:r>
      <w:r>
        <w:rPr>
          <w:rFonts w:ascii="Arial Narrow" w:hAnsi="Arial Narrow" w:cs="Arial"/>
          <w:sz w:val="24"/>
          <w:szCs w:val="24"/>
        </w:rPr>
        <w:t>previos a la crisis internacional</w:t>
      </w:r>
      <w:r w:rsidRPr="00870785">
        <w:rPr>
          <w:rFonts w:ascii="Arial Narrow" w:hAnsi="Arial Narrow" w:cs="Arial"/>
          <w:sz w:val="24"/>
          <w:szCs w:val="24"/>
        </w:rPr>
        <w:t>. Pero con</w:t>
      </w:r>
      <w:r>
        <w:rPr>
          <w:rFonts w:ascii="Arial Narrow" w:hAnsi="Arial Narrow" w:cs="Arial"/>
          <w:sz w:val="24"/>
          <w:szCs w:val="24"/>
        </w:rPr>
        <w:t xml:space="preserve"> dos importantes matices a considerar, el primero</w:t>
      </w:r>
      <w:r w:rsidRPr="00870785">
        <w:rPr>
          <w:rFonts w:ascii="Arial Narrow" w:hAnsi="Arial Narrow" w:cs="Arial"/>
          <w:sz w:val="24"/>
          <w:szCs w:val="24"/>
        </w:rPr>
        <w:t xml:space="preserve"> que </w:t>
      </w:r>
      <w:r>
        <w:rPr>
          <w:rFonts w:ascii="Arial Narrow" w:hAnsi="Arial Narrow" w:cs="Arial"/>
          <w:sz w:val="24"/>
          <w:szCs w:val="24"/>
        </w:rPr>
        <w:t xml:space="preserve">estos niveles de incremento de actividad se han logrado sin la necesidad de incrementar la financiación genérica de la empresa que nos concede la CAC en su condición de socio único, y el segundo que, a diferencia de ejercicios anteriores, estos ejercicios 2017,2018 y 2019 se han cerrado en equilibrio sin incurrir en pérdidas sin financiación, y no sólo sin la necesidad de acordar reducciones salariales de los trabajadores, sino que estos han recuperado la totalidad de las reducciones acordadas con motivo de la crisis, y percibiendo ya desde 2019 el 100% de sus retribuciones. </w:t>
      </w:r>
    </w:p>
    <w:p w14:paraId="59821F17" w14:textId="77777777" w:rsidR="00615A1B" w:rsidRDefault="00615A1B" w:rsidP="00615A1B">
      <w:pPr>
        <w:jc w:val="both"/>
        <w:rPr>
          <w:rFonts w:ascii="Arial Narrow" w:hAnsi="Arial Narrow" w:cs="Arial"/>
          <w:sz w:val="24"/>
          <w:szCs w:val="24"/>
        </w:rPr>
      </w:pPr>
    </w:p>
    <w:p w14:paraId="6FEFACA4" w14:textId="4979EB19" w:rsidR="00615A1B" w:rsidRDefault="00615A1B" w:rsidP="00615A1B">
      <w:pPr>
        <w:jc w:val="both"/>
        <w:rPr>
          <w:rFonts w:ascii="Arial Narrow" w:hAnsi="Arial Narrow" w:cs="Arial"/>
          <w:sz w:val="24"/>
          <w:szCs w:val="24"/>
        </w:rPr>
      </w:pPr>
      <w:r>
        <w:rPr>
          <w:rFonts w:ascii="Arial Narrow" w:hAnsi="Arial Narrow" w:cs="Arial"/>
          <w:sz w:val="24"/>
          <w:szCs w:val="24"/>
        </w:rPr>
        <w:t>Asimismo, debe destacarse que desde el inicio del ejercicio 2017 el ITC ha realizado, para poder hacer frente al incremento de actividad, a un total de más de cincuenta  nuevas contrataciones de personal laboral, habiéndose incrementado la plantilla en más de un 30%. Muchas de dichas nuevas incorporaciones corresponden a perfiles de personas jóvenes que adquieren su primera experiencia profesional en los ámbitos estratégicos que desarrolla el ITC y que sin duda facilitarán el posterior desarrollo de su carrera profesional, y además todo ello sin contar con las múltiples becas formativas de diversa índole, estancias e intercambios de personal que se forma gracias a la actividad del ITC.</w:t>
      </w:r>
    </w:p>
    <w:p w14:paraId="58BEF002" w14:textId="77777777" w:rsidR="00615A1B" w:rsidRDefault="00615A1B" w:rsidP="00615A1B">
      <w:pPr>
        <w:jc w:val="both"/>
        <w:rPr>
          <w:rFonts w:ascii="Arial Narrow" w:hAnsi="Arial Narrow" w:cs="Arial"/>
          <w:sz w:val="24"/>
          <w:szCs w:val="24"/>
        </w:rPr>
      </w:pPr>
    </w:p>
    <w:p w14:paraId="300A743D" w14:textId="77777777" w:rsidR="00615A1B" w:rsidRDefault="00615A1B" w:rsidP="00615A1B">
      <w:pPr>
        <w:jc w:val="both"/>
        <w:rPr>
          <w:rFonts w:ascii="Arial Narrow" w:hAnsi="Arial Narrow" w:cs="Arial"/>
          <w:sz w:val="24"/>
          <w:szCs w:val="24"/>
        </w:rPr>
      </w:pPr>
      <w:r>
        <w:rPr>
          <w:rFonts w:ascii="Arial Narrow" w:hAnsi="Arial Narrow" w:cs="Arial"/>
          <w:sz w:val="24"/>
          <w:szCs w:val="24"/>
        </w:rPr>
        <w:t>También debe destacarse que, otra de las medidas recogidas en el Plan de Reestructuración, el ITC ha potenciado el objetivo de captar nuevas fuentes de financiación y de optimizar sus recursos para poder seguir desarrollando su actividad, habiendo sido capaz, desde el cambio de tendencia del ejercicio 2016, de haber captado, en concurrencia competitiva con el resto de solicitantes, un total de casi cincuenta nuevos proyectos de I+D+i, por un importe total superior a los diecisiete millones de financiación adicional. Lo que ha permitido que el importe de las subvenciones o ayudas no provenientes de la Administración de la Comunidad Autónoma de Canarias se hayan casi triplicado en este período 2017-2019, y que los ingresos accesorios u otros de gestión se hayan más que duplicado en este mismo período.</w:t>
      </w:r>
    </w:p>
    <w:p w14:paraId="1C1A1723" w14:textId="77777777" w:rsidR="00615A1B" w:rsidRDefault="00615A1B" w:rsidP="00615A1B">
      <w:pPr>
        <w:jc w:val="both"/>
        <w:rPr>
          <w:rFonts w:ascii="Arial Narrow" w:hAnsi="Arial Narrow" w:cs="Arial"/>
          <w:sz w:val="24"/>
          <w:szCs w:val="24"/>
        </w:rPr>
      </w:pPr>
    </w:p>
    <w:p w14:paraId="2FF65E6D" w14:textId="77777777" w:rsidR="00615A1B" w:rsidRDefault="00615A1B" w:rsidP="00615A1B">
      <w:pPr>
        <w:jc w:val="both"/>
        <w:rPr>
          <w:rFonts w:ascii="Arial Narrow" w:hAnsi="Arial Narrow" w:cs="Arial"/>
          <w:sz w:val="24"/>
          <w:szCs w:val="24"/>
        </w:rPr>
      </w:pPr>
      <w:r>
        <w:rPr>
          <w:rFonts w:ascii="Arial Narrow" w:hAnsi="Arial Narrow" w:cs="Arial"/>
          <w:sz w:val="24"/>
          <w:szCs w:val="24"/>
        </w:rPr>
        <w:t>Otro aspecto a resaltar es el esfuerzo realizado en materia de transferencia tecnológica, que constituye uno de los objetos esenciales del ITC, y en la que además de los tres contratos de transferencia firmados con empresas privadas para transferirles el conocimiento y experiencia adquiridos previamente por el ITC, debe hacerse mención especial a la creación de la primera SPIN OFF creada en el seno del ITC, Osteobionix, empresa tecnológica ligada al área de actividad de Ingeniería Biomédica y que nació con el objetivo de llevar al mercado los resultados del conocimiento científico y tecnológico generado por este ente público en el desarrollo de implantes para la reconstrucción ósea en veterinaria y en humanos. Y que ya lleva dos años de vida compitiendo en el mercado y que actualmente está en fase clara de crecimiento y expansión.</w:t>
      </w:r>
    </w:p>
    <w:p w14:paraId="199144BB" w14:textId="77777777" w:rsidR="00615A1B" w:rsidRDefault="00615A1B" w:rsidP="00615A1B">
      <w:pPr>
        <w:jc w:val="both"/>
        <w:rPr>
          <w:rFonts w:ascii="Arial Narrow" w:hAnsi="Arial Narrow" w:cs="Arial"/>
          <w:sz w:val="24"/>
          <w:szCs w:val="24"/>
        </w:rPr>
      </w:pPr>
    </w:p>
    <w:p w14:paraId="75067832" w14:textId="77777777" w:rsidR="00615A1B" w:rsidRDefault="00615A1B" w:rsidP="00615A1B">
      <w:pPr>
        <w:jc w:val="both"/>
        <w:rPr>
          <w:rFonts w:ascii="Arial Narrow" w:hAnsi="Arial Narrow" w:cs="Arial"/>
          <w:sz w:val="24"/>
          <w:szCs w:val="24"/>
        </w:rPr>
      </w:pPr>
      <w:r>
        <w:rPr>
          <w:rFonts w:ascii="Arial Narrow" w:hAnsi="Arial Narrow" w:cs="Arial"/>
          <w:sz w:val="24"/>
          <w:szCs w:val="24"/>
        </w:rPr>
        <w:t>Con respecto al análisis de los datos de ejecución 2019 y en comparación con los datos de ejecución del ejercicio anterior 2018, desde la perspectiva de ingresos de explotación se observa que los ingresos de explotación de 2019 crecen en torno a un 10% sobre los del ejercicio anterior, si bien dicho incremento no es homogéneo entre los ingresos o de la cifra de negocio, que sólo se incrementan en un 1,5%, y los otros ingresos de explotación que crecen en torno a un 17%, tanto los ingresos por subvenciones recibidas, principalmente por ejecución de proyectos, como los accesorios o de gestión. Por lo que puede concluirse que el incremento de actividad del ejercicio 2019 en relación con el 2018 se ha basado en el incremento en la ejecución de proyectos de I+D+i, cuyos ingresos en concreto se han incrementado en más de un 30%.</w:t>
      </w:r>
    </w:p>
    <w:p w14:paraId="143E1432" w14:textId="77777777" w:rsidR="00615A1B" w:rsidRDefault="00615A1B" w:rsidP="00615A1B">
      <w:pPr>
        <w:jc w:val="both"/>
        <w:rPr>
          <w:rFonts w:ascii="Arial Narrow" w:hAnsi="Arial Narrow" w:cs="Arial"/>
          <w:sz w:val="24"/>
          <w:szCs w:val="24"/>
        </w:rPr>
      </w:pPr>
    </w:p>
    <w:p w14:paraId="2C9989B9" w14:textId="77777777" w:rsidR="00615A1B" w:rsidRDefault="00615A1B" w:rsidP="00615A1B">
      <w:pPr>
        <w:spacing w:line="276" w:lineRule="auto"/>
        <w:jc w:val="both"/>
        <w:rPr>
          <w:rFonts w:ascii="Arial Narrow" w:hAnsi="Arial Narrow" w:cs="Arial"/>
          <w:sz w:val="24"/>
          <w:szCs w:val="24"/>
        </w:rPr>
      </w:pPr>
      <w:r>
        <w:rPr>
          <w:rFonts w:ascii="Arial Narrow" w:hAnsi="Arial Narrow" w:cs="Arial"/>
          <w:sz w:val="24"/>
          <w:szCs w:val="24"/>
        </w:rPr>
        <w:t xml:space="preserve">A nivel de gastos, los gastos de explotación del ejercicio 2019  se han incrementado en un 7,33% con respecto a los del ejercicio anterior 2018. Dicho incremento en principio inferior al de los ingresos de explotación queda explicado al analizar la evolución de sus dos principales componentes, los gastos de  personal y los otros gastos de explotación. </w:t>
      </w:r>
    </w:p>
    <w:p w14:paraId="19454398" w14:textId="77777777" w:rsidR="00615A1B" w:rsidRDefault="00615A1B" w:rsidP="00615A1B">
      <w:pPr>
        <w:spacing w:line="276" w:lineRule="auto"/>
        <w:jc w:val="both"/>
        <w:rPr>
          <w:rFonts w:ascii="Arial Narrow" w:hAnsi="Arial Narrow" w:cs="Arial"/>
          <w:sz w:val="24"/>
          <w:szCs w:val="24"/>
        </w:rPr>
      </w:pPr>
    </w:p>
    <w:p w14:paraId="113ED957" w14:textId="77777777" w:rsidR="00615A1B" w:rsidRDefault="00615A1B" w:rsidP="00615A1B">
      <w:pPr>
        <w:spacing w:line="276" w:lineRule="auto"/>
        <w:jc w:val="both"/>
        <w:rPr>
          <w:rFonts w:ascii="Arial Narrow" w:hAnsi="Arial Narrow" w:cs="Arial"/>
          <w:sz w:val="24"/>
          <w:szCs w:val="24"/>
          <w:lang w:eastAsia="es-ES"/>
        </w:rPr>
      </w:pPr>
      <w:r>
        <w:rPr>
          <w:rFonts w:ascii="Arial Narrow" w:hAnsi="Arial Narrow" w:cs="Arial"/>
          <w:sz w:val="24"/>
          <w:szCs w:val="24"/>
        </w:rPr>
        <w:t xml:space="preserve">Así </w:t>
      </w:r>
      <w:r w:rsidRPr="00BE0D9A">
        <w:rPr>
          <w:rFonts w:ascii="Arial Narrow" w:hAnsi="Arial Narrow" w:cs="Arial"/>
          <w:sz w:val="24"/>
          <w:szCs w:val="24"/>
          <w:lang w:eastAsia="es-ES"/>
        </w:rPr>
        <w:t>y centrándonos inicialmente en los ga</w:t>
      </w:r>
      <w:r>
        <w:rPr>
          <w:rFonts w:ascii="Arial Narrow" w:hAnsi="Arial Narrow" w:cs="Arial"/>
          <w:sz w:val="24"/>
          <w:szCs w:val="24"/>
          <w:lang w:eastAsia="es-ES"/>
        </w:rPr>
        <w:t>s</w:t>
      </w:r>
      <w:r w:rsidRPr="00BE0D9A">
        <w:rPr>
          <w:rFonts w:ascii="Arial Narrow" w:hAnsi="Arial Narrow" w:cs="Arial"/>
          <w:sz w:val="24"/>
          <w:szCs w:val="24"/>
          <w:lang w:eastAsia="es-ES"/>
        </w:rPr>
        <w:t>tos de personal por su importancia, durante el 201</w:t>
      </w:r>
      <w:r>
        <w:rPr>
          <w:rFonts w:ascii="Arial Narrow" w:hAnsi="Arial Narrow" w:cs="Arial"/>
          <w:sz w:val="24"/>
          <w:szCs w:val="24"/>
          <w:lang w:eastAsia="es-ES"/>
        </w:rPr>
        <w:t>9</w:t>
      </w:r>
      <w:r w:rsidRPr="00BE0D9A">
        <w:rPr>
          <w:rFonts w:ascii="Arial Narrow" w:hAnsi="Arial Narrow" w:cs="Arial"/>
          <w:sz w:val="24"/>
          <w:szCs w:val="24"/>
          <w:lang w:eastAsia="es-ES"/>
        </w:rPr>
        <w:t>, tras la reestructuración organizativa realizada en el ejercicio anterior para ajustar la estructura al nivel de actividad de la empresa, se ha continuado incrementado la plantilla para hacer frente a los incrementos en la actividad, mediante el refuerzo de los departamentos de I+D+i. Así la plantilla al cierre del ejercicio 201</w:t>
      </w:r>
      <w:r>
        <w:rPr>
          <w:rFonts w:ascii="Arial Narrow" w:hAnsi="Arial Narrow" w:cs="Arial"/>
          <w:sz w:val="24"/>
          <w:szCs w:val="24"/>
          <w:lang w:eastAsia="es-ES"/>
        </w:rPr>
        <w:t>9</w:t>
      </w:r>
      <w:r w:rsidRPr="00BE0D9A">
        <w:rPr>
          <w:rFonts w:ascii="Arial Narrow" w:hAnsi="Arial Narrow" w:cs="Arial"/>
          <w:sz w:val="24"/>
          <w:szCs w:val="24"/>
          <w:lang w:eastAsia="es-ES"/>
        </w:rPr>
        <w:t xml:space="preserve"> se situó en 1</w:t>
      </w:r>
      <w:r>
        <w:rPr>
          <w:rFonts w:ascii="Arial Narrow" w:hAnsi="Arial Narrow" w:cs="Arial"/>
          <w:sz w:val="24"/>
          <w:szCs w:val="24"/>
          <w:lang w:eastAsia="es-ES"/>
        </w:rPr>
        <w:t xml:space="preserve">87 </w:t>
      </w:r>
      <w:r w:rsidRPr="00BE0D9A">
        <w:rPr>
          <w:rFonts w:ascii="Arial Narrow" w:hAnsi="Arial Narrow" w:cs="Arial"/>
          <w:sz w:val="24"/>
          <w:szCs w:val="24"/>
          <w:lang w:eastAsia="es-ES"/>
        </w:rPr>
        <w:t>personas por las 1</w:t>
      </w:r>
      <w:r>
        <w:rPr>
          <w:rFonts w:ascii="Arial Narrow" w:hAnsi="Arial Narrow" w:cs="Arial"/>
          <w:sz w:val="24"/>
          <w:szCs w:val="24"/>
          <w:lang w:eastAsia="es-ES"/>
        </w:rPr>
        <w:t>65</w:t>
      </w:r>
      <w:r w:rsidRPr="00BE0D9A">
        <w:rPr>
          <w:rFonts w:ascii="Arial Narrow" w:hAnsi="Arial Narrow" w:cs="Arial"/>
          <w:sz w:val="24"/>
          <w:szCs w:val="24"/>
          <w:lang w:eastAsia="es-ES"/>
        </w:rPr>
        <w:t xml:space="preserve"> personas al cierre del ejercicio 2</w:t>
      </w:r>
      <w:r>
        <w:rPr>
          <w:rFonts w:ascii="Arial Narrow" w:hAnsi="Arial Narrow" w:cs="Arial"/>
          <w:sz w:val="24"/>
          <w:szCs w:val="24"/>
          <w:lang w:eastAsia="es-ES"/>
        </w:rPr>
        <w:t>018</w:t>
      </w:r>
      <w:r w:rsidRPr="00BE0D9A">
        <w:rPr>
          <w:rFonts w:ascii="Arial Narrow" w:hAnsi="Arial Narrow" w:cs="Arial"/>
          <w:sz w:val="24"/>
          <w:szCs w:val="24"/>
          <w:lang w:eastAsia="es-ES"/>
        </w:rPr>
        <w:t>.</w:t>
      </w:r>
      <w:r>
        <w:rPr>
          <w:rFonts w:ascii="Arial Narrow" w:hAnsi="Arial Narrow" w:cs="Arial"/>
          <w:sz w:val="24"/>
          <w:szCs w:val="24"/>
          <w:lang w:eastAsia="es-ES"/>
        </w:rPr>
        <w:t xml:space="preserve"> Y en coherencia con dicho incremento de plantilla y los incrementos salariales previstos con carácter básico en la normativa estatal y la recuperación del 5% acordada con los trabajadores de acuerdo con lo previsto en la Ley de Presupuestos Generales de la CAC para este ejercicio 2019, los gastos de personal se han incrementado en torno a un 20%, y en este ejercicio 2019 representan más del 70% del total de gastos de explotación de la empresa.</w:t>
      </w:r>
    </w:p>
    <w:p w14:paraId="33249E25" w14:textId="77777777" w:rsidR="00615A1B" w:rsidRDefault="00615A1B" w:rsidP="00615A1B">
      <w:pPr>
        <w:spacing w:line="276" w:lineRule="auto"/>
        <w:jc w:val="both"/>
        <w:rPr>
          <w:rFonts w:ascii="Arial Narrow" w:hAnsi="Arial Narrow" w:cs="Arial"/>
          <w:sz w:val="24"/>
          <w:szCs w:val="24"/>
          <w:lang w:eastAsia="es-ES"/>
        </w:rPr>
      </w:pPr>
    </w:p>
    <w:p w14:paraId="1ED3CC7B" w14:textId="77777777" w:rsidR="00615A1B" w:rsidRDefault="00615A1B" w:rsidP="00615A1B">
      <w:pPr>
        <w:jc w:val="both"/>
        <w:rPr>
          <w:rFonts w:ascii="Arial Narrow" w:hAnsi="Arial Narrow" w:cs="Arial"/>
          <w:highlight w:val="yellow"/>
        </w:rPr>
      </w:pPr>
      <w:r>
        <w:rPr>
          <w:rFonts w:ascii="Arial Narrow" w:hAnsi="Arial Narrow" w:cs="Arial"/>
          <w:sz w:val="24"/>
          <w:szCs w:val="24"/>
          <w:lang w:eastAsia="es-ES"/>
        </w:rPr>
        <w:t xml:space="preserve">A su vez los restantes gastos de explotación, sin contar con la dotación a la amortización, sufren una reducción de un 12%. No obstante dicha reducción está condicionada por el efecto del </w:t>
      </w:r>
      <w:r w:rsidRPr="0024479B">
        <w:rPr>
          <w:rFonts w:ascii="Arial Narrow" w:hAnsi="Arial Narrow" w:cs="Arial"/>
          <w:sz w:val="24"/>
          <w:szCs w:val="24"/>
          <w:lang w:eastAsia="es-ES"/>
        </w:rPr>
        <w:t xml:space="preserve">Convenio de Colaboración entre Gobierno de Canarias, Cabildo Insular de Fuerteventura, Parque Tecnológico de Fuerteventura, S.A., e Instituto Tecnológico de Canarias, S.A., para la Gestión, Explotación, Mantenimiento y Promoción del Parque Tecnológico de Fuerteventura (publicado en Boletín Oficial de Canarias el 18 de diciembre de 2017) y el </w:t>
      </w:r>
      <w:r w:rsidRPr="0024479B">
        <w:rPr>
          <w:rFonts w:ascii="Arial Narrow" w:hAnsi="Arial Narrow" w:cs="Arial"/>
          <w:sz w:val="24"/>
          <w:szCs w:val="24"/>
        </w:rPr>
        <w:t xml:space="preserve">Convenio de Colaboración con la Fundación Canaria Parque Científico Tecnológico de la Universidad de Las Palmas de Gran Canaria </w:t>
      </w:r>
      <w:r w:rsidRPr="0024479B">
        <w:rPr>
          <w:rFonts w:ascii="Arial Narrow" w:hAnsi="Arial Narrow" w:cs="Arial"/>
          <w:i/>
          <w:sz w:val="24"/>
          <w:szCs w:val="24"/>
          <w:lang w:eastAsia="es-ES"/>
        </w:rPr>
        <w:t>para la Gestión, Explotación y Mantenimiento y Promoción del Edificio Polivalente III del Parque Tecnológico en el Campus Universitario de Tafira (UT-30 Subparcela B)</w:t>
      </w:r>
      <w:r w:rsidRPr="0024479B">
        <w:rPr>
          <w:rFonts w:ascii="Arial Narrow" w:hAnsi="Arial Narrow" w:cs="Arial"/>
          <w:sz w:val="24"/>
          <w:szCs w:val="24"/>
        </w:rPr>
        <w:t xml:space="preserve"> por lo que el ITC anualmente pasa anualmente a cada partícipe cuota de participación para compensar el déficit que estos gastos supondrían al ITC, el importe total de los gastos incorporados por este efecto en 2019 asciende a un total de casi 448 mil euros</w:t>
      </w:r>
      <w:r>
        <w:rPr>
          <w:rFonts w:ascii="Arial Narrow" w:hAnsi="Arial Narrow" w:cs="Arial"/>
          <w:sz w:val="24"/>
          <w:szCs w:val="24"/>
        </w:rPr>
        <w:t xml:space="preserve"> y de cerca 1 MM de euros en 2018</w:t>
      </w:r>
      <w:r w:rsidRPr="0024479B">
        <w:rPr>
          <w:rFonts w:ascii="Arial Narrow" w:hAnsi="Arial Narrow" w:cs="Arial"/>
          <w:sz w:val="24"/>
          <w:szCs w:val="24"/>
          <w:lang w:eastAsia="es-ES"/>
        </w:rPr>
        <w:t>,</w:t>
      </w:r>
      <w:r>
        <w:rPr>
          <w:rFonts w:ascii="Arial Narrow" w:hAnsi="Arial Narrow" w:cs="Arial"/>
          <w:sz w:val="24"/>
          <w:szCs w:val="24"/>
          <w:lang w:eastAsia="es-ES"/>
        </w:rPr>
        <w:t xml:space="preserve"> sin dicho efecto el incremento real se situaría en torno al 1,17% Dicho incremento se produce fundamentalmente por el incremento de </w:t>
      </w:r>
      <w:r w:rsidRPr="00BE0D9A">
        <w:rPr>
          <w:rFonts w:ascii="Arial Narrow" w:hAnsi="Arial Narrow" w:cs="Arial"/>
          <w:sz w:val="24"/>
          <w:szCs w:val="24"/>
          <w:lang w:eastAsia="es-ES"/>
        </w:rPr>
        <w:t xml:space="preserve">los costes variables de explotación asociados a la ejecución de proyectos </w:t>
      </w:r>
      <w:r>
        <w:rPr>
          <w:rFonts w:ascii="Arial Narrow" w:hAnsi="Arial Narrow" w:cs="Arial"/>
          <w:sz w:val="24"/>
          <w:szCs w:val="24"/>
          <w:lang w:eastAsia="es-ES"/>
        </w:rPr>
        <w:t xml:space="preserve">de I+D+i, que </w:t>
      </w:r>
      <w:r w:rsidRPr="00BE0D9A">
        <w:rPr>
          <w:rFonts w:ascii="Arial Narrow" w:hAnsi="Arial Narrow" w:cs="Arial"/>
          <w:sz w:val="24"/>
          <w:szCs w:val="24"/>
          <w:lang w:eastAsia="es-ES"/>
        </w:rPr>
        <w:t xml:space="preserve">se han visto incrementados como consecuencia del incremento de actividad por la ejecución de </w:t>
      </w:r>
      <w:r>
        <w:rPr>
          <w:rFonts w:ascii="Arial Narrow" w:hAnsi="Arial Narrow" w:cs="Arial"/>
          <w:sz w:val="24"/>
          <w:szCs w:val="24"/>
          <w:lang w:eastAsia="es-ES"/>
        </w:rPr>
        <w:t>estos, mientras que</w:t>
      </w:r>
      <w:r w:rsidRPr="00BE0D9A">
        <w:rPr>
          <w:rFonts w:ascii="Arial Narrow" w:hAnsi="Arial Narrow" w:cs="Arial"/>
          <w:sz w:val="24"/>
          <w:szCs w:val="24"/>
          <w:lang w:eastAsia="es-ES"/>
        </w:rPr>
        <w:t xml:space="preserve"> los costes fijos se han logrado mantener como consecuencia de las medidas de reestructuración</w:t>
      </w:r>
      <w:r>
        <w:rPr>
          <w:rFonts w:ascii="Arial Narrow" w:hAnsi="Arial Narrow" w:cs="Arial"/>
          <w:sz w:val="24"/>
          <w:szCs w:val="24"/>
          <w:lang w:eastAsia="es-ES"/>
        </w:rPr>
        <w:t xml:space="preserve"> adoptadas y porque se ha primado</w:t>
      </w:r>
      <w:r w:rsidRPr="00BE0D9A">
        <w:rPr>
          <w:rFonts w:ascii="Arial Narrow" w:hAnsi="Arial Narrow" w:cs="Arial"/>
          <w:sz w:val="24"/>
          <w:szCs w:val="24"/>
          <w:lang w:eastAsia="es-ES"/>
        </w:rPr>
        <w:t xml:space="preserve"> la ejecución de dichos proyectos</w:t>
      </w:r>
      <w:r>
        <w:rPr>
          <w:rFonts w:ascii="Arial Narrow" w:hAnsi="Arial Narrow" w:cs="Arial"/>
          <w:sz w:val="24"/>
          <w:szCs w:val="24"/>
          <w:lang w:eastAsia="es-ES"/>
        </w:rPr>
        <w:t xml:space="preserve"> con personal propio, reduciendo al mínimo las subcontrataciones, haciendo que el incremento de los costes variables esté muy por debajo al incremento de actividad</w:t>
      </w:r>
      <w:r w:rsidRPr="00BE0D9A">
        <w:rPr>
          <w:rFonts w:ascii="Arial Narrow" w:hAnsi="Arial Narrow" w:cs="Arial"/>
          <w:sz w:val="24"/>
          <w:szCs w:val="24"/>
          <w:lang w:eastAsia="es-ES"/>
        </w:rPr>
        <w:t xml:space="preserve">. </w:t>
      </w:r>
    </w:p>
    <w:p w14:paraId="3E5858C2" w14:textId="77777777" w:rsidR="00615A1B" w:rsidRDefault="00615A1B" w:rsidP="00615A1B">
      <w:pPr>
        <w:spacing w:line="276" w:lineRule="auto"/>
        <w:jc w:val="both"/>
        <w:rPr>
          <w:rFonts w:ascii="Arial Narrow" w:hAnsi="Arial Narrow" w:cs="Arial"/>
          <w:sz w:val="24"/>
          <w:szCs w:val="24"/>
        </w:rPr>
      </w:pPr>
    </w:p>
    <w:p w14:paraId="083D7741" w14:textId="77777777" w:rsidR="00615A1B" w:rsidRDefault="00615A1B" w:rsidP="00615A1B">
      <w:pPr>
        <w:keepNext/>
        <w:keepLines/>
        <w:jc w:val="both"/>
        <w:rPr>
          <w:rFonts w:ascii="Arial Narrow" w:hAnsi="Arial Narrow" w:cs="Arial"/>
          <w:sz w:val="24"/>
          <w:szCs w:val="24"/>
        </w:rPr>
      </w:pPr>
      <w:r>
        <w:rPr>
          <w:rFonts w:ascii="Arial Narrow" w:hAnsi="Arial Narrow" w:cs="Arial"/>
          <w:sz w:val="24"/>
          <w:szCs w:val="24"/>
        </w:rPr>
        <w:t xml:space="preserve">Si nos centramos en los datos de ejecución del ejercicio 2019 y su comparación con los previstos en el PAIF o presupuesto inicial para este ejercicio, desde la perspectiva de ingresos, el PAIF inicial 2019 preveía un mantenimiento de la financiación genérica vía subvenciones de la CAC con respecto al ejercicio anterior, 2018, pero preveía un importante crecimiento, en torno al 9%, de los ingresos de explotación  o financiación afecta,  principalmente por </w:t>
      </w:r>
      <w:proofErr w:type="spellStart"/>
      <w:r>
        <w:rPr>
          <w:rFonts w:ascii="Arial Narrow" w:hAnsi="Arial Narrow" w:cs="Arial"/>
          <w:sz w:val="24"/>
          <w:szCs w:val="24"/>
        </w:rPr>
        <w:t>loslos</w:t>
      </w:r>
      <w:proofErr w:type="spellEnd"/>
      <w:r>
        <w:rPr>
          <w:rFonts w:ascii="Arial Narrow" w:hAnsi="Arial Narrow" w:cs="Arial"/>
          <w:sz w:val="24"/>
          <w:szCs w:val="24"/>
        </w:rPr>
        <w:t xml:space="preserve"> ingresos por ejecución de proyectos de I+D+i.  Y tal y como se ha expuesto anteriormente, se han superado ligeramente los niveles de actividad previstos para este ,  ejercicio 2019, así los ingresos o cifra de negocios por prestación de servicios  y en concreto por encomiendas o encargos recibidos del sector público se incrementaron un 12% sobre los inicialmente previstos, mientras que finalmente la ejecución de proyectos de I+D+i no fue como inicialmente se había previsto, y se redujo casi en un 20% sobre el importe previsto inicialmente. Esta tendencia se produce como consecuencia de los criterios que debemos aplicar a la hora de elaborar el PAIF inicial, donde la cifra inicial de encargos de servicios o encomiendas se ajusta a las previsiones iniciales de los créditos disponibles en ese momento de la Administración de la CAC sin poder considerar el volumen de las que históricamente se van encargando a lo largo de cada ejercicio en función de las necesidades que se van produciendo. Y por ello para poder financiar el volumen de actividad, y consiguientes gastos de la empresa, se presupuestan unos ingresos por ejecución de proyectos de I+D+i que equilibran los mismos, en función de la política de gestión de conocimiento que aplica la empresa, y que prima la ejecución directa a través de su personal, asegurando que el conocimiento permanece en la empresa, y que ante un crecimiento de la actividad y ante las dificultades en poder reaccionar rápidamente incrementando nuestra capacidad de ejecución, vía nuevas contrataciones de personal, prima la ejecución de aquellos ingresos de carácter anual, como encomiendas o encargos de servicio, en detrimento de la ejecución de Proyectos ya que normalmente su componente plurianual permite trasladar parte de estas anualidades 2019 de estos proyectos al ejercicio 2020 o siguientes, asegurando que dichos ingresos no se pierdan.</w:t>
      </w:r>
    </w:p>
    <w:p w14:paraId="3914B262" w14:textId="77777777" w:rsidR="00615A1B" w:rsidRDefault="00615A1B" w:rsidP="00615A1B">
      <w:pPr>
        <w:keepNext/>
        <w:keepLines/>
        <w:jc w:val="both"/>
        <w:rPr>
          <w:rFonts w:ascii="Arial Narrow" w:hAnsi="Arial Narrow" w:cs="Arial"/>
          <w:sz w:val="24"/>
          <w:szCs w:val="24"/>
        </w:rPr>
      </w:pPr>
    </w:p>
    <w:p w14:paraId="6A0C3529" w14:textId="77777777" w:rsidR="00615A1B" w:rsidRPr="00BE0D9A" w:rsidRDefault="00615A1B" w:rsidP="00615A1B">
      <w:pPr>
        <w:spacing w:line="276" w:lineRule="auto"/>
        <w:jc w:val="both"/>
        <w:rPr>
          <w:rFonts w:ascii="Arial Narrow" w:hAnsi="Arial Narrow" w:cs="Arial"/>
          <w:sz w:val="24"/>
          <w:szCs w:val="24"/>
          <w:lang w:eastAsia="es-ES"/>
        </w:rPr>
      </w:pPr>
      <w:r w:rsidRPr="00BE0D9A">
        <w:rPr>
          <w:rFonts w:ascii="Arial Narrow" w:hAnsi="Arial Narrow" w:cs="Arial"/>
          <w:sz w:val="24"/>
          <w:szCs w:val="24"/>
          <w:lang w:eastAsia="es-ES"/>
        </w:rPr>
        <w:t xml:space="preserve">Y desde la perspectiva de gastos, </w:t>
      </w:r>
      <w:r>
        <w:rPr>
          <w:rFonts w:ascii="Arial Narrow" w:hAnsi="Arial Narrow" w:cs="Arial"/>
          <w:sz w:val="24"/>
          <w:szCs w:val="24"/>
          <w:lang w:eastAsia="es-ES"/>
        </w:rPr>
        <w:t xml:space="preserve">en su comparativa con los datos del PAIF o presupuesto inicial 2019, </w:t>
      </w:r>
    </w:p>
    <w:p w14:paraId="716064BF" w14:textId="77777777" w:rsidR="00615A1B" w:rsidRPr="00BE0D9A" w:rsidRDefault="00615A1B" w:rsidP="00615A1B">
      <w:pPr>
        <w:spacing w:line="276" w:lineRule="auto"/>
        <w:jc w:val="both"/>
        <w:rPr>
          <w:rFonts w:ascii="Arial Narrow" w:hAnsi="Arial Narrow" w:cs="Arial"/>
          <w:sz w:val="24"/>
          <w:szCs w:val="24"/>
          <w:lang w:eastAsia="es-ES"/>
        </w:rPr>
      </w:pPr>
    </w:p>
    <w:p w14:paraId="1A05E116" w14:textId="0271D4F9" w:rsidR="00615A1B" w:rsidRPr="00BE0D9A" w:rsidRDefault="00615A1B" w:rsidP="00615A1B">
      <w:pPr>
        <w:jc w:val="both"/>
        <w:rPr>
          <w:rFonts w:ascii="Arial Narrow" w:hAnsi="Arial Narrow" w:cs="Arial"/>
          <w:sz w:val="24"/>
          <w:szCs w:val="24"/>
          <w:lang w:eastAsia="es-ES"/>
        </w:rPr>
      </w:pPr>
      <w:r>
        <w:rPr>
          <w:rFonts w:ascii="Arial Narrow" w:hAnsi="Arial Narrow" w:cs="Arial"/>
          <w:sz w:val="24"/>
          <w:szCs w:val="24"/>
          <w:lang w:eastAsia="es-ES"/>
        </w:rPr>
        <w:t xml:space="preserve"> </w:t>
      </w:r>
      <w:r w:rsidRPr="00BE0D9A">
        <w:rPr>
          <w:rFonts w:ascii="Arial Narrow" w:hAnsi="Arial Narrow" w:cs="Arial"/>
          <w:sz w:val="24"/>
          <w:szCs w:val="24"/>
          <w:lang w:eastAsia="es-ES"/>
        </w:rPr>
        <w:t xml:space="preserve"> la partida de gastos de personal, </w:t>
      </w:r>
      <w:r>
        <w:rPr>
          <w:rFonts w:ascii="Arial Narrow" w:hAnsi="Arial Narrow" w:cs="Arial"/>
          <w:sz w:val="24"/>
          <w:szCs w:val="24"/>
          <w:lang w:eastAsia="es-ES"/>
        </w:rPr>
        <w:t xml:space="preserve">experimenta </w:t>
      </w:r>
      <w:r w:rsidRPr="00BE0D9A">
        <w:rPr>
          <w:rFonts w:ascii="Arial Narrow" w:hAnsi="Arial Narrow" w:cs="Arial"/>
          <w:sz w:val="24"/>
          <w:szCs w:val="24"/>
          <w:lang w:eastAsia="es-ES"/>
        </w:rPr>
        <w:t xml:space="preserve">un incremento </w:t>
      </w:r>
      <w:r>
        <w:rPr>
          <w:rFonts w:ascii="Arial Narrow" w:hAnsi="Arial Narrow" w:cs="Arial"/>
          <w:sz w:val="24"/>
          <w:szCs w:val="24"/>
          <w:lang w:eastAsia="es-ES"/>
        </w:rPr>
        <w:t xml:space="preserve">de un 8,5% </w:t>
      </w:r>
      <w:r w:rsidRPr="00BE0D9A">
        <w:rPr>
          <w:rFonts w:ascii="Arial Narrow" w:hAnsi="Arial Narrow" w:cs="Arial"/>
          <w:sz w:val="24"/>
          <w:szCs w:val="24"/>
          <w:lang w:eastAsia="es-ES"/>
        </w:rPr>
        <w:t xml:space="preserve">sobre los gastos </w:t>
      </w:r>
      <w:r>
        <w:rPr>
          <w:rFonts w:ascii="Arial Narrow" w:hAnsi="Arial Narrow" w:cs="Arial"/>
          <w:sz w:val="24"/>
          <w:szCs w:val="24"/>
          <w:lang w:eastAsia="es-ES"/>
        </w:rPr>
        <w:t>previstos en el PAIF inicial</w:t>
      </w:r>
      <w:r w:rsidRPr="00BE0D9A">
        <w:rPr>
          <w:rFonts w:ascii="Arial Narrow" w:hAnsi="Arial Narrow" w:cs="Arial"/>
          <w:sz w:val="24"/>
          <w:szCs w:val="24"/>
          <w:lang w:eastAsia="es-ES"/>
        </w:rPr>
        <w:t>,  como consecuencia principalmente de los criterios con que se nos trasladó debíamos elaborar el PAIF 201</w:t>
      </w:r>
      <w:r>
        <w:rPr>
          <w:rFonts w:ascii="Arial Narrow" w:hAnsi="Arial Narrow" w:cs="Arial"/>
          <w:sz w:val="24"/>
          <w:szCs w:val="24"/>
          <w:lang w:eastAsia="es-ES"/>
        </w:rPr>
        <w:t>9</w:t>
      </w:r>
      <w:r w:rsidRPr="00BE0D9A">
        <w:rPr>
          <w:rFonts w:ascii="Arial Narrow" w:hAnsi="Arial Narrow" w:cs="Arial"/>
          <w:sz w:val="24"/>
          <w:szCs w:val="24"/>
          <w:lang w:eastAsia="es-ES"/>
        </w:rPr>
        <w:t>, y en el que no se podía incluir el coste de las nuevas contrataciones a realizar en el último trimestre del 201</w:t>
      </w:r>
      <w:r>
        <w:rPr>
          <w:rFonts w:ascii="Arial Narrow" w:hAnsi="Arial Narrow" w:cs="Arial"/>
          <w:sz w:val="24"/>
          <w:szCs w:val="24"/>
          <w:lang w:eastAsia="es-ES"/>
        </w:rPr>
        <w:t>8, ni las nuevas contrataciones que se podrían realizar en 2019,</w:t>
      </w:r>
      <w:r w:rsidRPr="00BE0D9A">
        <w:rPr>
          <w:rFonts w:ascii="Arial Narrow" w:hAnsi="Arial Narrow" w:cs="Arial"/>
          <w:sz w:val="24"/>
          <w:szCs w:val="24"/>
          <w:lang w:eastAsia="es-ES"/>
        </w:rPr>
        <w:t xml:space="preserve"> ni el incremento salarial previsto a aplicar con carácter básico por la Ley de Presupuestos Generales del Estado a los empleados público en 201</w:t>
      </w:r>
      <w:r>
        <w:rPr>
          <w:rFonts w:ascii="Arial Narrow" w:hAnsi="Arial Narrow" w:cs="Arial"/>
          <w:sz w:val="24"/>
          <w:szCs w:val="24"/>
          <w:lang w:eastAsia="es-ES"/>
        </w:rPr>
        <w:t>9</w:t>
      </w:r>
      <w:r w:rsidRPr="00BE0D9A">
        <w:rPr>
          <w:rFonts w:ascii="Arial Narrow" w:hAnsi="Arial Narrow" w:cs="Arial"/>
          <w:sz w:val="24"/>
          <w:szCs w:val="24"/>
          <w:lang w:eastAsia="es-ES"/>
        </w:rPr>
        <w:t>.</w:t>
      </w:r>
      <w:r>
        <w:rPr>
          <w:rFonts w:ascii="Arial Narrow" w:hAnsi="Arial Narrow" w:cs="Arial"/>
          <w:sz w:val="24"/>
          <w:szCs w:val="24"/>
          <w:lang w:eastAsia="es-ES"/>
        </w:rPr>
        <w:t xml:space="preserve"> Asimismo, en este ejercicio se llegó a un nuevo acuerdo con el personal mediante el cual los trabajadores recuperaron el 5% que se les descontó desde el ejercicio 2011 con motivo de la crisis internacional, y que tampoco estaba previsto en el PAIF inicial.</w:t>
      </w:r>
    </w:p>
    <w:p w14:paraId="6E98B978" w14:textId="77777777" w:rsidR="00615A1B" w:rsidRPr="00BE0D9A" w:rsidRDefault="00615A1B" w:rsidP="00615A1B">
      <w:pPr>
        <w:jc w:val="both"/>
        <w:rPr>
          <w:rFonts w:ascii="Arial Narrow" w:hAnsi="Arial Narrow" w:cs="Arial"/>
          <w:sz w:val="24"/>
          <w:szCs w:val="24"/>
          <w:lang w:eastAsia="es-ES"/>
        </w:rPr>
      </w:pPr>
    </w:p>
    <w:p w14:paraId="74101E70" w14:textId="77777777" w:rsidR="00615A1B" w:rsidRPr="00BE0D9A" w:rsidRDefault="00615A1B" w:rsidP="00615A1B">
      <w:pPr>
        <w:jc w:val="both"/>
        <w:rPr>
          <w:rFonts w:ascii="Arial Narrow" w:hAnsi="Arial Narrow" w:cs="Arial"/>
          <w:sz w:val="24"/>
          <w:szCs w:val="24"/>
        </w:rPr>
      </w:pPr>
      <w:r w:rsidRPr="00BE0D9A">
        <w:rPr>
          <w:rFonts w:ascii="Arial Narrow" w:hAnsi="Arial Narrow" w:cs="Arial"/>
          <w:sz w:val="24"/>
          <w:szCs w:val="24"/>
          <w:lang w:eastAsia="es-ES"/>
        </w:rPr>
        <w:t xml:space="preserve">Por su parte el resto de gastos de explotación han experimentado un </w:t>
      </w:r>
      <w:r>
        <w:rPr>
          <w:rFonts w:ascii="Arial Narrow" w:hAnsi="Arial Narrow" w:cs="Arial"/>
          <w:sz w:val="24"/>
          <w:szCs w:val="24"/>
          <w:lang w:eastAsia="es-ES"/>
        </w:rPr>
        <w:t xml:space="preserve">ligero </w:t>
      </w:r>
      <w:r w:rsidRPr="00BE0D9A">
        <w:rPr>
          <w:rFonts w:ascii="Arial Narrow" w:hAnsi="Arial Narrow" w:cs="Arial"/>
          <w:sz w:val="24"/>
          <w:szCs w:val="24"/>
          <w:lang w:eastAsia="es-ES"/>
        </w:rPr>
        <w:t xml:space="preserve">crecimiento en torno a un </w:t>
      </w:r>
      <w:r>
        <w:rPr>
          <w:rFonts w:ascii="Arial Narrow" w:hAnsi="Arial Narrow" w:cs="Arial"/>
          <w:sz w:val="24"/>
          <w:szCs w:val="24"/>
          <w:lang w:eastAsia="es-ES"/>
        </w:rPr>
        <w:t>3,7</w:t>
      </w:r>
      <w:r w:rsidRPr="00BE0D9A">
        <w:rPr>
          <w:rFonts w:ascii="Arial Narrow" w:hAnsi="Arial Narrow" w:cs="Arial"/>
          <w:sz w:val="24"/>
          <w:szCs w:val="24"/>
          <w:lang w:eastAsia="es-ES"/>
        </w:rPr>
        <w:t xml:space="preserve">%, ya que aunque los costes fijos se han logrado mantener como consecuencia de las medidas de reestructuración, los costes variables de explotación asociados a la ejecución de </w:t>
      </w:r>
      <w:r>
        <w:rPr>
          <w:rFonts w:ascii="Arial Narrow" w:hAnsi="Arial Narrow" w:cs="Arial"/>
          <w:sz w:val="24"/>
          <w:szCs w:val="24"/>
          <w:lang w:eastAsia="es-ES"/>
        </w:rPr>
        <w:t xml:space="preserve">encomiendas y </w:t>
      </w:r>
      <w:r w:rsidRPr="00BE0D9A">
        <w:rPr>
          <w:rFonts w:ascii="Arial Narrow" w:hAnsi="Arial Narrow" w:cs="Arial"/>
          <w:sz w:val="24"/>
          <w:szCs w:val="24"/>
          <w:lang w:eastAsia="es-ES"/>
        </w:rPr>
        <w:t xml:space="preserve">proyectos se han visto incrementados como consecuencia del incremento de actividad por la ejecución de </w:t>
      </w:r>
      <w:r>
        <w:rPr>
          <w:rFonts w:ascii="Arial Narrow" w:hAnsi="Arial Narrow" w:cs="Arial"/>
          <w:sz w:val="24"/>
          <w:szCs w:val="24"/>
          <w:lang w:eastAsia="es-ES"/>
        </w:rPr>
        <w:t>estas</w:t>
      </w:r>
      <w:r w:rsidRPr="00BE0D9A">
        <w:rPr>
          <w:rFonts w:ascii="Arial Narrow" w:hAnsi="Arial Narrow" w:cs="Arial"/>
          <w:sz w:val="24"/>
          <w:szCs w:val="24"/>
          <w:lang w:eastAsia="es-ES"/>
        </w:rPr>
        <w:t xml:space="preserve">. </w:t>
      </w:r>
    </w:p>
    <w:p w14:paraId="296C939E" w14:textId="77777777" w:rsidR="00615A1B" w:rsidRDefault="00615A1B" w:rsidP="00615A1B">
      <w:pPr>
        <w:jc w:val="both"/>
        <w:rPr>
          <w:rFonts w:ascii="Arial Narrow" w:hAnsi="Arial Narrow" w:cs="Arial"/>
          <w:sz w:val="24"/>
          <w:szCs w:val="24"/>
        </w:rPr>
      </w:pPr>
    </w:p>
    <w:p w14:paraId="3D48818F" w14:textId="77777777" w:rsidR="00615A1B" w:rsidRDefault="00615A1B" w:rsidP="00615A1B">
      <w:pPr>
        <w:jc w:val="both"/>
        <w:rPr>
          <w:rFonts w:ascii="Arial Narrow" w:hAnsi="Arial Narrow" w:cs="Arial"/>
          <w:sz w:val="24"/>
          <w:szCs w:val="24"/>
        </w:rPr>
      </w:pPr>
      <w:r w:rsidRPr="00A6406D">
        <w:rPr>
          <w:rFonts w:ascii="Arial Narrow" w:hAnsi="Arial Narrow" w:cs="Arial"/>
          <w:sz w:val="24"/>
          <w:szCs w:val="24"/>
        </w:rPr>
        <w:t xml:space="preserve">Teniendo en cuenta toda la información expuesta anteriormente, y la previsión recogida en los </w:t>
      </w:r>
      <w:r>
        <w:rPr>
          <w:rFonts w:ascii="Arial Narrow" w:hAnsi="Arial Narrow" w:cs="Arial"/>
          <w:sz w:val="24"/>
          <w:szCs w:val="24"/>
        </w:rPr>
        <w:t>P</w:t>
      </w:r>
      <w:r w:rsidRPr="00A6406D">
        <w:rPr>
          <w:rFonts w:ascii="Arial Narrow" w:hAnsi="Arial Narrow" w:cs="Arial"/>
          <w:sz w:val="24"/>
          <w:szCs w:val="24"/>
        </w:rPr>
        <w:t xml:space="preserve">resupuestos de </w:t>
      </w:r>
      <w:r>
        <w:rPr>
          <w:rFonts w:ascii="Arial Narrow" w:hAnsi="Arial Narrow" w:cs="Arial"/>
          <w:sz w:val="24"/>
          <w:szCs w:val="24"/>
        </w:rPr>
        <w:t>E</w:t>
      </w:r>
      <w:r w:rsidRPr="00A6406D">
        <w:rPr>
          <w:rFonts w:ascii="Arial Narrow" w:hAnsi="Arial Narrow" w:cs="Arial"/>
          <w:sz w:val="24"/>
          <w:szCs w:val="24"/>
        </w:rPr>
        <w:t xml:space="preserve">xplotación y </w:t>
      </w:r>
      <w:r>
        <w:rPr>
          <w:rFonts w:ascii="Arial Narrow" w:hAnsi="Arial Narrow" w:cs="Arial"/>
          <w:sz w:val="24"/>
          <w:szCs w:val="24"/>
        </w:rPr>
        <w:t>C</w:t>
      </w:r>
      <w:r w:rsidRPr="00A6406D">
        <w:rPr>
          <w:rFonts w:ascii="Arial Narrow" w:hAnsi="Arial Narrow" w:cs="Arial"/>
          <w:sz w:val="24"/>
          <w:szCs w:val="24"/>
        </w:rPr>
        <w:t>apital 20</w:t>
      </w:r>
      <w:r>
        <w:rPr>
          <w:rFonts w:ascii="Arial Narrow" w:hAnsi="Arial Narrow" w:cs="Arial"/>
          <w:sz w:val="24"/>
          <w:szCs w:val="24"/>
        </w:rPr>
        <w:t>20</w:t>
      </w:r>
      <w:r w:rsidRPr="00A6406D">
        <w:rPr>
          <w:rFonts w:ascii="Arial Narrow" w:hAnsi="Arial Narrow" w:cs="Arial"/>
          <w:sz w:val="24"/>
          <w:szCs w:val="24"/>
        </w:rPr>
        <w:t xml:space="preserve"> ya aprobados, consideramos que  la evolución que presentará la Sociedad en el ejercicio 20</w:t>
      </w:r>
      <w:r>
        <w:rPr>
          <w:rFonts w:ascii="Arial Narrow" w:hAnsi="Arial Narrow" w:cs="Arial"/>
          <w:sz w:val="24"/>
          <w:szCs w:val="24"/>
        </w:rPr>
        <w:t>20</w:t>
      </w:r>
      <w:r w:rsidRPr="00A6406D">
        <w:rPr>
          <w:rFonts w:ascii="Arial Narrow" w:hAnsi="Arial Narrow" w:cs="Arial"/>
          <w:sz w:val="24"/>
          <w:szCs w:val="24"/>
        </w:rPr>
        <w:t xml:space="preserve"> </w:t>
      </w:r>
      <w:r>
        <w:rPr>
          <w:rFonts w:ascii="Arial Narrow" w:hAnsi="Arial Narrow" w:cs="Arial"/>
          <w:sz w:val="24"/>
          <w:szCs w:val="24"/>
        </w:rPr>
        <w:t xml:space="preserve">continuará por la senda de crecimiento equilibrado y consolidación iniciada en los ejercicios 2017,2018 y 2019. </w:t>
      </w:r>
    </w:p>
    <w:p w14:paraId="7186E8B9" w14:textId="77777777" w:rsidR="00615A1B" w:rsidRDefault="00615A1B" w:rsidP="00615A1B">
      <w:pPr>
        <w:jc w:val="both"/>
        <w:rPr>
          <w:rFonts w:ascii="Arial Narrow" w:hAnsi="Arial Narrow" w:cs="Arial"/>
          <w:sz w:val="24"/>
          <w:szCs w:val="24"/>
        </w:rPr>
      </w:pPr>
      <w:r>
        <w:rPr>
          <w:rFonts w:ascii="Arial Narrow" w:hAnsi="Arial Narrow" w:cs="Arial"/>
          <w:sz w:val="24"/>
          <w:szCs w:val="24"/>
        </w:rPr>
        <w:t>Además en el ejercicio 2020 se continuará desarrollando y mejorando las medidas previstas en el Plan de Reestructuración y que deberían permitir que</w:t>
      </w:r>
      <w:r w:rsidRPr="00506CC6">
        <w:rPr>
          <w:rFonts w:ascii="Arial Narrow" w:hAnsi="Arial Narrow" w:cs="Arial"/>
          <w:sz w:val="24"/>
          <w:szCs w:val="24"/>
        </w:rPr>
        <w:t xml:space="preserve"> el ITC pudiera desplegar todo su potencial, </w:t>
      </w:r>
      <w:r>
        <w:rPr>
          <w:rFonts w:ascii="Arial Narrow" w:hAnsi="Arial Narrow" w:cs="Arial"/>
          <w:sz w:val="24"/>
          <w:szCs w:val="24"/>
        </w:rPr>
        <w:t xml:space="preserve">tras </w:t>
      </w:r>
      <w:r w:rsidRPr="00506CC6">
        <w:rPr>
          <w:rFonts w:ascii="Arial Narrow" w:hAnsi="Arial Narrow" w:cs="Arial"/>
          <w:sz w:val="24"/>
          <w:szCs w:val="24"/>
        </w:rPr>
        <w:t>reestructurar</w:t>
      </w:r>
      <w:r>
        <w:rPr>
          <w:rFonts w:ascii="Arial Narrow" w:hAnsi="Arial Narrow" w:cs="Arial"/>
          <w:sz w:val="24"/>
          <w:szCs w:val="24"/>
        </w:rPr>
        <w:t>se</w:t>
      </w:r>
      <w:r w:rsidRPr="00506CC6">
        <w:rPr>
          <w:rFonts w:ascii="Arial Narrow" w:hAnsi="Arial Narrow" w:cs="Arial"/>
          <w:sz w:val="24"/>
          <w:szCs w:val="24"/>
        </w:rPr>
        <w:t xml:space="preserve"> económica e internamente, acomet</w:t>
      </w:r>
      <w:r>
        <w:rPr>
          <w:rFonts w:ascii="Arial Narrow" w:hAnsi="Arial Narrow" w:cs="Arial"/>
          <w:sz w:val="24"/>
          <w:szCs w:val="24"/>
        </w:rPr>
        <w:t>iendo</w:t>
      </w:r>
      <w:r w:rsidRPr="00506CC6">
        <w:rPr>
          <w:rFonts w:ascii="Arial Narrow" w:hAnsi="Arial Narrow" w:cs="Arial"/>
          <w:sz w:val="24"/>
          <w:szCs w:val="24"/>
        </w:rPr>
        <w:t xml:space="preserve"> las reformas o medidas de reorganización internas necesarias en el seno de la empresa que afectarán a los sistemas de gestión y que permitirán que ésta funcione como una empresa ágil, dinámica, moderna e innovadora, reduciendo los costes fijos y posibilitando el incremento de los ingresos principalmente mediante la captación de más fondos, en especial europeos.</w:t>
      </w:r>
    </w:p>
    <w:p w14:paraId="5F9B0381" w14:textId="77777777" w:rsidR="00615A1B" w:rsidRDefault="00615A1B" w:rsidP="00615A1B">
      <w:pPr>
        <w:jc w:val="both"/>
        <w:rPr>
          <w:rFonts w:ascii="Arial Narrow" w:hAnsi="Arial Narrow" w:cs="Arial"/>
          <w:sz w:val="24"/>
          <w:szCs w:val="24"/>
        </w:rPr>
      </w:pPr>
    </w:p>
    <w:p w14:paraId="58E26745" w14:textId="77777777" w:rsidR="00615A1B" w:rsidRDefault="00615A1B" w:rsidP="00615A1B">
      <w:pPr>
        <w:jc w:val="both"/>
        <w:rPr>
          <w:rFonts w:ascii="Arial Narrow" w:hAnsi="Arial Narrow" w:cs="Arial"/>
          <w:sz w:val="24"/>
          <w:szCs w:val="24"/>
        </w:rPr>
      </w:pPr>
      <w:r w:rsidRPr="00506CC6">
        <w:rPr>
          <w:rFonts w:ascii="Arial Narrow" w:hAnsi="Arial Narrow" w:cs="Arial"/>
          <w:sz w:val="24"/>
          <w:szCs w:val="24"/>
        </w:rPr>
        <w:t xml:space="preserve">Y por tanto </w:t>
      </w:r>
      <w:r>
        <w:rPr>
          <w:rFonts w:ascii="Arial Narrow" w:hAnsi="Arial Narrow" w:cs="Arial"/>
          <w:sz w:val="24"/>
          <w:szCs w:val="24"/>
        </w:rPr>
        <w:t xml:space="preserve">permitir que </w:t>
      </w:r>
      <w:r w:rsidRPr="00506CC6">
        <w:rPr>
          <w:rFonts w:ascii="Arial Narrow" w:hAnsi="Arial Narrow" w:cs="Arial"/>
          <w:sz w:val="24"/>
          <w:szCs w:val="24"/>
        </w:rPr>
        <w:t xml:space="preserve">el ITC </w:t>
      </w:r>
      <w:r>
        <w:rPr>
          <w:rFonts w:ascii="Arial Narrow" w:hAnsi="Arial Narrow" w:cs="Arial"/>
          <w:sz w:val="24"/>
          <w:szCs w:val="24"/>
        </w:rPr>
        <w:t>se concentre en</w:t>
      </w:r>
      <w:r w:rsidRPr="00506CC6">
        <w:rPr>
          <w:rFonts w:ascii="Arial Narrow" w:hAnsi="Arial Narrow" w:cs="Arial"/>
          <w:sz w:val="24"/>
          <w:szCs w:val="24"/>
        </w:rPr>
        <w:t xml:space="preserve"> seguir avanzando en la generación de conocimiento en campos en los que Canarias pued</w:t>
      </w:r>
      <w:r>
        <w:rPr>
          <w:rFonts w:ascii="Arial Narrow" w:hAnsi="Arial Narrow" w:cs="Arial"/>
          <w:sz w:val="24"/>
          <w:szCs w:val="24"/>
        </w:rPr>
        <w:t>a</w:t>
      </w:r>
      <w:r w:rsidRPr="00506CC6">
        <w:rPr>
          <w:rFonts w:ascii="Arial Narrow" w:hAnsi="Arial Narrow" w:cs="Arial"/>
          <w:sz w:val="24"/>
          <w:szCs w:val="24"/>
        </w:rPr>
        <w:t xml:space="preserve"> añadir valor respecto a otras regiones, </w:t>
      </w:r>
      <w:r>
        <w:rPr>
          <w:rFonts w:ascii="Arial Narrow" w:hAnsi="Arial Narrow" w:cs="Arial"/>
          <w:sz w:val="24"/>
          <w:szCs w:val="24"/>
        </w:rPr>
        <w:t>o que sean estratégicos para el desarrollo socio económico y sostenible de nuestra región.</w:t>
      </w:r>
    </w:p>
    <w:p w14:paraId="00A0A221" w14:textId="77777777" w:rsidR="00615A1B" w:rsidRDefault="00615A1B" w:rsidP="00615A1B">
      <w:pPr>
        <w:jc w:val="both"/>
        <w:rPr>
          <w:rFonts w:ascii="Arial Narrow" w:hAnsi="Arial Narrow" w:cs="Arial"/>
          <w:sz w:val="24"/>
          <w:szCs w:val="24"/>
        </w:rPr>
      </w:pPr>
    </w:p>
    <w:p w14:paraId="2D787A38" w14:textId="77777777" w:rsidR="00615A1B" w:rsidRPr="00A6406D" w:rsidRDefault="00615A1B" w:rsidP="00615A1B">
      <w:pPr>
        <w:jc w:val="both"/>
        <w:rPr>
          <w:rFonts w:ascii="Arial Narrow" w:hAnsi="Arial Narrow" w:cs="Arial"/>
          <w:sz w:val="24"/>
          <w:szCs w:val="24"/>
        </w:rPr>
      </w:pPr>
      <w:r w:rsidRPr="00A6406D">
        <w:rPr>
          <w:rFonts w:ascii="Arial Narrow" w:hAnsi="Arial Narrow" w:cs="Arial"/>
          <w:sz w:val="24"/>
          <w:szCs w:val="24"/>
        </w:rPr>
        <w:t>No obstante lo anterior</w:t>
      </w:r>
      <w:r>
        <w:rPr>
          <w:rFonts w:ascii="Arial Narrow" w:hAnsi="Arial Narrow" w:cs="Arial"/>
          <w:sz w:val="24"/>
          <w:szCs w:val="24"/>
        </w:rPr>
        <w:t>,</w:t>
      </w:r>
      <w:r w:rsidRPr="00A6406D">
        <w:rPr>
          <w:rFonts w:ascii="Arial Narrow" w:hAnsi="Arial Narrow" w:cs="Arial"/>
          <w:sz w:val="24"/>
          <w:szCs w:val="24"/>
        </w:rPr>
        <w:t xml:space="preserve"> no debemos perder la perspectiva de que aunque esta situación de incremento </w:t>
      </w:r>
      <w:r>
        <w:rPr>
          <w:rFonts w:ascii="Arial Narrow" w:hAnsi="Arial Narrow" w:cs="Arial"/>
          <w:sz w:val="24"/>
          <w:szCs w:val="24"/>
        </w:rPr>
        <w:t xml:space="preserve">continuo </w:t>
      </w:r>
      <w:r w:rsidRPr="00A6406D">
        <w:rPr>
          <w:rFonts w:ascii="Arial Narrow" w:hAnsi="Arial Narrow" w:cs="Arial"/>
          <w:sz w:val="24"/>
          <w:szCs w:val="24"/>
        </w:rPr>
        <w:t xml:space="preserve">de actividad, </w:t>
      </w:r>
      <w:r>
        <w:rPr>
          <w:rFonts w:ascii="Arial Narrow" w:hAnsi="Arial Narrow" w:cs="Arial"/>
          <w:sz w:val="24"/>
          <w:szCs w:val="24"/>
        </w:rPr>
        <w:t xml:space="preserve">fruto del esfuerzo de trabajadores y apoyo del Gobierno, </w:t>
      </w:r>
      <w:r w:rsidRPr="00A6406D">
        <w:rPr>
          <w:rFonts w:ascii="Arial Narrow" w:hAnsi="Arial Narrow" w:cs="Arial"/>
          <w:sz w:val="24"/>
          <w:szCs w:val="24"/>
        </w:rPr>
        <w:t xml:space="preserve">redundará en una mejora de su capacidad financiera a corto plazo de la empresa, a medio-largo plazo, de cara a un futuro más lejano, , </w:t>
      </w:r>
      <w:r>
        <w:rPr>
          <w:rFonts w:ascii="Arial Narrow" w:hAnsi="Arial Narrow" w:cs="Arial"/>
          <w:sz w:val="24"/>
          <w:szCs w:val="24"/>
        </w:rPr>
        <w:t xml:space="preserve">todavía queda </w:t>
      </w:r>
      <w:r w:rsidRPr="00A6406D">
        <w:rPr>
          <w:rFonts w:ascii="Arial Narrow" w:hAnsi="Arial Narrow" w:cs="Arial"/>
          <w:sz w:val="24"/>
          <w:szCs w:val="24"/>
        </w:rPr>
        <w:t xml:space="preserve">camino por recorrer para </w:t>
      </w:r>
      <w:r>
        <w:rPr>
          <w:rFonts w:ascii="Arial Narrow" w:hAnsi="Arial Narrow" w:cs="Arial"/>
          <w:sz w:val="24"/>
          <w:szCs w:val="24"/>
        </w:rPr>
        <w:t>recoger el fruto de</w:t>
      </w:r>
      <w:r w:rsidRPr="00A6406D">
        <w:rPr>
          <w:rFonts w:ascii="Arial Narrow" w:hAnsi="Arial Narrow" w:cs="Arial"/>
          <w:sz w:val="24"/>
          <w:szCs w:val="24"/>
        </w:rPr>
        <w:t xml:space="preserve"> todas las medidas previstas en el Plan de Racionalización, Reestructuración y Reorganización interna del ITC, y</w:t>
      </w:r>
      <w:r>
        <w:rPr>
          <w:rFonts w:ascii="Arial Narrow" w:hAnsi="Arial Narrow" w:cs="Arial"/>
          <w:sz w:val="24"/>
          <w:szCs w:val="24"/>
        </w:rPr>
        <w:t xml:space="preserve"> que la mejor garantía de futuro para afrontar el camino que queda por recorrer es mantenernos fieles a los principios de profesionalidad, esfuerzo, compromiso y excelencia que han inspirado y fundamentado los cambios y mejoras experimentados en estos últimos años.</w:t>
      </w:r>
    </w:p>
    <w:p w14:paraId="01F592F6" w14:textId="77777777" w:rsidR="00615A1B" w:rsidRDefault="00615A1B" w:rsidP="00615A1B">
      <w:pPr>
        <w:jc w:val="both"/>
        <w:rPr>
          <w:rFonts w:ascii="Arial Narrow" w:hAnsi="Arial Narrow" w:cs="Arial"/>
          <w:sz w:val="24"/>
          <w:szCs w:val="24"/>
        </w:rPr>
      </w:pPr>
    </w:p>
    <w:p w14:paraId="45139376" w14:textId="77777777" w:rsidR="00615A1B" w:rsidRDefault="00615A1B" w:rsidP="00615A1B">
      <w:pPr>
        <w:jc w:val="both"/>
        <w:rPr>
          <w:rFonts w:ascii="Arial Narrow" w:hAnsi="Arial Narrow" w:cs="Arial"/>
          <w:sz w:val="24"/>
          <w:szCs w:val="24"/>
        </w:rPr>
      </w:pPr>
    </w:p>
    <w:p w14:paraId="1B0CFEE2" w14:textId="77777777" w:rsidR="00615A1B" w:rsidRPr="009909C9" w:rsidRDefault="00615A1B" w:rsidP="00615A1B">
      <w:pPr>
        <w:jc w:val="both"/>
        <w:rPr>
          <w:rFonts w:ascii="Arial Narrow" w:hAnsi="Arial Narrow" w:cs="Arial"/>
          <w:b/>
          <w:sz w:val="24"/>
          <w:szCs w:val="24"/>
          <w:lang w:eastAsia="es-ES"/>
        </w:rPr>
      </w:pPr>
      <w:r w:rsidRPr="009909C9">
        <w:rPr>
          <w:rFonts w:ascii="Arial Narrow" w:hAnsi="Arial Narrow" w:cs="Arial"/>
          <w:b/>
          <w:sz w:val="24"/>
          <w:szCs w:val="24"/>
        </w:rPr>
        <w:t xml:space="preserve">4. </w:t>
      </w:r>
      <w:r w:rsidRPr="009909C9">
        <w:rPr>
          <w:rFonts w:ascii="Arial Narrow" w:hAnsi="Arial Narrow" w:cs="Arial"/>
          <w:b/>
          <w:sz w:val="24"/>
          <w:szCs w:val="24"/>
          <w:lang w:eastAsia="es-ES"/>
        </w:rPr>
        <w:t>MEMORIA DE LAS PRINCIPALES ACTIVIDADES REALIZADAS EN 201</w:t>
      </w:r>
      <w:r>
        <w:rPr>
          <w:rFonts w:ascii="Arial Narrow" w:hAnsi="Arial Narrow" w:cs="Arial"/>
          <w:b/>
          <w:sz w:val="24"/>
          <w:szCs w:val="24"/>
          <w:lang w:eastAsia="es-ES"/>
        </w:rPr>
        <w:t>9</w:t>
      </w:r>
    </w:p>
    <w:p w14:paraId="5C9AF134" w14:textId="77777777" w:rsidR="00615A1B" w:rsidRPr="009909C9" w:rsidRDefault="00615A1B" w:rsidP="00615A1B">
      <w:pPr>
        <w:jc w:val="both"/>
        <w:rPr>
          <w:rFonts w:ascii="Arial Narrow" w:hAnsi="Arial Narrow" w:cs="Arial"/>
          <w:b/>
          <w:sz w:val="24"/>
          <w:szCs w:val="24"/>
          <w:u w:val="single"/>
        </w:rPr>
      </w:pPr>
    </w:p>
    <w:p w14:paraId="3F242E35"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En primer lugar, hay que precisar que el Gobierno considera que el ITC es un instrumento clave en su contribución al proceso de la diversificación económica de Canarias, tanto en lo relacionado con su política de I+D+i como en su política industrial. Y como tal debe seguir prestando apoyo al Gobierno de Canarias en determinadas áreas orientadas al impulso de la I+D+i, y al desarrollo de nuevas áreas en los campos de la industria y la energía, además de en la transferencia tecnológica y la internacionalización de la empresa canaria.</w:t>
      </w:r>
    </w:p>
    <w:p w14:paraId="6A0D8AAE" w14:textId="77777777" w:rsidR="00615A1B" w:rsidRPr="009909C9" w:rsidRDefault="00615A1B" w:rsidP="00615A1B">
      <w:pPr>
        <w:jc w:val="both"/>
        <w:rPr>
          <w:rFonts w:ascii="Arial Narrow" w:hAnsi="Arial Narrow" w:cs="Arial"/>
          <w:sz w:val="24"/>
          <w:szCs w:val="24"/>
        </w:rPr>
      </w:pPr>
    </w:p>
    <w:p w14:paraId="248E36D7"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Y por tanto el ITC debe seguir avanzando en la generación de conocimiento en campos en los que Canarias puede añadir valor respecto a otras regiones, como las energías renovables, las tecnologías del agua, las Tecnologías de la Información, la biotecnología, campos en los que se esperan despegues importantes en el corto-medio plazo, acompañados de generación de empleo de calidad. Además, el ITC debe focalizar esta generación de conocimiento al tejido industrial, y promover la creación y la consolidación de empresas de base tecnológica</w:t>
      </w:r>
      <w:r>
        <w:rPr>
          <w:rFonts w:ascii="Arial Narrow" w:hAnsi="Arial Narrow" w:cs="Arial"/>
          <w:sz w:val="24"/>
          <w:szCs w:val="24"/>
        </w:rPr>
        <w:t>, y fomentado la internacionalización de las mismas</w:t>
      </w:r>
      <w:r w:rsidRPr="009909C9">
        <w:rPr>
          <w:rFonts w:ascii="Arial Narrow" w:hAnsi="Arial Narrow" w:cs="Arial"/>
          <w:sz w:val="24"/>
          <w:szCs w:val="24"/>
        </w:rPr>
        <w:t>.</w:t>
      </w:r>
    </w:p>
    <w:p w14:paraId="7EDA92B8" w14:textId="77777777" w:rsidR="00615A1B" w:rsidRPr="009909C9" w:rsidRDefault="00615A1B" w:rsidP="00615A1B">
      <w:pPr>
        <w:jc w:val="both"/>
        <w:rPr>
          <w:rFonts w:ascii="Arial Narrow" w:hAnsi="Arial Narrow" w:cs="Arial"/>
          <w:sz w:val="24"/>
          <w:szCs w:val="24"/>
        </w:rPr>
      </w:pPr>
    </w:p>
    <w:p w14:paraId="223B9B06"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Así la actividad tecnológica y de I+D+i desarrollada por el ITC en el ejercicio 201</w:t>
      </w:r>
      <w:r>
        <w:rPr>
          <w:rFonts w:ascii="Arial Narrow" w:hAnsi="Arial Narrow" w:cs="Arial"/>
          <w:sz w:val="24"/>
          <w:szCs w:val="24"/>
        </w:rPr>
        <w:t>9</w:t>
      </w:r>
      <w:r w:rsidRPr="009909C9">
        <w:rPr>
          <w:rFonts w:ascii="Arial Narrow" w:hAnsi="Arial Narrow" w:cs="Arial"/>
          <w:sz w:val="24"/>
          <w:szCs w:val="24"/>
        </w:rPr>
        <w:t xml:space="preserve">se ha </w:t>
      </w:r>
      <w:r>
        <w:rPr>
          <w:rFonts w:ascii="Arial Narrow" w:hAnsi="Arial Narrow" w:cs="Arial"/>
          <w:sz w:val="24"/>
          <w:szCs w:val="24"/>
        </w:rPr>
        <w:t xml:space="preserve">concentrado </w:t>
      </w:r>
      <w:r w:rsidRPr="009909C9">
        <w:rPr>
          <w:rFonts w:ascii="Arial Narrow" w:hAnsi="Arial Narrow" w:cs="Arial"/>
          <w:sz w:val="24"/>
          <w:szCs w:val="24"/>
        </w:rPr>
        <w:t xml:space="preserve">en las dos vertientes fundamentales anteriormente expuesta, como ente instrumental </w:t>
      </w:r>
      <w:r>
        <w:rPr>
          <w:rFonts w:ascii="Arial Narrow" w:hAnsi="Arial Narrow" w:cs="Arial"/>
          <w:sz w:val="24"/>
          <w:szCs w:val="24"/>
        </w:rPr>
        <w:t xml:space="preserve">o medio propio de la CAC </w:t>
      </w:r>
      <w:r w:rsidRPr="009909C9">
        <w:rPr>
          <w:rFonts w:ascii="Arial Narrow" w:hAnsi="Arial Narrow" w:cs="Arial"/>
          <w:sz w:val="24"/>
          <w:szCs w:val="24"/>
        </w:rPr>
        <w:t>y como centro de transferencia tecnológica.</w:t>
      </w:r>
    </w:p>
    <w:p w14:paraId="63B70A85" w14:textId="77777777" w:rsidR="00615A1B" w:rsidRPr="009909C9" w:rsidRDefault="00615A1B" w:rsidP="00615A1B">
      <w:pPr>
        <w:jc w:val="both"/>
        <w:rPr>
          <w:rFonts w:ascii="Arial Narrow" w:hAnsi="Arial Narrow" w:cs="Arial"/>
          <w:sz w:val="24"/>
          <w:szCs w:val="24"/>
        </w:rPr>
      </w:pPr>
    </w:p>
    <w:p w14:paraId="001B8C41"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Durante el ejercicio 201</w:t>
      </w:r>
      <w:r>
        <w:rPr>
          <w:rFonts w:ascii="Arial Narrow" w:hAnsi="Arial Narrow" w:cs="Arial"/>
          <w:sz w:val="24"/>
          <w:szCs w:val="24"/>
        </w:rPr>
        <w:t>9</w:t>
      </w:r>
      <w:r w:rsidRPr="009909C9">
        <w:rPr>
          <w:rFonts w:ascii="Arial Narrow" w:hAnsi="Arial Narrow" w:cs="Arial"/>
          <w:sz w:val="24"/>
          <w:szCs w:val="24"/>
        </w:rPr>
        <w:t xml:space="preserve"> se han puesto en marcha</w:t>
      </w:r>
      <w:r>
        <w:rPr>
          <w:rFonts w:ascii="Arial Narrow" w:hAnsi="Arial Narrow" w:cs="Arial"/>
          <w:sz w:val="24"/>
          <w:szCs w:val="24"/>
        </w:rPr>
        <w:t xml:space="preserve"> y ejecutado </w:t>
      </w:r>
      <w:r w:rsidRPr="009909C9">
        <w:rPr>
          <w:rFonts w:ascii="Arial Narrow" w:hAnsi="Arial Narrow" w:cs="Arial"/>
          <w:sz w:val="24"/>
          <w:szCs w:val="24"/>
        </w:rPr>
        <w:t xml:space="preserve"> </w:t>
      </w:r>
      <w:r>
        <w:rPr>
          <w:rFonts w:ascii="Arial Narrow" w:hAnsi="Arial Narrow" w:cs="Arial"/>
          <w:sz w:val="24"/>
          <w:szCs w:val="24"/>
        </w:rPr>
        <w:t xml:space="preserve">aproximadamente </w:t>
      </w:r>
      <w:r w:rsidRPr="009909C9">
        <w:rPr>
          <w:rFonts w:ascii="Arial Narrow" w:hAnsi="Arial Narrow" w:cs="Arial"/>
          <w:sz w:val="24"/>
          <w:szCs w:val="24"/>
        </w:rPr>
        <w:t xml:space="preserve"> </w:t>
      </w:r>
      <w:r>
        <w:rPr>
          <w:rFonts w:ascii="Arial Narrow" w:hAnsi="Arial Narrow" w:cs="Arial"/>
          <w:sz w:val="24"/>
          <w:szCs w:val="24"/>
        </w:rPr>
        <w:t>3</w:t>
      </w:r>
      <w:r w:rsidRPr="009909C9">
        <w:rPr>
          <w:rFonts w:ascii="Arial Narrow" w:hAnsi="Arial Narrow" w:cs="Arial"/>
          <w:sz w:val="24"/>
          <w:szCs w:val="24"/>
        </w:rPr>
        <w:t>0 proyectos de I+D+i</w:t>
      </w:r>
      <w:r>
        <w:rPr>
          <w:rFonts w:ascii="Arial Narrow" w:hAnsi="Arial Narrow" w:cs="Arial"/>
          <w:sz w:val="24"/>
          <w:szCs w:val="24"/>
        </w:rPr>
        <w:t xml:space="preserve"> con financiación competitiva, principalmente europea,</w:t>
      </w:r>
      <w:r w:rsidRPr="009909C9">
        <w:rPr>
          <w:rFonts w:ascii="Arial Narrow" w:hAnsi="Arial Narrow" w:cs="Arial"/>
          <w:sz w:val="24"/>
          <w:szCs w:val="24"/>
        </w:rPr>
        <w:t xml:space="preserve"> en diferentes sectores emergentes (energías renovables, tecnologías del agua, biotecnología de algas, etc.), que repercutirán en el fomento del desarrollo tecnológico y la innovación empresarial, la generación de empleo joven y la apertura de Canarias hacia mercados en la Macaronesia y África Occidental. </w:t>
      </w:r>
    </w:p>
    <w:p w14:paraId="3BE0375C" w14:textId="77777777" w:rsidR="00615A1B" w:rsidRPr="009909C9" w:rsidRDefault="00615A1B" w:rsidP="00615A1B">
      <w:pPr>
        <w:jc w:val="both"/>
        <w:rPr>
          <w:rFonts w:ascii="Arial Narrow" w:hAnsi="Arial Narrow" w:cs="Arial"/>
          <w:sz w:val="24"/>
          <w:szCs w:val="24"/>
        </w:rPr>
      </w:pPr>
    </w:p>
    <w:p w14:paraId="23B8A289"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 xml:space="preserve">También  se ha avanzado en el acercamiento a empresas canarias tanto desde la vertiente de transferencia de tecnología, en la que se </w:t>
      </w:r>
      <w:proofErr w:type="spellStart"/>
      <w:r w:rsidRPr="009909C9">
        <w:rPr>
          <w:rFonts w:ascii="Arial Narrow" w:hAnsi="Arial Narrow" w:cs="Arial"/>
          <w:sz w:val="24"/>
          <w:szCs w:val="24"/>
        </w:rPr>
        <w:t>continúaestrechando</w:t>
      </w:r>
      <w:proofErr w:type="spellEnd"/>
      <w:r w:rsidRPr="009909C9">
        <w:rPr>
          <w:rFonts w:ascii="Arial Narrow" w:hAnsi="Arial Narrow" w:cs="Arial"/>
          <w:sz w:val="24"/>
          <w:szCs w:val="24"/>
        </w:rPr>
        <w:t xml:space="preserve"> el acercamiento a al tejido productivo, tanto en lo que respecta al fomento de la innovación a nivel transversal, como a la transferencia de tecnología en los sectores de especialización tecnológica del ITC. Como a nivel Apoyo a la internacionalización de las empresas canarias donde se continúa buscando vías para que empresas canarias, en particular de los sectores de la energía y el agua, participen en proyectos internacionales de la mano del ITC.</w:t>
      </w:r>
    </w:p>
    <w:p w14:paraId="7D402906" w14:textId="77777777" w:rsidR="00615A1B" w:rsidRPr="009909C9" w:rsidRDefault="00615A1B" w:rsidP="00615A1B">
      <w:pPr>
        <w:jc w:val="both"/>
        <w:rPr>
          <w:rFonts w:ascii="Arial Narrow" w:hAnsi="Arial Narrow" w:cs="Arial"/>
          <w:sz w:val="24"/>
          <w:szCs w:val="24"/>
        </w:rPr>
      </w:pPr>
    </w:p>
    <w:p w14:paraId="2172C16B"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A la hora de detallar las principales líneas de actividad realizadas por el ITC en 201</w:t>
      </w:r>
      <w:r>
        <w:rPr>
          <w:rFonts w:ascii="Arial Narrow" w:hAnsi="Arial Narrow" w:cs="Arial"/>
          <w:sz w:val="24"/>
          <w:szCs w:val="24"/>
        </w:rPr>
        <w:t>9</w:t>
      </w:r>
      <w:r w:rsidRPr="009909C9">
        <w:rPr>
          <w:rFonts w:ascii="Arial Narrow" w:hAnsi="Arial Narrow" w:cs="Arial"/>
          <w:sz w:val="24"/>
          <w:szCs w:val="24"/>
        </w:rPr>
        <w:t xml:space="preserve"> nos ajustaremos a la estructura funcional que tras la re</w:t>
      </w:r>
      <w:r>
        <w:rPr>
          <w:rFonts w:ascii="Arial Narrow" w:hAnsi="Arial Narrow" w:cs="Arial"/>
          <w:sz w:val="24"/>
          <w:szCs w:val="24"/>
        </w:rPr>
        <w:t>e</w:t>
      </w:r>
      <w:r w:rsidRPr="009909C9">
        <w:rPr>
          <w:rFonts w:ascii="Arial Narrow" w:hAnsi="Arial Narrow" w:cs="Arial"/>
          <w:sz w:val="24"/>
          <w:szCs w:val="24"/>
        </w:rPr>
        <w:t xml:space="preserve">structuración producida a principios del ejercicio 2017 </w:t>
      </w:r>
      <w:r>
        <w:rPr>
          <w:rFonts w:ascii="Arial Narrow" w:hAnsi="Arial Narrow" w:cs="Arial"/>
          <w:sz w:val="24"/>
          <w:szCs w:val="24"/>
        </w:rPr>
        <w:t>quedó</w:t>
      </w:r>
      <w:r w:rsidRPr="009909C9">
        <w:rPr>
          <w:rFonts w:ascii="Arial Narrow" w:hAnsi="Arial Narrow" w:cs="Arial"/>
          <w:sz w:val="24"/>
          <w:szCs w:val="24"/>
        </w:rPr>
        <w:t xml:space="preserve"> configurada por la Alta Dirección y el Área de Investigación, Desarrollo e Innovación Tecnológica: </w:t>
      </w:r>
    </w:p>
    <w:p w14:paraId="4A72F1A0" w14:textId="77777777" w:rsidR="00615A1B" w:rsidRPr="009909C9" w:rsidRDefault="00615A1B" w:rsidP="00615A1B">
      <w:pPr>
        <w:jc w:val="both"/>
        <w:rPr>
          <w:rFonts w:ascii="Arial Narrow" w:hAnsi="Arial Narrow" w:cs="Arial"/>
          <w:sz w:val="24"/>
          <w:szCs w:val="24"/>
        </w:rPr>
      </w:pPr>
    </w:p>
    <w:p w14:paraId="36AC531A"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Así</w:t>
      </w:r>
      <w:r>
        <w:rPr>
          <w:rFonts w:ascii="Arial Narrow" w:hAnsi="Arial Narrow" w:cs="Arial"/>
          <w:sz w:val="24"/>
          <w:szCs w:val="24"/>
        </w:rPr>
        <w:t xml:space="preserve"> la Alta Dirección compuesta por los departamentos de</w:t>
      </w:r>
      <w:r w:rsidRPr="009909C9">
        <w:rPr>
          <w:rFonts w:ascii="Arial Narrow" w:hAnsi="Arial Narrow" w:cs="Arial"/>
          <w:sz w:val="24"/>
          <w:szCs w:val="24"/>
        </w:rPr>
        <w:t xml:space="preserve"> </w:t>
      </w:r>
      <w:r w:rsidRPr="009909C9">
        <w:rPr>
          <w:rFonts w:ascii="Arial Narrow" w:hAnsi="Arial Narrow" w:cs="Arial"/>
          <w:b/>
          <w:sz w:val="24"/>
          <w:szCs w:val="24"/>
        </w:rPr>
        <w:t>Servicios Centrales</w:t>
      </w:r>
      <w:r w:rsidRPr="009909C9">
        <w:rPr>
          <w:rFonts w:ascii="Arial Narrow" w:hAnsi="Arial Narrow" w:cs="Arial"/>
          <w:sz w:val="24"/>
          <w:szCs w:val="24"/>
        </w:rPr>
        <w:t xml:space="preserve"> </w:t>
      </w:r>
      <w:r>
        <w:rPr>
          <w:rFonts w:ascii="Arial Narrow" w:hAnsi="Arial Narrow" w:cs="Arial"/>
          <w:sz w:val="24"/>
          <w:szCs w:val="24"/>
        </w:rPr>
        <w:t xml:space="preserve">y la Unidad de Coordinación de la </w:t>
      </w:r>
      <w:proofErr w:type="spellStart"/>
      <w:r>
        <w:rPr>
          <w:rFonts w:ascii="Arial Narrow" w:hAnsi="Arial Narrow" w:cs="Arial"/>
          <w:sz w:val="24"/>
          <w:szCs w:val="24"/>
        </w:rPr>
        <w:t>I+d+i</w:t>
      </w:r>
      <w:proofErr w:type="spellEnd"/>
      <w:r>
        <w:rPr>
          <w:rFonts w:ascii="Arial Narrow" w:hAnsi="Arial Narrow" w:cs="Arial"/>
          <w:sz w:val="24"/>
          <w:szCs w:val="24"/>
        </w:rPr>
        <w:t xml:space="preserve"> y Comunicación. Esta área </w:t>
      </w:r>
      <w:r w:rsidRPr="009909C9">
        <w:rPr>
          <w:rFonts w:ascii="Arial Narrow" w:hAnsi="Arial Narrow" w:cs="Arial"/>
          <w:sz w:val="24"/>
          <w:szCs w:val="24"/>
        </w:rPr>
        <w:t>además de sus funciones o tareas propias ya descritas anteriormente, se adaptó a una nueva configuración, asumiendo los departamentos las funciones y tareas desarrolladas por la antigua dirección de la división de Servicios Centrales, que desapareció y viendo reducido el número de efectivos disponibles para ello. Se ha continuado liderando y coordinando las medidas incluidas en el Plan de Reestructuración que contienen las reformas necesarias en el seno de la empresa que permitirán que ésta funcione internamente como una empresa ágil, moderna e innovadora, reduciendo los costes fijos, adaptando su estructura de personal a su nivel de actividad y posibilitando el incremento de los ingresos (por ejemplo, la captación de más fondos, en especial europeos), todo ello para optimizar el servicio que pretende dar esta sociedad a diferentes instituciones del Gobierno y otras administraciones públicas canarias (municipios, mancomunidades, Cabildos), y a las empresas de nuestro Archipiélago.</w:t>
      </w:r>
    </w:p>
    <w:p w14:paraId="0BFCED55" w14:textId="77777777" w:rsidR="00615A1B" w:rsidRPr="009909C9" w:rsidRDefault="00615A1B" w:rsidP="00615A1B">
      <w:pPr>
        <w:jc w:val="both"/>
        <w:rPr>
          <w:rFonts w:ascii="Arial Narrow" w:hAnsi="Arial Narrow" w:cs="Arial"/>
          <w:sz w:val="24"/>
          <w:szCs w:val="24"/>
        </w:rPr>
      </w:pPr>
    </w:p>
    <w:p w14:paraId="0129840A"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 xml:space="preserve">Y por su parte en el </w:t>
      </w:r>
      <w:r w:rsidRPr="009909C9">
        <w:rPr>
          <w:rFonts w:ascii="Arial Narrow" w:hAnsi="Arial Narrow" w:cs="Arial"/>
          <w:b/>
          <w:sz w:val="24"/>
          <w:szCs w:val="24"/>
        </w:rPr>
        <w:t>Área de Investigación</w:t>
      </w:r>
      <w:r>
        <w:rPr>
          <w:rFonts w:ascii="Arial Narrow" w:hAnsi="Arial Narrow" w:cs="Arial"/>
          <w:b/>
          <w:sz w:val="24"/>
          <w:szCs w:val="24"/>
        </w:rPr>
        <w:t xml:space="preserve">, </w:t>
      </w:r>
      <w:r w:rsidRPr="009909C9">
        <w:rPr>
          <w:rFonts w:ascii="Arial Narrow" w:hAnsi="Arial Narrow" w:cs="Arial"/>
          <w:b/>
          <w:sz w:val="24"/>
          <w:szCs w:val="24"/>
        </w:rPr>
        <w:t>Desarrollo</w:t>
      </w:r>
      <w:r>
        <w:rPr>
          <w:rFonts w:ascii="Arial Narrow" w:hAnsi="Arial Narrow" w:cs="Arial"/>
          <w:b/>
          <w:sz w:val="24"/>
          <w:szCs w:val="24"/>
        </w:rPr>
        <w:t xml:space="preserve"> e Innovación</w:t>
      </w:r>
      <w:r w:rsidRPr="009909C9">
        <w:rPr>
          <w:rFonts w:ascii="Arial Narrow" w:hAnsi="Arial Narrow" w:cs="Arial"/>
          <w:b/>
          <w:sz w:val="24"/>
          <w:szCs w:val="24"/>
        </w:rPr>
        <w:t xml:space="preserve"> Tecnológic</w:t>
      </w:r>
      <w:r>
        <w:rPr>
          <w:rFonts w:ascii="Arial Narrow" w:hAnsi="Arial Narrow" w:cs="Arial"/>
          <w:b/>
          <w:sz w:val="24"/>
          <w:szCs w:val="24"/>
        </w:rPr>
        <w:t>a</w:t>
      </w:r>
      <w:r w:rsidRPr="009909C9">
        <w:rPr>
          <w:rFonts w:ascii="Arial Narrow" w:hAnsi="Arial Narrow" w:cs="Arial"/>
          <w:sz w:val="24"/>
          <w:szCs w:val="24"/>
        </w:rPr>
        <w:t>, las estrategias principales se centraron en liderar y participar en proyectos de I+D+i, de máxima excelencia y carácter estratégico. Otro objetivo estratégico de esta área es prestar apoyo técnico al Gobierno de Canarias</w:t>
      </w:r>
      <w:r>
        <w:rPr>
          <w:rFonts w:ascii="Arial Narrow" w:hAnsi="Arial Narrow" w:cs="Arial"/>
          <w:sz w:val="24"/>
          <w:szCs w:val="24"/>
        </w:rPr>
        <w:t xml:space="preserve"> en las áreas de competencia de los departamentos</w:t>
      </w:r>
      <w:r w:rsidRPr="009909C9">
        <w:rPr>
          <w:rFonts w:ascii="Arial Narrow" w:hAnsi="Arial Narrow" w:cs="Arial"/>
          <w:sz w:val="24"/>
          <w:szCs w:val="24"/>
        </w:rPr>
        <w:t>.</w:t>
      </w:r>
    </w:p>
    <w:p w14:paraId="30BB22EA" w14:textId="77777777" w:rsidR="00615A1B" w:rsidRPr="009909C9" w:rsidRDefault="00615A1B" w:rsidP="00615A1B">
      <w:pPr>
        <w:jc w:val="both"/>
        <w:rPr>
          <w:rFonts w:ascii="Arial Narrow" w:hAnsi="Arial Narrow" w:cs="Arial"/>
          <w:sz w:val="24"/>
          <w:szCs w:val="24"/>
        </w:rPr>
      </w:pPr>
    </w:p>
    <w:p w14:paraId="16373617"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El </w:t>
      </w:r>
      <w:r w:rsidRPr="00BE0D9A">
        <w:rPr>
          <w:rFonts w:ascii="Arial Narrow" w:hAnsi="Arial Narrow" w:cs="Arial"/>
          <w:b/>
          <w:sz w:val="24"/>
          <w:szCs w:val="24"/>
        </w:rPr>
        <w:t>Departamento de Energías Renovables</w:t>
      </w:r>
      <w:r>
        <w:rPr>
          <w:rFonts w:ascii="Arial Narrow" w:hAnsi="Arial Narrow" w:cs="Arial"/>
          <w:sz w:val="24"/>
          <w:szCs w:val="24"/>
        </w:rPr>
        <w:t xml:space="preserve">, a lo largo del  2019 centró su </w:t>
      </w:r>
      <w:r w:rsidRPr="0010581F">
        <w:rPr>
          <w:rFonts w:ascii="Arial Narrow" w:hAnsi="Arial Narrow" w:cs="Arial"/>
          <w:sz w:val="24"/>
          <w:szCs w:val="24"/>
        </w:rPr>
        <w:t xml:space="preserve"> actividad técnica </w:t>
      </w:r>
      <w:r>
        <w:rPr>
          <w:rFonts w:ascii="Arial Narrow" w:hAnsi="Arial Narrow" w:cs="Arial"/>
          <w:sz w:val="24"/>
          <w:szCs w:val="24"/>
        </w:rPr>
        <w:t>principalmente</w:t>
      </w:r>
      <w:r w:rsidRPr="0010581F">
        <w:rPr>
          <w:rFonts w:ascii="Arial Narrow" w:hAnsi="Arial Narrow" w:cs="Arial"/>
          <w:sz w:val="24"/>
          <w:szCs w:val="24"/>
        </w:rPr>
        <w:t xml:space="preserve"> en el apoyo al Gobierno de Canarias, Cabildos y Ayuntamientos, </w:t>
      </w:r>
      <w:r>
        <w:rPr>
          <w:rFonts w:ascii="Arial Narrow" w:hAnsi="Arial Narrow" w:cs="Arial"/>
          <w:sz w:val="24"/>
          <w:szCs w:val="24"/>
        </w:rPr>
        <w:t>y esforzándose</w:t>
      </w:r>
      <w:r w:rsidRPr="0010581F">
        <w:rPr>
          <w:rFonts w:ascii="Arial Narrow" w:hAnsi="Arial Narrow" w:cs="Arial"/>
          <w:sz w:val="24"/>
          <w:szCs w:val="24"/>
        </w:rPr>
        <w:t xml:space="preserve"> en avanzar en la transición energética</w:t>
      </w:r>
      <w:r>
        <w:rPr>
          <w:rFonts w:ascii="Arial Narrow" w:hAnsi="Arial Narrow" w:cs="Arial"/>
          <w:sz w:val="24"/>
          <w:szCs w:val="24"/>
        </w:rPr>
        <w:t xml:space="preserve"> de Canarias,</w:t>
      </w:r>
      <w:r w:rsidRPr="0010581F">
        <w:rPr>
          <w:rFonts w:ascii="Arial Narrow" w:hAnsi="Arial Narrow" w:cs="Arial"/>
          <w:sz w:val="24"/>
          <w:szCs w:val="24"/>
        </w:rPr>
        <w:t xml:space="preserve"> hacia un modelo más sostenible basado en el uso de fuentes energéticas autóctonas limpias y renovables. Se ha intensificado el trabajo en las líneas claves que buscan soluciones para superar las barreras técnicas a la penetración de EERR, variables e intermitentes por naturaleza, en las pequeñas y débiles redes eléctricas insulares. </w:t>
      </w:r>
    </w:p>
    <w:p w14:paraId="5F22CF7B" w14:textId="77777777" w:rsidR="00615A1B" w:rsidRPr="0010581F" w:rsidRDefault="00615A1B" w:rsidP="00615A1B">
      <w:pPr>
        <w:jc w:val="both"/>
        <w:rPr>
          <w:rFonts w:ascii="Arial Narrow" w:hAnsi="Arial Narrow" w:cs="Arial"/>
          <w:sz w:val="24"/>
          <w:szCs w:val="24"/>
        </w:rPr>
      </w:pPr>
    </w:p>
    <w:p w14:paraId="557E8FF1" w14:textId="77777777" w:rsidR="00615A1B" w:rsidRDefault="00615A1B" w:rsidP="00615A1B">
      <w:pPr>
        <w:jc w:val="both"/>
        <w:rPr>
          <w:rFonts w:ascii="Arial Narrow" w:hAnsi="Arial Narrow" w:cs="Arial"/>
          <w:sz w:val="24"/>
          <w:szCs w:val="24"/>
        </w:rPr>
      </w:pPr>
      <w:r w:rsidRPr="0010581F">
        <w:rPr>
          <w:rFonts w:ascii="Arial Narrow" w:hAnsi="Arial Narrow" w:cs="Arial"/>
          <w:sz w:val="24"/>
          <w:szCs w:val="24"/>
        </w:rPr>
        <w:t xml:space="preserve">En el marco de distintas Encomiendas, se han desarrollado trabajos para el Gobierno de Canarias, entre los que cabe mencionar </w:t>
      </w:r>
      <w:r>
        <w:rPr>
          <w:rFonts w:ascii="Arial Narrow" w:hAnsi="Arial Narrow" w:cs="Arial"/>
          <w:sz w:val="24"/>
          <w:szCs w:val="24"/>
        </w:rPr>
        <w:t xml:space="preserve">por su importancia del desarrollo de una herramienta de autoconsumo fotovoltaico adaptada al marco existente, y disponible al público en general pueda optimizar y estudiar la viabilidad técnica-económica de sistemas de autoconsumo FV, y que además es útil para gestión de posibles programas de subvenciones al autoconsumo; </w:t>
      </w:r>
      <w:r w:rsidRPr="0010581F">
        <w:rPr>
          <w:rFonts w:ascii="Arial Narrow" w:hAnsi="Arial Narrow" w:cs="Arial"/>
          <w:sz w:val="24"/>
          <w:szCs w:val="24"/>
        </w:rPr>
        <w:t>la actualización de la Estrategia Energética de Canarias (EECan25)</w:t>
      </w:r>
      <w:r>
        <w:rPr>
          <w:rFonts w:ascii="Arial Narrow" w:hAnsi="Arial Narrow" w:cs="Arial"/>
          <w:sz w:val="24"/>
          <w:szCs w:val="24"/>
        </w:rPr>
        <w:t xml:space="preserve"> extendiendo el horizonte hasta 2030</w:t>
      </w:r>
      <w:r w:rsidRPr="0010581F">
        <w:rPr>
          <w:rFonts w:ascii="Arial Narrow" w:hAnsi="Arial Narrow" w:cs="Arial"/>
          <w:sz w:val="24"/>
          <w:szCs w:val="24"/>
        </w:rPr>
        <w:t>; el impulso al Observatorio de la Energía de Canarias (</w:t>
      </w:r>
      <w:proofErr w:type="spellStart"/>
      <w:r w:rsidRPr="0010581F">
        <w:rPr>
          <w:rFonts w:ascii="Arial Narrow" w:hAnsi="Arial Narrow" w:cs="Arial"/>
          <w:sz w:val="24"/>
          <w:szCs w:val="24"/>
        </w:rPr>
        <w:t>OECan</w:t>
      </w:r>
      <w:proofErr w:type="spellEnd"/>
      <w:r w:rsidRPr="0010581F">
        <w:rPr>
          <w:rFonts w:ascii="Arial Narrow" w:hAnsi="Arial Narrow" w:cs="Arial"/>
          <w:sz w:val="24"/>
          <w:szCs w:val="24"/>
        </w:rPr>
        <w:t xml:space="preserve">); la adaptación de la Certificación energética nacional a las especificidades de Canarias; </w:t>
      </w:r>
      <w:r>
        <w:rPr>
          <w:rFonts w:ascii="Arial Narrow" w:hAnsi="Arial Narrow" w:cs="Arial"/>
          <w:sz w:val="24"/>
          <w:szCs w:val="24"/>
        </w:rPr>
        <w:t>Estudio de o</w:t>
      </w:r>
      <w:r w:rsidRPr="00BC4C7F">
        <w:rPr>
          <w:rFonts w:ascii="Arial Narrow" w:hAnsi="Arial Narrow" w:cs="Arial"/>
          <w:sz w:val="24"/>
          <w:szCs w:val="24"/>
        </w:rPr>
        <w:t xml:space="preserve">pciones tecnológicas para la Generación de Calor Renovable en la reforma de edificios de apartamentos </w:t>
      </w:r>
      <w:proofErr w:type="spellStart"/>
      <w:r w:rsidRPr="00BC4C7F">
        <w:rPr>
          <w:rFonts w:ascii="Arial Narrow" w:hAnsi="Arial Narrow" w:cs="Arial"/>
          <w:sz w:val="24"/>
          <w:szCs w:val="24"/>
        </w:rPr>
        <w:t>extrahoteleros</w:t>
      </w:r>
      <w:proofErr w:type="spellEnd"/>
      <w:r>
        <w:rPr>
          <w:rFonts w:ascii="Arial Narrow" w:hAnsi="Arial Narrow" w:cs="Arial"/>
          <w:sz w:val="24"/>
          <w:szCs w:val="24"/>
        </w:rPr>
        <w:t>; a</w:t>
      </w:r>
      <w:r w:rsidRPr="00BC4C7F">
        <w:rPr>
          <w:rFonts w:ascii="Arial Narrow" w:hAnsi="Arial Narrow" w:cs="Arial"/>
          <w:sz w:val="24"/>
          <w:szCs w:val="24"/>
        </w:rPr>
        <w:t>mpliación de las capacidades de investigación  en  microrredes eléctricas</w:t>
      </w:r>
      <w:r>
        <w:rPr>
          <w:rFonts w:ascii="Arial Narrow" w:hAnsi="Arial Narrow" w:cs="Arial"/>
          <w:sz w:val="24"/>
          <w:szCs w:val="24"/>
        </w:rPr>
        <w:t>; impulso de EERR y eficiencia energética para la descarbonización del sistema energético de La Gomera</w:t>
      </w:r>
      <w:r w:rsidRPr="0010581F">
        <w:rPr>
          <w:rFonts w:ascii="Arial Narrow" w:hAnsi="Arial Narrow" w:cs="Arial"/>
          <w:sz w:val="24"/>
          <w:szCs w:val="24"/>
        </w:rPr>
        <w:t xml:space="preserve">. Se han desarrollado además estudios </w:t>
      </w:r>
      <w:r>
        <w:rPr>
          <w:rFonts w:ascii="Arial Narrow" w:hAnsi="Arial Narrow" w:cs="Arial"/>
          <w:sz w:val="24"/>
          <w:szCs w:val="24"/>
        </w:rPr>
        <w:t xml:space="preserve">bioclimáticos </w:t>
      </w:r>
      <w:r w:rsidRPr="0010581F">
        <w:rPr>
          <w:rFonts w:ascii="Arial Narrow" w:hAnsi="Arial Narrow" w:cs="Arial"/>
          <w:sz w:val="24"/>
          <w:szCs w:val="24"/>
        </w:rPr>
        <w:t>en el sector hotelero</w:t>
      </w:r>
      <w:r>
        <w:rPr>
          <w:rFonts w:ascii="Arial Narrow" w:hAnsi="Arial Narrow" w:cs="Arial"/>
          <w:sz w:val="24"/>
          <w:szCs w:val="24"/>
        </w:rPr>
        <w:t xml:space="preserve"> y residencial, y </w:t>
      </w:r>
      <w:r w:rsidRPr="0010581F">
        <w:rPr>
          <w:rFonts w:ascii="Arial Narrow" w:hAnsi="Arial Narrow" w:cs="Arial"/>
          <w:sz w:val="24"/>
          <w:szCs w:val="24"/>
        </w:rPr>
        <w:t>propuestas de valorización energética de fracción orgánica de residuos</w:t>
      </w:r>
      <w:r>
        <w:rPr>
          <w:rFonts w:ascii="Arial Narrow" w:hAnsi="Arial Narrow" w:cs="Arial"/>
          <w:sz w:val="24"/>
          <w:szCs w:val="24"/>
        </w:rPr>
        <w:t xml:space="preserve"> y de impulso a la movilidad sostenible en Canarias</w:t>
      </w:r>
      <w:r w:rsidRPr="0010581F">
        <w:rPr>
          <w:rFonts w:ascii="Arial Narrow" w:hAnsi="Arial Narrow" w:cs="Arial"/>
          <w:sz w:val="24"/>
          <w:szCs w:val="24"/>
        </w:rPr>
        <w:t xml:space="preserve">. </w:t>
      </w:r>
    </w:p>
    <w:p w14:paraId="7364E212" w14:textId="77777777" w:rsidR="00615A1B" w:rsidRDefault="00615A1B" w:rsidP="00615A1B">
      <w:pPr>
        <w:jc w:val="both"/>
        <w:rPr>
          <w:rFonts w:ascii="Arial Narrow" w:hAnsi="Arial Narrow" w:cs="Arial"/>
          <w:sz w:val="24"/>
          <w:szCs w:val="24"/>
        </w:rPr>
      </w:pPr>
    </w:p>
    <w:p w14:paraId="0041BE5C" w14:textId="77777777" w:rsidR="00615A1B" w:rsidRDefault="00615A1B" w:rsidP="00615A1B">
      <w:pPr>
        <w:jc w:val="both"/>
        <w:rPr>
          <w:rFonts w:ascii="Arial Narrow" w:hAnsi="Arial Narrow" w:cs="Arial"/>
          <w:sz w:val="24"/>
          <w:szCs w:val="24"/>
        </w:rPr>
      </w:pPr>
      <w:r w:rsidRPr="0010581F">
        <w:rPr>
          <w:rFonts w:ascii="Arial Narrow" w:hAnsi="Arial Narrow" w:cs="Arial"/>
          <w:sz w:val="24"/>
          <w:szCs w:val="24"/>
        </w:rPr>
        <w:t xml:space="preserve">En Gran Canaria se </w:t>
      </w:r>
      <w:r>
        <w:rPr>
          <w:rFonts w:ascii="Arial Narrow" w:hAnsi="Arial Narrow" w:cs="Arial"/>
          <w:sz w:val="24"/>
          <w:szCs w:val="24"/>
        </w:rPr>
        <w:t xml:space="preserve">finalizaron los trabajos de </w:t>
      </w:r>
      <w:r w:rsidRPr="0010581F">
        <w:rPr>
          <w:rFonts w:ascii="Arial Narrow" w:hAnsi="Arial Narrow" w:cs="Arial"/>
          <w:sz w:val="24"/>
          <w:szCs w:val="24"/>
        </w:rPr>
        <w:t>elabora</w:t>
      </w:r>
      <w:r>
        <w:rPr>
          <w:rFonts w:ascii="Arial Narrow" w:hAnsi="Arial Narrow" w:cs="Arial"/>
          <w:sz w:val="24"/>
          <w:szCs w:val="24"/>
        </w:rPr>
        <w:t xml:space="preserve">ción de los </w:t>
      </w:r>
      <w:r w:rsidRPr="0010581F">
        <w:rPr>
          <w:rFonts w:ascii="Arial Narrow" w:hAnsi="Arial Narrow" w:cs="Arial"/>
          <w:sz w:val="24"/>
          <w:szCs w:val="24"/>
        </w:rPr>
        <w:t xml:space="preserve">Planes de Acción del Clima y la Energía (PACES) </w:t>
      </w:r>
      <w:r>
        <w:rPr>
          <w:rFonts w:ascii="Arial Narrow" w:hAnsi="Arial Narrow" w:cs="Arial"/>
          <w:sz w:val="24"/>
          <w:szCs w:val="24"/>
        </w:rPr>
        <w:t xml:space="preserve">y los </w:t>
      </w:r>
      <w:r w:rsidRPr="0010581F">
        <w:rPr>
          <w:rFonts w:ascii="Arial Narrow" w:hAnsi="Arial Narrow" w:cs="Arial"/>
          <w:sz w:val="24"/>
          <w:szCs w:val="24"/>
        </w:rPr>
        <w:t>Inventarios de Emisiones de Referencia (</w:t>
      </w:r>
      <w:proofErr w:type="spellStart"/>
      <w:r w:rsidRPr="0010581F">
        <w:rPr>
          <w:rFonts w:ascii="Arial Narrow" w:hAnsi="Arial Narrow" w:cs="Arial"/>
          <w:sz w:val="24"/>
          <w:szCs w:val="24"/>
        </w:rPr>
        <w:t>IERs</w:t>
      </w:r>
      <w:proofErr w:type="spellEnd"/>
      <w:r w:rsidRPr="0010581F">
        <w:rPr>
          <w:rFonts w:ascii="Arial Narrow" w:hAnsi="Arial Narrow" w:cs="Arial"/>
          <w:sz w:val="24"/>
          <w:szCs w:val="24"/>
        </w:rPr>
        <w:t>)</w:t>
      </w:r>
      <w:r>
        <w:rPr>
          <w:rFonts w:ascii="Arial Narrow" w:hAnsi="Arial Narrow" w:cs="Arial"/>
          <w:sz w:val="24"/>
          <w:szCs w:val="24"/>
        </w:rPr>
        <w:t xml:space="preserve"> en 10 municipios, y se comenzó la elaboración de 11 nuevos PACES </w:t>
      </w:r>
      <w:r w:rsidRPr="0010581F">
        <w:rPr>
          <w:rFonts w:ascii="Arial Narrow" w:hAnsi="Arial Narrow" w:cs="Arial"/>
          <w:sz w:val="24"/>
          <w:szCs w:val="24"/>
        </w:rPr>
        <w:t xml:space="preserve"> </w:t>
      </w:r>
      <w:r>
        <w:rPr>
          <w:rFonts w:ascii="Arial Narrow" w:hAnsi="Arial Narrow" w:cs="Arial"/>
          <w:sz w:val="24"/>
          <w:szCs w:val="24"/>
        </w:rPr>
        <w:t xml:space="preserve">e </w:t>
      </w:r>
      <w:proofErr w:type="spellStart"/>
      <w:r>
        <w:rPr>
          <w:rFonts w:ascii="Arial Narrow" w:hAnsi="Arial Narrow" w:cs="Arial"/>
          <w:sz w:val="24"/>
          <w:szCs w:val="24"/>
        </w:rPr>
        <w:t>IERs</w:t>
      </w:r>
      <w:proofErr w:type="spellEnd"/>
      <w:r w:rsidRPr="0010581F">
        <w:rPr>
          <w:rFonts w:ascii="Arial Narrow" w:hAnsi="Arial Narrow" w:cs="Arial"/>
          <w:sz w:val="24"/>
          <w:szCs w:val="24"/>
        </w:rPr>
        <w:t>, documentos necesarios para la adhesión a la Iniciativa europea Pacto de los Alcaldes</w:t>
      </w:r>
      <w:r>
        <w:rPr>
          <w:rFonts w:ascii="Arial Narrow" w:hAnsi="Arial Narrow" w:cs="Arial"/>
          <w:sz w:val="24"/>
          <w:szCs w:val="24"/>
        </w:rPr>
        <w:t xml:space="preserve"> de los 21 municipios de gran Canaria</w:t>
      </w:r>
      <w:r w:rsidRPr="0010581F">
        <w:rPr>
          <w:rFonts w:ascii="Arial Narrow" w:hAnsi="Arial Narrow" w:cs="Arial"/>
          <w:sz w:val="24"/>
          <w:szCs w:val="24"/>
        </w:rPr>
        <w:t xml:space="preserve">. </w:t>
      </w:r>
      <w:r>
        <w:rPr>
          <w:rFonts w:ascii="Arial Narrow" w:hAnsi="Arial Narrow" w:cs="Arial"/>
          <w:sz w:val="24"/>
          <w:szCs w:val="24"/>
        </w:rPr>
        <w:t>Para el C</w:t>
      </w:r>
      <w:r w:rsidRPr="0010581F">
        <w:rPr>
          <w:rFonts w:ascii="Arial Narrow" w:hAnsi="Arial Narrow" w:cs="Arial"/>
          <w:sz w:val="24"/>
          <w:szCs w:val="24"/>
        </w:rPr>
        <w:t xml:space="preserve">abildo de Gran </w:t>
      </w:r>
      <w:r>
        <w:rPr>
          <w:rFonts w:ascii="Arial Narrow" w:hAnsi="Arial Narrow" w:cs="Arial"/>
          <w:sz w:val="24"/>
          <w:szCs w:val="24"/>
        </w:rPr>
        <w:t>C</w:t>
      </w:r>
      <w:r w:rsidRPr="0010581F">
        <w:rPr>
          <w:rFonts w:ascii="Arial Narrow" w:hAnsi="Arial Narrow" w:cs="Arial"/>
          <w:sz w:val="24"/>
          <w:szCs w:val="24"/>
        </w:rPr>
        <w:t xml:space="preserve">anaria Se </w:t>
      </w:r>
      <w:r>
        <w:rPr>
          <w:rFonts w:ascii="Arial Narrow" w:hAnsi="Arial Narrow" w:cs="Arial"/>
          <w:sz w:val="24"/>
          <w:szCs w:val="24"/>
        </w:rPr>
        <w:t xml:space="preserve">trabajó en las mejoras y actualización de las </w:t>
      </w:r>
      <w:r w:rsidRPr="0010581F">
        <w:rPr>
          <w:rFonts w:ascii="Arial Narrow" w:hAnsi="Arial Narrow" w:cs="Arial"/>
          <w:sz w:val="24"/>
          <w:szCs w:val="24"/>
        </w:rPr>
        <w:t xml:space="preserve">herramientas </w:t>
      </w:r>
      <w:r>
        <w:rPr>
          <w:rFonts w:ascii="Arial Narrow" w:hAnsi="Arial Narrow" w:cs="Arial"/>
          <w:sz w:val="24"/>
          <w:szCs w:val="24"/>
        </w:rPr>
        <w:t xml:space="preserve">desarrolladas </w:t>
      </w:r>
      <w:r w:rsidRPr="0010581F">
        <w:rPr>
          <w:rFonts w:ascii="Arial Narrow" w:hAnsi="Arial Narrow" w:cs="Arial"/>
          <w:sz w:val="24"/>
          <w:szCs w:val="24"/>
        </w:rPr>
        <w:t>para gestionar las subvenciones al autoconsumo fotovoltaico</w:t>
      </w:r>
      <w:r>
        <w:rPr>
          <w:rFonts w:ascii="Arial Narrow" w:hAnsi="Arial Narrow" w:cs="Arial"/>
          <w:sz w:val="24"/>
          <w:szCs w:val="24"/>
        </w:rPr>
        <w:t xml:space="preserve"> y se desarrolló una herramienta para dar soporte al programa de subvenciones a la energía solar térmica</w:t>
      </w:r>
      <w:r w:rsidRPr="0010581F">
        <w:rPr>
          <w:rFonts w:ascii="Arial Narrow" w:hAnsi="Arial Narrow" w:cs="Arial"/>
          <w:sz w:val="24"/>
          <w:szCs w:val="24"/>
        </w:rPr>
        <w:t>.</w:t>
      </w:r>
      <w:r>
        <w:rPr>
          <w:rFonts w:ascii="Arial Narrow" w:hAnsi="Arial Narrow" w:cs="Arial"/>
          <w:sz w:val="24"/>
          <w:szCs w:val="24"/>
        </w:rPr>
        <w:t xml:space="preserve"> </w:t>
      </w:r>
      <w:r w:rsidRPr="0010581F">
        <w:rPr>
          <w:rFonts w:ascii="Arial Narrow" w:hAnsi="Arial Narrow" w:cs="Arial"/>
          <w:sz w:val="24"/>
          <w:szCs w:val="24"/>
        </w:rPr>
        <w:t>En Gran Canaria también se ha</w:t>
      </w:r>
      <w:r>
        <w:rPr>
          <w:rFonts w:ascii="Arial Narrow" w:hAnsi="Arial Narrow" w:cs="Arial"/>
          <w:sz w:val="24"/>
          <w:szCs w:val="24"/>
        </w:rPr>
        <w:t>n continuado los estudios de</w:t>
      </w:r>
      <w:r w:rsidRPr="0010581F">
        <w:rPr>
          <w:rFonts w:ascii="Arial Narrow" w:hAnsi="Arial Narrow" w:cs="Arial"/>
          <w:sz w:val="24"/>
          <w:szCs w:val="24"/>
        </w:rPr>
        <w:t xml:space="preserve"> potencialidades de desarrollo de las energías marinas, en especial la eólica off-shore y la undimotriz</w:t>
      </w:r>
      <w:r>
        <w:rPr>
          <w:rFonts w:ascii="Arial Narrow" w:hAnsi="Arial Narrow" w:cs="Arial"/>
          <w:sz w:val="24"/>
          <w:szCs w:val="24"/>
        </w:rPr>
        <w:t>, y s</w:t>
      </w:r>
      <w:r w:rsidRPr="0010581F">
        <w:rPr>
          <w:rFonts w:ascii="Arial Narrow" w:hAnsi="Arial Narrow" w:cs="Arial"/>
          <w:sz w:val="24"/>
          <w:szCs w:val="24"/>
        </w:rPr>
        <w:t xml:space="preserve">e </w:t>
      </w:r>
      <w:r>
        <w:rPr>
          <w:rFonts w:ascii="Arial Narrow" w:hAnsi="Arial Narrow" w:cs="Arial"/>
          <w:sz w:val="24"/>
          <w:szCs w:val="24"/>
        </w:rPr>
        <w:t xml:space="preserve">sigue </w:t>
      </w:r>
      <w:r w:rsidRPr="0010581F">
        <w:rPr>
          <w:rFonts w:ascii="Arial Narrow" w:hAnsi="Arial Narrow" w:cs="Arial"/>
          <w:sz w:val="24"/>
          <w:szCs w:val="24"/>
        </w:rPr>
        <w:t xml:space="preserve">colaborando con empresas del sector para buscar promover nuevas propuestas de proyecto en esta área. </w:t>
      </w:r>
    </w:p>
    <w:p w14:paraId="75307F99" w14:textId="77777777" w:rsidR="00615A1B" w:rsidRPr="0010581F" w:rsidRDefault="00615A1B" w:rsidP="00615A1B">
      <w:pPr>
        <w:jc w:val="both"/>
        <w:rPr>
          <w:rFonts w:ascii="Arial Narrow" w:hAnsi="Arial Narrow" w:cs="Arial"/>
          <w:sz w:val="24"/>
          <w:szCs w:val="24"/>
        </w:rPr>
      </w:pPr>
    </w:p>
    <w:p w14:paraId="609C08EB" w14:textId="77777777" w:rsidR="00615A1B" w:rsidRDefault="00615A1B" w:rsidP="00615A1B">
      <w:pPr>
        <w:jc w:val="both"/>
        <w:rPr>
          <w:rFonts w:ascii="Arial Narrow" w:hAnsi="Arial Narrow" w:cs="Arial"/>
          <w:sz w:val="24"/>
          <w:szCs w:val="24"/>
        </w:rPr>
      </w:pPr>
      <w:r w:rsidRPr="0010581F">
        <w:rPr>
          <w:rFonts w:ascii="Arial Narrow" w:hAnsi="Arial Narrow" w:cs="Arial"/>
          <w:sz w:val="24"/>
          <w:szCs w:val="24"/>
        </w:rPr>
        <w:t xml:space="preserve">En El Hierro se ha seguido apoyando a </w:t>
      </w:r>
      <w:r>
        <w:rPr>
          <w:rFonts w:ascii="Arial Narrow" w:hAnsi="Arial Narrow" w:cs="Arial"/>
          <w:sz w:val="24"/>
          <w:szCs w:val="24"/>
        </w:rPr>
        <w:t>Gorona del Viento</w:t>
      </w:r>
      <w:r w:rsidRPr="0010581F">
        <w:rPr>
          <w:rFonts w:ascii="Arial Narrow" w:hAnsi="Arial Narrow" w:cs="Arial"/>
          <w:sz w:val="24"/>
          <w:szCs w:val="24"/>
        </w:rPr>
        <w:t>, con nuevas propuestas de mejoras en la operación de la central hidroeólica de El Hierro que están permitiendo aumentar la penetración eólica en la isla. Entre las nuevas propuestas destacan los modelos climáticos y estadísticos para predicción fiable de viento con los que poder prever con antelación la generación eólica.</w:t>
      </w:r>
    </w:p>
    <w:p w14:paraId="5D0EFCA8" w14:textId="77777777" w:rsidR="00615A1B" w:rsidRPr="0010581F" w:rsidRDefault="00615A1B" w:rsidP="00615A1B">
      <w:pPr>
        <w:jc w:val="both"/>
        <w:rPr>
          <w:rFonts w:ascii="Arial Narrow" w:hAnsi="Arial Narrow" w:cs="Arial"/>
          <w:sz w:val="24"/>
          <w:szCs w:val="24"/>
        </w:rPr>
      </w:pPr>
    </w:p>
    <w:p w14:paraId="22FF9858" w14:textId="77777777" w:rsidR="00615A1B" w:rsidRDefault="00615A1B" w:rsidP="00615A1B">
      <w:pPr>
        <w:jc w:val="both"/>
        <w:rPr>
          <w:rFonts w:ascii="Arial Narrow" w:hAnsi="Arial Narrow" w:cs="Arial"/>
          <w:sz w:val="24"/>
          <w:szCs w:val="24"/>
        </w:rPr>
      </w:pPr>
      <w:r w:rsidRPr="0010581F">
        <w:rPr>
          <w:rFonts w:ascii="Arial Narrow" w:hAnsi="Arial Narrow" w:cs="Arial"/>
          <w:sz w:val="24"/>
          <w:szCs w:val="24"/>
        </w:rPr>
        <w:t>En La Gomera se ha</w:t>
      </w:r>
      <w:r>
        <w:rPr>
          <w:rFonts w:ascii="Arial Narrow" w:hAnsi="Arial Narrow" w:cs="Arial"/>
          <w:sz w:val="24"/>
          <w:szCs w:val="24"/>
        </w:rPr>
        <w:t xml:space="preserve"> comenzaron los trabajos dirigido al despliegue de sistemas que permitirán </w:t>
      </w:r>
      <w:r w:rsidRPr="0010581F">
        <w:rPr>
          <w:rFonts w:ascii="Arial Narrow" w:hAnsi="Arial Narrow" w:cs="Arial"/>
          <w:sz w:val="24"/>
          <w:szCs w:val="24"/>
        </w:rPr>
        <w:t xml:space="preserve"> avanzar hacia la descarbonización del </w:t>
      </w:r>
      <w:r>
        <w:rPr>
          <w:rFonts w:ascii="Arial Narrow" w:hAnsi="Arial Narrow" w:cs="Arial"/>
          <w:sz w:val="24"/>
          <w:szCs w:val="24"/>
        </w:rPr>
        <w:t xml:space="preserve">sistema energético de la isla a </w:t>
      </w:r>
      <w:r w:rsidRPr="0010581F">
        <w:rPr>
          <w:rFonts w:ascii="Arial Narrow" w:hAnsi="Arial Narrow" w:cs="Arial"/>
          <w:sz w:val="24"/>
          <w:szCs w:val="24"/>
        </w:rPr>
        <w:t xml:space="preserve">través de la eficiencia energética y acciones que promueve un modelo de generación distribuida. La piedra angular de este paquete de medidas es la “multi-microgrid” consistente en 64 pequeñas microredes de alta penetración de EERR y capacidad de almacenamiento energético, que estarán ubicadas en los finales de la red de distribución de la isla. </w:t>
      </w:r>
    </w:p>
    <w:p w14:paraId="42841D3E" w14:textId="77777777" w:rsidR="00615A1B" w:rsidRDefault="00615A1B" w:rsidP="00615A1B">
      <w:pPr>
        <w:jc w:val="both"/>
        <w:rPr>
          <w:rFonts w:ascii="Arial Narrow" w:hAnsi="Arial Narrow" w:cs="Arial"/>
          <w:sz w:val="24"/>
          <w:szCs w:val="24"/>
        </w:rPr>
      </w:pPr>
    </w:p>
    <w:p w14:paraId="6162B2FB" w14:textId="77777777" w:rsidR="00615A1B" w:rsidRDefault="00615A1B" w:rsidP="00615A1B">
      <w:pPr>
        <w:jc w:val="both"/>
        <w:rPr>
          <w:rFonts w:ascii="Arial Narrow" w:hAnsi="Arial Narrow" w:cs="Arial"/>
          <w:sz w:val="24"/>
          <w:szCs w:val="24"/>
        </w:rPr>
      </w:pPr>
      <w:r>
        <w:rPr>
          <w:rFonts w:ascii="Arial Narrow" w:hAnsi="Arial Narrow" w:cs="Arial"/>
          <w:sz w:val="24"/>
          <w:szCs w:val="24"/>
        </w:rPr>
        <w:t>Es importante resaltar la intensa actividad que se sigue desarrollando en colaboración con la FECAM para reforzar la capacitación de técnicos de los 88 municipios canarios, en lo referente a eficiencia energética y promoción de EERR a nivel local. También en actividades de sensibilización dirigidas al público en general.</w:t>
      </w:r>
    </w:p>
    <w:p w14:paraId="227930C2" w14:textId="77777777" w:rsidR="00615A1B" w:rsidRPr="0010581F" w:rsidRDefault="00615A1B" w:rsidP="00615A1B">
      <w:pPr>
        <w:jc w:val="both"/>
        <w:rPr>
          <w:rFonts w:ascii="Arial Narrow" w:hAnsi="Arial Narrow" w:cs="Arial"/>
          <w:sz w:val="24"/>
          <w:szCs w:val="24"/>
        </w:rPr>
      </w:pPr>
    </w:p>
    <w:p w14:paraId="1E5059B2" w14:textId="77777777" w:rsidR="00615A1B" w:rsidRDefault="00615A1B" w:rsidP="00615A1B">
      <w:pPr>
        <w:jc w:val="both"/>
        <w:rPr>
          <w:rFonts w:ascii="Arial Narrow" w:hAnsi="Arial Narrow" w:cs="Arial"/>
          <w:sz w:val="24"/>
          <w:szCs w:val="24"/>
        </w:rPr>
      </w:pPr>
      <w:r w:rsidRPr="0010581F">
        <w:rPr>
          <w:rFonts w:ascii="Arial Narrow" w:hAnsi="Arial Narrow" w:cs="Arial"/>
          <w:sz w:val="24"/>
          <w:szCs w:val="24"/>
        </w:rPr>
        <w:t>El Departamento de EERR sigue apoyando los esfuerzos por transferir tecnologías energéticas limpias a los países menos desarrollados de nuestro entorno geográfico</w:t>
      </w:r>
      <w:r>
        <w:rPr>
          <w:rFonts w:ascii="Arial Narrow" w:hAnsi="Arial Narrow" w:cs="Arial"/>
          <w:sz w:val="24"/>
          <w:szCs w:val="24"/>
        </w:rPr>
        <w:t xml:space="preserve">. </w:t>
      </w:r>
      <w:r w:rsidRPr="0010581F">
        <w:rPr>
          <w:rFonts w:ascii="Arial Narrow" w:hAnsi="Arial Narrow" w:cs="Arial"/>
          <w:sz w:val="24"/>
          <w:szCs w:val="24"/>
        </w:rPr>
        <w:t>La actividad  en 201</w:t>
      </w:r>
      <w:r>
        <w:rPr>
          <w:rFonts w:ascii="Arial Narrow" w:hAnsi="Arial Narrow" w:cs="Arial"/>
          <w:sz w:val="24"/>
          <w:szCs w:val="24"/>
        </w:rPr>
        <w:t>9</w:t>
      </w:r>
      <w:r w:rsidRPr="0010581F">
        <w:rPr>
          <w:rFonts w:ascii="Arial Narrow" w:hAnsi="Arial Narrow" w:cs="Arial"/>
          <w:sz w:val="24"/>
          <w:szCs w:val="24"/>
        </w:rPr>
        <w:t xml:space="preserve"> se </w:t>
      </w:r>
      <w:r>
        <w:rPr>
          <w:rFonts w:ascii="Arial Narrow" w:hAnsi="Arial Narrow" w:cs="Arial"/>
          <w:sz w:val="24"/>
          <w:szCs w:val="24"/>
        </w:rPr>
        <w:t>centró</w:t>
      </w:r>
      <w:r w:rsidRPr="0010581F">
        <w:rPr>
          <w:rFonts w:ascii="Arial Narrow" w:hAnsi="Arial Narrow" w:cs="Arial"/>
          <w:sz w:val="24"/>
          <w:szCs w:val="24"/>
        </w:rPr>
        <w:t xml:space="preserve"> fundamentalmente en Cabo Verde y Mauritania. En este último se han </w:t>
      </w:r>
      <w:r>
        <w:rPr>
          <w:rFonts w:ascii="Arial Narrow" w:hAnsi="Arial Narrow" w:cs="Arial"/>
          <w:sz w:val="24"/>
          <w:szCs w:val="24"/>
        </w:rPr>
        <w:t>continuado</w:t>
      </w:r>
      <w:r w:rsidRPr="0010581F">
        <w:rPr>
          <w:rFonts w:ascii="Arial Narrow" w:hAnsi="Arial Narrow" w:cs="Arial"/>
          <w:sz w:val="24"/>
          <w:szCs w:val="24"/>
        </w:rPr>
        <w:t xml:space="preserve"> los trabajos de instalación de un laboratorio de generación distribuida y una planta piloto de producción de biogás (biodigestor), ambos en la Universidad de Mauritania. </w:t>
      </w:r>
    </w:p>
    <w:p w14:paraId="0B8DC5A1" w14:textId="77777777" w:rsidR="00615A1B" w:rsidRDefault="00615A1B" w:rsidP="00615A1B">
      <w:pPr>
        <w:jc w:val="both"/>
        <w:rPr>
          <w:rFonts w:ascii="Arial Narrow" w:hAnsi="Arial Narrow" w:cs="Arial"/>
          <w:sz w:val="24"/>
          <w:szCs w:val="24"/>
        </w:rPr>
      </w:pPr>
    </w:p>
    <w:p w14:paraId="58E35B4C" w14:textId="77777777" w:rsidR="00615A1B" w:rsidRDefault="00615A1B" w:rsidP="00615A1B">
      <w:pPr>
        <w:jc w:val="both"/>
        <w:rPr>
          <w:rFonts w:ascii="Arial Narrow" w:hAnsi="Arial Narrow" w:cs="Arial"/>
          <w:sz w:val="24"/>
          <w:szCs w:val="24"/>
        </w:rPr>
      </w:pPr>
    </w:p>
    <w:p w14:paraId="25325A16" w14:textId="77777777" w:rsidR="00615A1B" w:rsidRDefault="00615A1B" w:rsidP="00615A1B">
      <w:pPr>
        <w:keepNext/>
        <w:keepLines/>
        <w:jc w:val="both"/>
        <w:rPr>
          <w:rFonts w:ascii="Arial Narrow" w:hAnsi="Arial Narrow"/>
          <w:sz w:val="24"/>
          <w:szCs w:val="24"/>
        </w:rPr>
      </w:pPr>
      <w:r>
        <w:rPr>
          <w:rFonts w:ascii="Arial Narrow" w:hAnsi="Arial Narrow"/>
          <w:sz w:val="24"/>
          <w:szCs w:val="24"/>
        </w:rPr>
        <w:t xml:space="preserve">El </w:t>
      </w:r>
      <w:r>
        <w:rPr>
          <w:rFonts w:ascii="Arial Narrow" w:hAnsi="Arial Narrow"/>
          <w:b/>
          <w:bCs/>
          <w:sz w:val="24"/>
          <w:szCs w:val="24"/>
        </w:rPr>
        <w:t>Departamento de Agua</w:t>
      </w:r>
      <w:r>
        <w:rPr>
          <w:rFonts w:ascii="Arial Narrow" w:hAnsi="Arial Narrow"/>
          <w:sz w:val="24"/>
          <w:szCs w:val="24"/>
        </w:rPr>
        <w:t xml:space="preserve"> </w:t>
      </w:r>
      <w:r w:rsidRPr="00B723AD">
        <w:rPr>
          <w:rFonts w:ascii="Arial Narrow" w:hAnsi="Arial Narrow"/>
          <w:sz w:val="24"/>
          <w:szCs w:val="24"/>
        </w:rPr>
        <w:t>ha ejecutado</w:t>
      </w:r>
      <w:r>
        <w:rPr>
          <w:rFonts w:ascii="Arial Narrow" w:hAnsi="Arial Narrow"/>
          <w:sz w:val="24"/>
          <w:szCs w:val="24"/>
        </w:rPr>
        <w:t xml:space="preserve"> en 2019</w:t>
      </w:r>
      <w:r w:rsidRPr="00B723AD">
        <w:rPr>
          <w:rFonts w:ascii="Arial Narrow" w:hAnsi="Arial Narrow"/>
          <w:sz w:val="24"/>
          <w:szCs w:val="24"/>
        </w:rPr>
        <w:t xml:space="preserve"> tareas dentro de </w:t>
      </w:r>
      <w:r>
        <w:rPr>
          <w:rFonts w:ascii="Arial Narrow" w:hAnsi="Arial Narrow"/>
          <w:sz w:val="24"/>
          <w:szCs w:val="24"/>
        </w:rPr>
        <w:t>8</w:t>
      </w:r>
      <w:r w:rsidRPr="00B723AD">
        <w:rPr>
          <w:rFonts w:ascii="Arial Narrow" w:hAnsi="Arial Narrow"/>
          <w:sz w:val="24"/>
          <w:szCs w:val="24"/>
        </w:rPr>
        <w:t xml:space="preserve"> proyectos con cofinanciación europea, algunos siendo coordinador* (DESAL+*, ADAPTaRES*, ECOTOUR, NAUTICOM, CLIMARISK, correspondientes al Programa MAC; MONITOOL y EERES4WATER  correspondiente al programa Atlantic Area; MAGIC dentro del programa H2020. A su vez </w:t>
      </w:r>
      <w:r>
        <w:rPr>
          <w:rFonts w:ascii="Arial Narrow" w:hAnsi="Arial Narrow"/>
          <w:sz w:val="24"/>
          <w:szCs w:val="24"/>
        </w:rPr>
        <w:t>se le conceden</w:t>
      </w:r>
      <w:r w:rsidRPr="00B723AD">
        <w:rPr>
          <w:rFonts w:ascii="Arial Narrow" w:hAnsi="Arial Narrow"/>
          <w:sz w:val="24"/>
          <w:szCs w:val="24"/>
        </w:rPr>
        <w:t xml:space="preserve"> a finales de año </w:t>
      </w:r>
      <w:r>
        <w:rPr>
          <w:rFonts w:ascii="Arial Narrow" w:hAnsi="Arial Narrow"/>
          <w:sz w:val="24"/>
          <w:szCs w:val="24"/>
        </w:rPr>
        <w:t>5 nuevos</w:t>
      </w:r>
      <w:r w:rsidRPr="00B723AD">
        <w:rPr>
          <w:rFonts w:ascii="Arial Narrow" w:hAnsi="Arial Narrow"/>
          <w:sz w:val="24"/>
          <w:szCs w:val="24"/>
        </w:rPr>
        <w:t xml:space="preserve"> proyectos MAC</w:t>
      </w:r>
      <w:r>
        <w:rPr>
          <w:rFonts w:ascii="Arial Narrow" w:hAnsi="Arial Narrow"/>
          <w:sz w:val="24"/>
          <w:szCs w:val="24"/>
        </w:rPr>
        <w:t>, tres de ellos siendo coordinador</w:t>
      </w:r>
      <w:r w:rsidRPr="00B723AD">
        <w:rPr>
          <w:rFonts w:ascii="Arial Narrow" w:hAnsi="Arial Narrow"/>
          <w:sz w:val="24"/>
          <w:szCs w:val="24"/>
        </w:rPr>
        <w:t xml:space="preserve"> (E5DES*, ABACO*, MITIMAC, REDCOAST</w:t>
      </w:r>
      <w:r>
        <w:rPr>
          <w:rFonts w:ascii="Arial Narrow" w:hAnsi="Arial Narrow"/>
          <w:sz w:val="24"/>
          <w:szCs w:val="24"/>
        </w:rPr>
        <w:t>*</w:t>
      </w:r>
      <w:r w:rsidRPr="00B723AD">
        <w:rPr>
          <w:rFonts w:ascii="Arial Narrow" w:hAnsi="Arial Narrow"/>
          <w:sz w:val="24"/>
          <w:szCs w:val="24"/>
        </w:rPr>
        <w:t xml:space="preserve">, </w:t>
      </w:r>
      <w:r>
        <w:rPr>
          <w:rFonts w:ascii="Arial Narrow" w:hAnsi="Arial Narrow"/>
          <w:sz w:val="24"/>
          <w:szCs w:val="24"/>
        </w:rPr>
        <w:t>MACCLIMA</w:t>
      </w:r>
      <w:r w:rsidRPr="00B723AD">
        <w:rPr>
          <w:rFonts w:ascii="Arial Narrow" w:hAnsi="Arial Narrow"/>
          <w:sz w:val="24"/>
          <w:szCs w:val="24"/>
        </w:rPr>
        <w:t>)</w:t>
      </w:r>
      <w:r>
        <w:rPr>
          <w:rFonts w:ascii="Arial Narrow" w:hAnsi="Arial Narrow"/>
          <w:sz w:val="24"/>
          <w:szCs w:val="24"/>
        </w:rPr>
        <w:t>. Participa en consorcios que presentan p</w:t>
      </w:r>
      <w:r w:rsidRPr="00B723AD">
        <w:rPr>
          <w:rFonts w:ascii="Arial Narrow" w:hAnsi="Arial Narrow"/>
          <w:sz w:val="24"/>
          <w:szCs w:val="24"/>
        </w:rPr>
        <w:t xml:space="preserve">ropuestas </w:t>
      </w:r>
      <w:r>
        <w:rPr>
          <w:rFonts w:ascii="Arial Narrow" w:hAnsi="Arial Narrow"/>
          <w:sz w:val="24"/>
          <w:szCs w:val="24"/>
        </w:rPr>
        <w:t>de</w:t>
      </w:r>
      <w:r w:rsidRPr="00B723AD">
        <w:rPr>
          <w:rFonts w:ascii="Arial Narrow" w:hAnsi="Arial Narrow"/>
          <w:sz w:val="24"/>
          <w:szCs w:val="24"/>
        </w:rPr>
        <w:t xml:space="preserve"> nuevos proyecto</w:t>
      </w:r>
      <w:r>
        <w:rPr>
          <w:rFonts w:ascii="Arial Narrow" w:hAnsi="Arial Narrow"/>
          <w:sz w:val="24"/>
          <w:szCs w:val="24"/>
        </w:rPr>
        <w:t xml:space="preserve"> en convocatorias </w:t>
      </w:r>
      <w:r w:rsidRPr="00B723AD">
        <w:rPr>
          <w:rFonts w:ascii="Arial Narrow" w:hAnsi="Arial Narrow"/>
          <w:sz w:val="24"/>
          <w:szCs w:val="24"/>
        </w:rPr>
        <w:t>LIFE</w:t>
      </w:r>
      <w:r>
        <w:rPr>
          <w:rFonts w:ascii="Arial Narrow" w:hAnsi="Arial Narrow"/>
          <w:sz w:val="24"/>
          <w:szCs w:val="24"/>
        </w:rPr>
        <w:t xml:space="preserve"> y</w:t>
      </w:r>
      <w:r w:rsidRPr="00B723AD">
        <w:rPr>
          <w:rFonts w:ascii="Arial Narrow" w:hAnsi="Arial Narrow"/>
          <w:sz w:val="24"/>
          <w:szCs w:val="24"/>
        </w:rPr>
        <w:t xml:space="preserve"> H2020. </w:t>
      </w:r>
    </w:p>
    <w:p w14:paraId="17B6D1EA" w14:textId="77777777" w:rsidR="00615A1B" w:rsidRDefault="00615A1B" w:rsidP="00615A1B">
      <w:pPr>
        <w:jc w:val="both"/>
        <w:rPr>
          <w:rFonts w:ascii="Arial Narrow" w:hAnsi="Arial Narrow"/>
          <w:sz w:val="24"/>
          <w:szCs w:val="24"/>
        </w:rPr>
      </w:pPr>
    </w:p>
    <w:p w14:paraId="5B9FC244" w14:textId="77777777" w:rsidR="00615A1B" w:rsidRDefault="00615A1B" w:rsidP="00615A1B">
      <w:pPr>
        <w:jc w:val="both"/>
        <w:rPr>
          <w:rFonts w:ascii="Arial Narrow" w:hAnsi="Arial Narrow"/>
          <w:sz w:val="24"/>
          <w:szCs w:val="24"/>
        </w:rPr>
      </w:pPr>
      <w:r w:rsidRPr="00B723AD">
        <w:rPr>
          <w:rFonts w:ascii="Arial Narrow" w:hAnsi="Arial Narrow"/>
          <w:sz w:val="24"/>
          <w:szCs w:val="24"/>
        </w:rPr>
        <w:t>Se están ejecutando tareas de coordinación  de la plataforma DESAL+ LIVING LAB liderad</w:t>
      </w:r>
      <w:r>
        <w:rPr>
          <w:rFonts w:ascii="Arial Narrow" w:hAnsi="Arial Narrow"/>
          <w:sz w:val="24"/>
          <w:szCs w:val="24"/>
        </w:rPr>
        <w:t>a</w:t>
      </w:r>
      <w:r w:rsidRPr="00B723AD">
        <w:rPr>
          <w:rFonts w:ascii="Arial Narrow" w:hAnsi="Arial Narrow"/>
          <w:sz w:val="24"/>
          <w:szCs w:val="24"/>
        </w:rPr>
        <w:t xml:space="preserve"> por el ITC</w:t>
      </w:r>
      <w:r>
        <w:rPr>
          <w:rFonts w:ascii="Arial Narrow" w:hAnsi="Arial Narrow"/>
          <w:sz w:val="24"/>
          <w:szCs w:val="24"/>
        </w:rPr>
        <w:t>. Destacar la negociación con dos empresas europeas con financiación SME H2020 para ubicar sus demostrativos de desalación en Canarias en 2020</w:t>
      </w:r>
      <w:r w:rsidRPr="00B723AD">
        <w:rPr>
          <w:rFonts w:ascii="Arial Narrow" w:hAnsi="Arial Narrow"/>
          <w:sz w:val="24"/>
          <w:szCs w:val="24"/>
        </w:rPr>
        <w:t xml:space="preserve">. </w:t>
      </w:r>
    </w:p>
    <w:p w14:paraId="1AEC96C1" w14:textId="77777777" w:rsidR="00615A1B" w:rsidRDefault="00615A1B" w:rsidP="00615A1B">
      <w:pPr>
        <w:jc w:val="both"/>
        <w:rPr>
          <w:rFonts w:ascii="Arial Narrow" w:hAnsi="Arial Narrow"/>
          <w:sz w:val="24"/>
          <w:szCs w:val="24"/>
        </w:rPr>
      </w:pPr>
    </w:p>
    <w:p w14:paraId="01601ABF" w14:textId="77777777" w:rsidR="00615A1B" w:rsidRDefault="00615A1B" w:rsidP="00615A1B">
      <w:pPr>
        <w:jc w:val="both"/>
        <w:rPr>
          <w:rFonts w:ascii="Arial Narrow" w:hAnsi="Arial Narrow"/>
          <w:sz w:val="24"/>
          <w:szCs w:val="24"/>
        </w:rPr>
      </w:pPr>
      <w:r w:rsidRPr="00B723AD">
        <w:rPr>
          <w:rFonts w:ascii="Arial Narrow" w:hAnsi="Arial Narrow"/>
          <w:sz w:val="24"/>
          <w:szCs w:val="24"/>
        </w:rPr>
        <w:t>Por otro lado, se ejecutan</w:t>
      </w:r>
      <w:r>
        <w:rPr>
          <w:rFonts w:ascii="Arial Narrow" w:hAnsi="Arial Narrow"/>
          <w:sz w:val="24"/>
          <w:szCs w:val="24"/>
        </w:rPr>
        <w:t xml:space="preserve"> tareas dentro de</w:t>
      </w:r>
      <w:r w:rsidRPr="00B723AD">
        <w:rPr>
          <w:rFonts w:ascii="Arial Narrow" w:hAnsi="Arial Narrow"/>
          <w:sz w:val="24"/>
          <w:szCs w:val="24"/>
        </w:rPr>
        <w:t xml:space="preserve"> varias encomiendas para el Gobierno de Canarias (</w:t>
      </w:r>
      <w:r>
        <w:rPr>
          <w:rFonts w:ascii="Arial Narrow" w:hAnsi="Arial Narrow"/>
          <w:sz w:val="24"/>
          <w:szCs w:val="24"/>
        </w:rPr>
        <w:t>VTCAN-Agua</w:t>
      </w:r>
      <w:r w:rsidRPr="00B723AD">
        <w:rPr>
          <w:rFonts w:ascii="Arial Narrow" w:hAnsi="Arial Narrow"/>
          <w:sz w:val="24"/>
          <w:szCs w:val="24"/>
        </w:rPr>
        <w:t xml:space="preserve">, </w:t>
      </w:r>
      <w:r>
        <w:rPr>
          <w:rFonts w:ascii="Arial Narrow" w:hAnsi="Arial Narrow"/>
          <w:sz w:val="24"/>
          <w:szCs w:val="24"/>
        </w:rPr>
        <w:t xml:space="preserve">Transición Económica – Vertidos tierra-mar, </w:t>
      </w:r>
      <w:proofErr w:type="spellStart"/>
      <w:r>
        <w:rPr>
          <w:rFonts w:ascii="Arial Narrow" w:hAnsi="Arial Narrow"/>
          <w:sz w:val="24"/>
          <w:szCs w:val="24"/>
        </w:rPr>
        <w:t>Estrategías</w:t>
      </w:r>
      <w:proofErr w:type="spellEnd"/>
      <w:r>
        <w:rPr>
          <w:rFonts w:ascii="Arial Narrow" w:hAnsi="Arial Narrow"/>
          <w:sz w:val="24"/>
          <w:szCs w:val="24"/>
        </w:rPr>
        <w:t xml:space="preserve"> de Economía Azul y Economía Circular</w:t>
      </w:r>
      <w:r w:rsidRPr="00B723AD">
        <w:rPr>
          <w:rFonts w:ascii="Arial Narrow" w:hAnsi="Arial Narrow"/>
          <w:sz w:val="24"/>
          <w:szCs w:val="24"/>
        </w:rPr>
        <w:t>), así como se trata de incrementar los trabajos encomendados para 2020 y de servicios especializados de consultoría técnica,  tanto a nivel regional como internacional (Cabo Verde, Mauritania). Se ejecuta</w:t>
      </w:r>
      <w:r>
        <w:rPr>
          <w:rFonts w:ascii="Arial Narrow" w:hAnsi="Arial Narrow"/>
          <w:sz w:val="24"/>
          <w:szCs w:val="24"/>
        </w:rPr>
        <w:t>n</w:t>
      </w:r>
      <w:r w:rsidRPr="00B723AD">
        <w:rPr>
          <w:rFonts w:ascii="Arial Narrow" w:hAnsi="Arial Narrow"/>
          <w:sz w:val="24"/>
          <w:szCs w:val="24"/>
        </w:rPr>
        <w:t xml:space="preserve"> dos servicios de consultoría internacionales en Cabo Verde (Cooperación Española e IFAD respectivamente). </w:t>
      </w:r>
    </w:p>
    <w:p w14:paraId="5EEEC071" w14:textId="77777777" w:rsidR="00615A1B" w:rsidRDefault="00615A1B" w:rsidP="00615A1B">
      <w:pPr>
        <w:jc w:val="both"/>
        <w:rPr>
          <w:rFonts w:ascii="Arial Narrow" w:hAnsi="Arial Narrow"/>
          <w:sz w:val="24"/>
          <w:szCs w:val="24"/>
        </w:rPr>
      </w:pPr>
    </w:p>
    <w:p w14:paraId="08598B98" w14:textId="77777777" w:rsidR="00615A1B" w:rsidRDefault="00615A1B" w:rsidP="00615A1B">
      <w:pPr>
        <w:jc w:val="both"/>
        <w:rPr>
          <w:rFonts w:ascii="Arial Narrow" w:hAnsi="Arial Narrow"/>
          <w:sz w:val="24"/>
          <w:szCs w:val="24"/>
        </w:rPr>
      </w:pPr>
      <w:r>
        <w:rPr>
          <w:rFonts w:ascii="Arial Narrow" w:hAnsi="Arial Narrow"/>
          <w:sz w:val="24"/>
          <w:szCs w:val="24"/>
        </w:rPr>
        <w:t>Además de realizan varios servicios especializados para el Consorcio de Aguas de Lanzarote, Cabildo y Sociedad de Promoción Económica de  Gran Canaria y la Mancomunidad del Norte de Gran Canaria. El Departamento actúa de asesor en estas entidades como apoyo en el cumplimiento de sus competencias en materia de agua.</w:t>
      </w:r>
    </w:p>
    <w:p w14:paraId="6E4CEB4E" w14:textId="77777777" w:rsidR="00615A1B" w:rsidRDefault="00615A1B" w:rsidP="00615A1B">
      <w:pPr>
        <w:jc w:val="both"/>
        <w:rPr>
          <w:rFonts w:ascii="Arial Narrow" w:hAnsi="Arial Narrow"/>
          <w:sz w:val="24"/>
          <w:szCs w:val="24"/>
        </w:rPr>
      </w:pPr>
    </w:p>
    <w:p w14:paraId="17EC0C2B" w14:textId="77777777" w:rsidR="00615A1B" w:rsidRDefault="00615A1B" w:rsidP="00615A1B">
      <w:pPr>
        <w:jc w:val="both"/>
        <w:rPr>
          <w:rFonts w:ascii="Arial Narrow" w:hAnsi="Arial Narrow"/>
          <w:sz w:val="24"/>
          <w:szCs w:val="24"/>
        </w:rPr>
      </w:pPr>
      <w:r w:rsidRPr="00B723AD">
        <w:rPr>
          <w:rFonts w:ascii="Arial Narrow" w:hAnsi="Arial Narrow"/>
          <w:sz w:val="24"/>
          <w:szCs w:val="24"/>
        </w:rPr>
        <w:t>El Departamento está colaborando con empresas canarias que actualmente exp</w:t>
      </w:r>
      <w:r>
        <w:rPr>
          <w:rFonts w:ascii="Arial Narrow" w:hAnsi="Arial Narrow"/>
          <w:sz w:val="24"/>
          <w:szCs w:val="24"/>
        </w:rPr>
        <w:t>lotan resultados y productos propios</w:t>
      </w:r>
      <w:r w:rsidRPr="00B723AD">
        <w:rPr>
          <w:rFonts w:ascii="Arial Narrow" w:hAnsi="Arial Narrow"/>
          <w:sz w:val="24"/>
          <w:szCs w:val="24"/>
        </w:rPr>
        <w:t>.</w:t>
      </w:r>
      <w:r>
        <w:rPr>
          <w:rFonts w:ascii="Arial Narrow" w:hAnsi="Arial Narrow"/>
          <w:sz w:val="24"/>
          <w:szCs w:val="24"/>
        </w:rPr>
        <w:t xml:space="preserve"> Además se publican resultados en varias revistas de alto impacto y se organizan hasta 5 eventos de difusión sobre el agua, destacando la celebración de la Jornad</w:t>
      </w:r>
      <w:r w:rsidRPr="00015FA8">
        <w:rPr>
          <w:rFonts w:ascii="Arial Narrow" w:hAnsi="Arial Narrow"/>
          <w:sz w:val="24"/>
          <w:szCs w:val="24"/>
        </w:rPr>
        <w:t xml:space="preserve">a </w:t>
      </w:r>
      <w:proofErr w:type="gramStart"/>
      <w:r w:rsidRPr="00015FA8">
        <w:rPr>
          <w:rFonts w:ascii="Arial Narrow" w:hAnsi="Arial Narrow"/>
          <w:sz w:val="24"/>
          <w:szCs w:val="24"/>
        </w:rPr>
        <w:t>“ El</w:t>
      </w:r>
      <w:proofErr w:type="gramEnd"/>
      <w:r w:rsidRPr="00015FA8">
        <w:rPr>
          <w:rFonts w:ascii="Arial Narrow" w:hAnsi="Arial Narrow"/>
          <w:sz w:val="24"/>
          <w:szCs w:val="24"/>
        </w:rPr>
        <w:t xml:space="preserve"> papel de la mujer en la desalación en Canarias”.</w:t>
      </w:r>
    </w:p>
    <w:p w14:paraId="559B98C6" w14:textId="77777777" w:rsidR="00615A1B" w:rsidRPr="009909C9" w:rsidRDefault="00615A1B" w:rsidP="00615A1B">
      <w:pPr>
        <w:jc w:val="both"/>
        <w:rPr>
          <w:rFonts w:ascii="Arial Narrow" w:hAnsi="Arial Narrow" w:cs="Arial"/>
          <w:sz w:val="24"/>
          <w:szCs w:val="24"/>
        </w:rPr>
      </w:pPr>
    </w:p>
    <w:p w14:paraId="4D40C4E3"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El </w:t>
      </w:r>
      <w:r>
        <w:rPr>
          <w:rFonts w:ascii="Arial Narrow" w:hAnsi="Arial Narrow" w:cs="Arial"/>
          <w:b/>
          <w:sz w:val="24"/>
          <w:szCs w:val="24"/>
        </w:rPr>
        <w:t>Departamento de Biotecnología</w:t>
      </w:r>
      <w:r>
        <w:rPr>
          <w:rFonts w:ascii="Arial Narrow" w:hAnsi="Arial Narrow" w:cs="Arial"/>
          <w:sz w:val="24"/>
          <w:szCs w:val="24"/>
        </w:rPr>
        <w:t xml:space="preserve"> ha seguido trabajando en 2019 en su estrategia del fomento, desarrollo y consolidación de un nuevo sector industrial en el campo de la biotecnología azul de las algas. El afianzamiento de la Plataforma BIOASIS Gran Canaria – Plataforma de Biotecnología Azul y Acuicultura, así como el decidido apoyo por parte del Gobierno de Canarias, está siendo fundamental para el desarrollo futuro de este sector en las islas, ya que, por un lado, se están desarrollando las infraestructuras, instalaciones y equipamientos básicos y necesarios que ayudarán a mejorar la prestación del soporte y apoyo logístico-científico-tecnológico básico y necesario y por tanto posibilitar la implantación de este nuevo y emergente sector industrial garantizando su viabilidad técnica y económica, así como su desarrollo dentro de un contexto medioambientalmente sostenible, y por otro lado, se sigue colaborando en solventar y superar los obstáculos del marco regulatorio existente respecto a todas las autorizaciones, permisos, licencias y concesiones de obligado cumplimiento para ejercer dicha actividad industrial acuícola vegetal marina terrestre, así como en su posible compatibilidad con el planeamiento territorial, y por último, se siguen focalizando los esfuerzos de investigación aplicada y desarrollo experimental en nuevas tecnologías de producción/procesado de algas nativas para su posterior transferencia tecnológica a este sector privado emergente. Para las dos primeras líneas de actuación se cuenta con varias fuentes de financiación procedente del Cabildo de Gran Canaria, de su convenio con el Estado, además de una consecución de subvención de convocatoria de expresión de interés a través de la ACIISI del Gobierno de Canarias (proyecto BIOSOST), y en referencia a la actividad de desarrollo experimental, investigación aplicada, así como de su transferencia tecnológica, sigue siendo soportada por varios proyectos de diferentes programas europeos (REBECA, MACBIOBLUE, MIMAR e ISLANDAP).</w:t>
      </w:r>
    </w:p>
    <w:p w14:paraId="48CE13F4" w14:textId="77777777" w:rsidR="00615A1B" w:rsidRPr="00BE0D9A" w:rsidRDefault="00615A1B" w:rsidP="00615A1B">
      <w:pPr>
        <w:jc w:val="both"/>
        <w:rPr>
          <w:rFonts w:ascii="Arial Narrow" w:hAnsi="Arial Narrow" w:cs="Arial"/>
          <w:sz w:val="28"/>
          <w:szCs w:val="24"/>
        </w:rPr>
      </w:pPr>
    </w:p>
    <w:p w14:paraId="24E0492A" w14:textId="77777777" w:rsidR="00615A1B" w:rsidRDefault="00615A1B" w:rsidP="00615A1B">
      <w:pPr>
        <w:jc w:val="both"/>
        <w:rPr>
          <w:rFonts w:ascii="Arial Narrow" w:hAnsi="Arial Narrow"/>
          <w:color w:val="000000" w:themeColor="text1"/>
          <w:sz w:val="24"/>
        </w:rPr>
      </w:pPr>
      <w:r w:rsidRPr="00BE0D9A">
        <w:rPr>
          <w:rFonts w:ascii="Arial Narrow" w:hAnsi="Arial Narrow"/>
          <w:color w:val="000000" w:themeColor="text1"/>
          <w:sz w:val="24"/>
        </w:rPr>
        <w:t>Durante la anualidad 201</w:t>
      </w:r>
      <w:r>
        <w:rPr>
          <w:rFonts w:ascii="Arial Narrow" w:hAnsi="Arial Narrow"/>
          <w:color w:val="000000" w:themeColor="text1"/>
          <w:sz w:val="24"/>
        </w:rPr>
        <w:t>9</w:t>
      </w:r>
      <w:r w:rsidRPr="00BE0D9A">
        <w:rPr>
          <w:rFonts w:ascii="Arial Narrow" w:hAnsi="Arial Narrow"/>
          <w:color w:val="000000" w:themeColor="text1"/>
          <w:sz w:val="24"/>
        </w:rPr>
        <w:t xml:space="preserve"> el </w:t>
      </w:r>
      <w:r w:rsidRPr="00BE0D9A">
        <w:rPr>
          <w:rFonts w:ascii="Arial Narrow" w:hAnsi="Arial Narrow"/>
          <w:b/>
          <w:color w:val="000000" w:themeColor="text1"/>
          <w:sz w:val="24"/>
        </w:rPr>
        <w:t>Departamento de Análisis Ambiental</w:t>
      </w:r>
      <w:r w:rsidRPr="00BE0D9A">
        <w:rPr>
          <w:rFonts w:ascii="Arial Narrow" w:hAnsi="Arial Narrow"/>
          <w:color w:val="000000" w:themeColor="text1"/>
          <w:sz w:val="24"/>
        </w:rPr>
        <w:t xml:space="preserve"> ha mantenido una línea de continuidad en su actividad respecto a las anualidades precedentes en </w:t>
      </w:r>
      <w:r>
        <w:rPr>
          <w:rFonts w:ascii="Arial Narrow" w:hAnsi="Arial Narrow"/>
          <w:color w:val="000000" w:themeColor="text1"/>
          <w:sz w:val="24"/>
        </w:rPr>
        <w:t>su</w:t>
      </w:r>
      <w:r w:rsidRPr="00BE0D9A">
        <w:rPr>
          <w:rFonts w:ascii="Arial Narrow" w:hAnsi="Arial Narrow"/>
          <w:color w:val="000000" w:themeColor="text1"/>
          <w:sz w:val="24"/>
        </w:rPr>
        <w:t xml:space="preserve"> área de especialización de residuos de plaguicidas en productos vegetales frescos, frutas y hortalizas, cereales y tierras de cultivo y, ha añadido una nueva línea de trabajo en el área de especialización de la caracterización de la huella isotópica de elementos ligeros. Durante la anualidad 201</w:t>
      </w:r>
      <w:r>
        <w:rPr>
          <w:rFonts w:ascii="Arial Narrow" w:hAnsi="Arial Narrow"/>
          <w:color w:val="000000" w:themeColor="text1"/>
          <w:sz w:val="24"/>
        </w:rPr>
        <w:t>9</w:t>
      </w:r>
      <w:r w:rsidRPr="00BE0D9A">
        <w:rPr>
          <w:rFonts w:ascii="Arial Narrow" w:hAnsi="Arial Narrow"/>
          <w:color w:val="000000" w:themeColor="text1"/>
          <w:sz w:val="24"/>
        </w:rPr>
        <w:t xml:space="preserve"> el Laboratorio de Residuos del Departamento ha continuado con la ejecución de los planes de vigilancia de residuos de productos fitosanitarios que son competencia del Gobierno de Canarias. Estas tareas las realiza el Departamento en el marco de un Enc</w:t>
      </w:r>
      <w:r>
        <w:rPr>
          <w:rFonts w:ascii="Arial Narrow" w:hAnsi="Arial Narrow"/>
          <w:color w:val="000000" w:themeColor="text1"/>
          <w:sz w:val="24"/>
        </w:rPr>
        <w:t>argo</w:t>
      </w:r>
      <w:r w:rsidRPr="00BE0D9A">
        <w:rPr>
          <w:rFonts w:ascii="Arial Narrow" w:hAnsi="Arial Narrow"/>
          <w:color w:val="000000" w:themeColor="text1"/>
          <w:sz w:val="24"/>
        </w:rPr>
        <w:t xml:space="preserve"> de la Consejería de Agricultura, Ganadería, Pesca y Aguas para tal fin. Los trabajos del Departamento en I+D aplicada han estado centrados en la continuidad del estudio y búsqueda de soluciones, </w:t>
      </w:r>
      <w:r>
        <w:rPr>
          <w:rFonts w:ascii="Arial Narrow" w:hAnsi="Arial Narrow"/>
          <w:color w:val="000000" w:themeColor="text1"/>
          <w:sz w:val="24"/>
        </w:rPr>
        <w:t xml:space="preserve">Proyecto de I+D propia </w:t>
      </w:r>
      <w:r w:rsidRPr="00BE0D9A">
        <w:rPr>
          <w:rFonts w:ascii="Arial Narrow" w:hAnsi="Arial Narrow"/>
          <w:color w:val="000000" w:themeColor="text1"/>
          <w:sz w:val="24"/>
        </w:rPr>
        <w:t xml:space="preserve">iniciado a finales de 2017, a un problema de contaminación de suelos agrícolas que está afectando a la producción y comercialización de </w:t>
      </w:r>
      <w:r>
        <w:rPr>
          <w:rFonts w:ascii="Arial Narrow" w:hAnsi="Arial Narrow"/>
          <w:color w:val="000000" w:themeColor="text1"/>
          <w:sz w:val="24"/>
        </w:rPr>
        <w:t xml:space="preserve">hortalizas locales pertenecientes a la familia de la </w:t>
      </w:r>
      <w:r w:rsidRPr="00BE0D9A">
        <w:rPr>
          <w:rFonts w:ascii="Arial Narrow" w:hAnsi="Arial Narrow"/>
          <w:color w:val="000000" w:themeColor="text1"/>
          <w:sz w:val="24"/>
        </w:rPr>
        <w:t>cucurbitáceas. Estos trabajos de I+D aplicada en curso</w:t>
      </w:r>
      <w:r>
        <w:rPr>
          <w:rFonts w:ascii="Arial Narrow" w:hAnsi="Arial Narrow"/>
          <w:color w:val="000000" w:themeColor="text1"/>
          <w:sz w:val="24"/>
        </w:rPr>
        <w:t xml:space="preserve"> desde 2017</w:t>
      </w:r>
      <w:r w:rsidRPr="00BE0D9A">
        <w:rPr>
          <w:rFonts w:ascii="Arial Narrow" w:hAnsi="Arial Narrow"/>
          <w:color w:val="000000" w:themeColor="text1"/>
          <w:sz w:val="24"/>
        </w:rPr>
        <w:t xml:space="preserve"> se han convertido en la semilla inicial que ha germinado y se ha sumado a otras ideas para configurar el desarrollo de un amplio Proyecto</w:t>
      </w:r>
      <w:r>
        <w:rPr>
          <w:rFonts w:ascii="Arial Narrow" w:hAnsi="Arial Narrow"/>
          <w:color w:val="000000" w:themeColor="text1"/>
          <w:sz w:val="24"/>
        </w:rPr>
        <w:t xml:space="preserve">, </w:t>
      </w:r>
      <w:r w:rsidRPr="00BE0D9A">
        <w:rPr>
          <w:rFonts w:ascii="Arial Narrow" w:hAnsi="Arial Narrow"/>
          <w:color w:val="000000" w:themeColor="text1"/>
          <w:sz w:val="24"/>
        </w:rPr>
        <w:t>junto a otros centros de investigación de las Islas</w:t>
      </w:r>
      <w:r>
        <w:rPr>
          <w:rFonts w:ascii="Arial Narrow" w:hAnsi="Arial Narrow"/>
          <w:color w:val="000000" w:themeColor="text1"/>
          <w:sz w:val="24"/>
        </w:rPr>
        <w:t>,</w:t>
      </w:r>
      <w:r w:rsidRPr="00BE0D9A">
        <w:rPr>
          <w:rFonts w:ascii="Arial Narrow" w:hAnsi="Arial Narrow"/>
          <w:color w:val="000000" w:themeColor="text1"/>
          <w:sz w:val="24"/>
        </w:rPr>
        <w:t xml:space="preserve"> de Agricultura Sostenible, </w:t>
      </w:r>
      <w:r>
        <w:rPr>
          <w:rFonts w:ascii="Arial Narrow" w:hAnsi="Arial Narrow"/>
          <w:color w:val="000000" w:themeColor="text1"/>
          <w:sz w:val="24"/>
        </w:rPr>
        <w:t xml:space="preserve">denominado </w:t>
      </w:r>
      <w:r w:rsidRPr="00BE0D9A">
        <w:rPr>
          <w:rFonts w:ascii="Arial Narrow" w:hAnsi="Arial Narrow"/>
          <w:color w:val="000000" w:themeColor="text1"/>
          <w:sz w:val="24"/>
        </w:rPr>
        <w:t xml:space="preserve">VERCOCHAR, </w:t>
      </w:r>
      <w:r>
        <w:rPr>
          <w:rFonts w:ascii="Arial Narrow" w:hAnsi="Arial Narrow"/>
          <w:color w:val="000000" w:themeColor="text1"/>
          <w:sz w:val="24"/>
        </w:rPr>
        <w:t>aprobado en 2019 en el marco de</w:t>
      </w:r>
      <w:r w:rsidRPr="00BE0D9A">
        <w:rPr>
          <w:rFonts w:ascii="Arial Narrow" w:hAnsi="Arial Narrow"/>
          <w:color w:val="000000" w:themeColor="text1"/>
          <w:sz w:val="24"/>
        </w:rPr>
        <w:t xml:space="preserve"> la segunda convocatoria del programa MAC 2014-2020</w:t>
      </w:r>
      <w:r>
        <w:rPr>
          <w:rFonts w:ascii="Arial Narrow" w:hAnsi="Arial Narrow"/>
          <w:color w:val="000000" w:themeColor="text1"/>
          <w:sz w:val="24"/>
        </w:rPr>
        <w:t xml:space="preserve">, </w:t>
      </w:r>
      <w:r w:rsidRPr="00BE0D9A">
        <w:rPr>
          <w:rFonts w:ascii="Arial Narrow" w:hAnsi="Arial Narrow"/>
          <w:color w:val="000000" w:themeColor="text1"/>
          <w:sz w:val="24"/>
        </w:rPr>
        <w:t xml:space="preserve"> en el que participan tres Departamentos del ITC y que está liderado por el Instituto Canario de Investigaciones Agrarias</w:t>
      </w:r>
      <w:r>
        <w:rPr>
          <w:rFonts w:ascii="Arial Narrow" w:hAnsi="Arial Narrow"/>
          <w:color w:val="000000" w:themeColor="text1"/>
          <w:sz w:val="24"/>
        </w:rPr>
        <w:t>, con la participación de las dos Universidades Canarias y otros Socios de Canarias y de Cabo Verde, Mauritania y Senegal.</w:t>
      </w:r>
      <w:r w:rsidRPr="00BE0D9A">
        <w:rPr>
          <w:rFonts w:ascii="Arial Narrow" w:hAnsi="Arial Narrow"/>
          <w:color w:val="000000" w:themeColor="text1"/>
          <w:sz w:val="24"/>
        </w:rPr>
        <w:t xml:space="preserve"> </w:t>
      </w:r>
    </w:p>
    <w:p w14:paraId="4B639BB6" w14:textId="77777777" w:rsidR="00615A1B" w:rsidRDefault="00615A1B" w:rsidP="00615A1B">
      <w:pPr>
        <w:jc w:val="both"/>
        <w:rPr>
          <w:rFonts w:ascii="Arial Narrow" w:hAnsi="Arial Narrow"/>
          <w:color w:val="000000" w:themeColor="text1"/>
          <w:sz w:val="24"/>
        </w:rPr>
      </w:pPr>
    </w:p>
    <w:p w14:paraId="47596B96" w14:textId="77777777" w:rsidR="00615A1B" w:rsidRDefault="00615A1B" w:rsidP="00615A1B">
      <w:pPr>
        <w:jc w:val="both"/>
        <w:rPr>
          <w:rFonts w:ascii="Arial Narrow" w:hAnsi="Arial Narrow"/>
          <w:color w:val="000000" w:themeColor="text1"/>
          <w:sz w:val="24"/>
        </w:rPr>
      </w:pPr>
      <w:r w:rsidRPr="00BE0D9A">
        <w:rPr>
          <w:rFonts w:ascii="Arial Narrow" w:hAnsi="Arial Narrow"/>
          <w:color w:val="000000" w:themeColor="text1"/>
          <w:sz w:val="24"/>
        </w:rPr>
        <w:t xml:space="preserve">El Laboratorio de Residuos del Departamento está acreditado por la Entidad Nacional de Acreditación, ENAC, por aplicación de la Norma UNE-EN ISO/IEC 17025, para la realización de dos ensayos de análisis de residuos de plaguicidas: uno por cromatografía de gases (85 materias activas diferentes), en las matrices vegetales: Plátano, Tomate, Pimiento, Zanahoria, Puerro, Naranja, Mandarina, Uva, Papaya, Pepino, Lechuga, Papa, Cebolla y Calabacín y, el segundo ensayo de análisis por cromatografía líquida en la matriz vegetal plátano.. </w:t>
      </w:r>
      <w:r>
        <w:rPr>
          <w:rFonts w:ascii="Arial Narrow" w:hAnsi="Arial Narrow"/>
          <w:color w:val="000000" w:themeColor="text1"/>
          <w:sz w:val="24"/>
        </w:rPr>
        <w:t>Durante la anualidad 2019 el Laboratorio ha dedicado una parte importante de sus esfuerzos a la revisión, modificación y adaptación de sus procedimientos de trabajo, tanto de gestión como técnicos, a los requisitos de la nueva Norma ISO 17025:2017 que es la que aplica a los laboratorios de ensayo y calibración, como es el caso de los análisis de residuos de plaguicidas en productos vegetales.</w:t>
      </w:r>
    </w:p>
    <w:p w14:paraId="4C81247F" w14:textId="77777777" w:rsidR="00615A1B" w:rsidRDefault="00615A1B" w:rsidP="00615A1B">
      <w:pPr>
        <w:jc w:val="both"/>
        <w:rPr>
          <w:rFonts w:ascii="Arial Narrow" w:hAnsi="Arial Narrow"/>
          <w:color w:val="000000" w:themeColor="text1"/>
          <w:sz w:val="24"/>
        </w:rPr>
      </w:pPr>
    </w:p>
    <w:p w14:paraId="1161EF29" w14:textId="77777777" w:rsidR="00615A1B" w:rsidRDefault="00615A1B" w:rsidP="00615A1B">
      <w:pPr>
        <w:jc w:val="both"/>
        <w:rPr>
          <w:rFonts w:ascii="Arial Narrow" w:hAnsi="Arial Narrow"/>
          <w:color w:val="000000" w:themeColor="text1"/>
          <w:sz w:val="24"/>
        </w:rPr>
      </w:pPr>
      <w:r w:rsidRPr="00BE0D9A">
        <w:rPr>
          <w:rFonts w:ascii="Arial Narrow" w:hAnsi="Arial Narrow"/>
          <w:color w:val="000000" w:themeColor="text1"/>
          <w:sz w:val="24"/>
        </w:rPr>
        <w:t>En 201</w:t>
      </w:r>
      <w:r>
        <w:rPr>
          <w:rFonts w:ascii="Arial Narrow" w:hAnsi="Arial Narrow"/>
          <w:color w:val="000000" w:themeColor="text1"/>
          <w:sz w:val="24"/>
        </w:rPr>
        <w:t>9</w:t>
      </w:r>
      <w:r w:rsidRPr="00BE0D9A">
        <w:rPr>
          <w:rFonts w:ascii="Arial Narrow" w:hAnsi="Arial Narrow"/>
          <w:color w:val="000000" w:themeColor="text1"/>
          <w:sz w:val="24"/>
        </w:rPr>
        <w:t xml:space="preserve"> el Departamento ha continuado con la ejecución de las actividades del Proyecto PERVEMAC II, </w:t>
      </w:r>
      <w:proofErr w:type="spellStart"/>
      <w:r w:rsidRPr="00BE0D9A">
        <w:rPr>
          <w:rFonts w:ascii="Arial Narrow" w:hAnsi="Arial Narrow"/>
          <w:color w:val="000000" w:themeColor="text1"/>
          <w:sz w:val="24"/>
        </w:rPr>
        <w:t>co</w:t>
      </w:r>
      <w:proofErr w:type="spellEnd"/>
      <w:r w:rsidRPr="00BE0D9A">
        <w:rPr>
          <w:rFonts w:ascii="Arial Narrow" w:hAnsi="Arial Narrow"/>
          <w:color w:val="000000" w:themeColor="text1"/>
          <w:sz w:val="24"/>
        </w:rPr>
        <w:t xml:space="preserve">-financiado en el ámbito de la primera convocatoria del Programa MAC 2014-2020, realizando las tareas de análisis de residuos de plaguicidas en las muestras del Proyecto, tanto aquellas procedentes de Canarias como las procedentes de Cabo Verde. </w:t>
      </w:r>
    </w:p>
    <w:p w14:paraId="7520B542" w14:textId="77777777" w:rsidR="00615A1B" w:rsidRDefault="00615A1B" w:rsidP="00615A1B">
      <w:pPr>
        <w:jc w:val="both"/>
        <w:rPr>
          <w:rFonts w:ascii="Arial Narrow" w:hAnsi="Arial Narrow"/>
          <w:color w:val="000000" w:themeColor="text1"/>
          <w:sz w:val="24"/>
        </w:rPr>
      </w:pPr>
    </w:p>
    <w:p w14:paraId="02D69C1E" w14:textId="77777777" w:rsidR="00615A1B" w:rsidRPr="00BE0D9A" w:rsidRDefault="00615A1B" w:rsidP="00615A1B">
      <w:pPr>
        <w:jc w:val="both"/>
        <w:rPr>
          <w:rFonts w:ascii="Arial Narrow" w:hAnsi="Arial Narrow"/>
          <w:color w:val="000000" w:themeColor="text1"/>
          <w:sz w:val="24"/>
        </w:rPr>
      </w:pPr>
      <w:r w:rsidRPr="00BE0D9A">
        <w:rPr>
          <w:rFonts w:ascii="Arial Narrow" w:hAnsi="Arial Narrow"/>
          <w:color w:val="000000" w:themeColor="text1"/>
          <w:sz w:val="24"/>
        </w:rPr>
        <w:t>Paralelamente a las actividades realizadas en el área de los residuos de plaguicidas, el Departamento ha comenzado el desarrollo de una nueva línea de trabajo en el área de las relaciones isotópicas. Durante la anualidad 201</w:t>
      </w:r>
      <w:r>
        <w:rPr>
          <w:rFonts w:ascii="Arial Narrow" w:hAnsi="Arial Narrow"/>
          <w:color w:val="000000" w:themeColor="text1"/>
          <w:sz w:val="24"/>
        </w:rPr>
        <w:t>9</w:t>
      </w:r>
      <w:r w:rsidRPr="00BE0D9A">
        <w:rPr>
          <w:rFonts w:ascii="Arial Narrow" w:hAnsi="Arial Narrow"/>
          <w:color w:val="000000" w:themeColor="text1"/>
          <w:sz w:val="24"/>
        </w:rPr>
        <w:t xml:space="preserve"> hemos realizado las tareas de documentación técnica y científica iniciales y necesarias para abordar la estructuración y organización de la nueva línea de trabajo, al tiempo que se </w:t>
      </w:r>
      <w:r>
        <w:rPr>
          <w:rFonts w:ascii="Arial Narrow" w:hAnsi="Arial Narrow"/>
          <w:color w:val="000000" w:themeColor="text1"/>
          <w:sz w:val="24"/>
        </w:rPr>
        <w:t xml:space="preserve"> trabajaba en la adquisición de un equipo de espectrometría de masas de relaciones isotópicas, gracias a la financiación obtenida a finales de la anualidad 2018.La nueva línea de trabajo del Departamento de Análisis Ambiental se denomina:</w:t>
      </w:r>
      <w:r w:rsidRPr="00BE0D9A">
        <w:rPr>
          <w:rFonts w:ascii="Arial Narrow" w:hAnsi="Arial Narrow"/>
          <w:color w:val="000000" w:themeColor="text1"/>
          <w:sz w:val="24"/>
        </w:rPr>
        <w:t xml:space="preserve"> </w:t>
      </w:r>
      <w:r w:rsidRPr="00BE0D9A">
        <w:rPr>
          <w:rFonts w:ascii="Arial Narrow" w:hAnsi="Arial Narrow"/>
          <w:sz w:val="24"/>
        </w:rPr>
        <w:t xml:space="preserve">Caracterización de la huella isotópica de elementos ligeros (carbono, nitrógeno, hidrógeno y oxígeno): Herramientas para evaluar la trazabilidad del origen, calidad y autenticidad de productos agroalimentarios de Canarias. </w:t>
      </w:r>
    </w:p>
    <w:p w14:paraId="7E2FD72D" w14:textId="77777777" w:rsidR="00615A1B" w:rsidRDefault="00615A1B" w:rsidP="00615A1B">
      <w:pPr>
        <w:jc w:val="both"/>
        <w:rPr>
          <w:rFonts w:ascii="Arial Narrow" w:hAnsi="Arial Narrow" w:cs="Arial"/>
          <w:sz w:val="24"/>
          <w:szCs w:val="24"/>
        </w:rPr>
      </w:pPr>
    </w:p>
    <w:p w14:paraId="2FCF67D3" w14:textId="77777777" w:rsidR="00615A1B" w:rsidRPr="00B202EB" w:rsidRDefault="00615A1B" w:rsidP="00615A1B">
      <w:pPr>
        <w:jc w:val="both"/>
        <w:rPr>
          <w:rFonts w:ascii="Arial Narrow" w:hAnsi="Arial Narrow" w:cs="Arial"/>
          <w:sz w:val="24"/>
          <w:szCs w:val="24"/>
        </w:rPr>
      </w:pPr>
      <w:r w:rsidRPr="00B202EB">
        <w:rPr>
          <w:rFonts w:ascii="Arial Narrow" w:hAnsi="Arial Narrow" w:cs="Arial"/>
          <w:sz w:val="24"/>
          <w:szCs w:val="24"/>
        </w:rPr>
        <w:t xml:space="preserve">El </w:t>
      </w:r>
      <w:r w:rsidRPr="00B202EB">
        <w:rPr>
          <w:rFonts w:ascii="Arial Narrow" w:hAnsi="Arial Narrow" w:cs="Arial"/>
          <w:b/>
          <w:sz w:val="24"/>
          <w:szCs w:val="24"/>
        </w:rPr>
        <w:t>Departamento de Ingeniería Biomédica</w:t>
      </w:r>
      <w:r w:rsidRPr="00B202EB">
        <w:rPr>
          <w:rFonts w:ascii="Arial Narrow" w:hAnsi="Arial Narrow" w:cs="Arial"/>
          <w:sz w:val="24"/>
          <w:szCs w:val="24"/>
        </w:rPr>
        <w:t xml:space="preserve"> a lo largo del 2019 ha continuado consolidando la línea de servicios y productos. En el sector humano se ha seguido realizando implantes a medida para distintas regiones anatómicas, introduciendo novedades sustanciales en las reconstrucciones de la pared torácica y del tobillo y abriendo nuevas aplicaciones como las reposiciones totales de escápula. Se ha impulsado la introducción de nuevos materiales implantables como la silicona para la corrección de </w:t>
      </w:r>
      <w:proofErr w:type="spellStart"/>
      <w:r w:rsidRPr="00B202EB">
        <w:rPr>
          <w:rFonts w:ascii="Arial Narrow" w:hAnsi="Arial Narrow" w:cs="Arial"/>
          <w:sz w:val="24"/>
          <w:szCs w:val="24"/>
        </w:rPr>
        <w:t>pectus</w:t>
      </w:r>
      <w:proofErr w:type="spellEnd"/>
      <w:r w:rsidRPr="00B202EB">
        <w:rPr>
          <w:rFonts w:ascii="Arial Narrow" w:hAnsi="Arial Narrow" w:cs="Arial"/>
          <w:sz w:val="24"/>
          <w:szCs w:val="24"/>
        </w:rPr>
        <w:t xml:space="preserve"> </w:t>
      </w:r>
      <w:proofErr w:type="spellStart"/>
      <w:r w:rsidRPr="00B202EB">
        <w:rPr>
          <w:rFonts w:ascii="Arial Narrow" w:hAnsi="Arial Narrow" w:cs="Arial"/>
          <w:sz w:val="24"/>
          <w:szCs w:val="24"/>
        </w:rPr>
        <w:t>excavatum</w:t>
      </w:r>
      <w:proofErr w:type="spellEnd"/>
      <w:r w:rsidRPr="00B202EB">
        <w:rPr>
          <w:rFonts w:ascii="Arial Narrow" w:hAnsi="Arial Narrow" w:cs="Arial"/>
          <w:sz w:val="24"/>
          <w:szCs w:val="24"/>
        </w:rPr>
        <w:t xml:space="preserve"> y el Policarbonato Uretano para las superficies articulares. En el sector veterinario se ha prestado servicio técnico de apoyo a la empresa Osteobionix para su línea de producto </w:t>
      </w:r>
      <w:proofErr w:type="spellStart"/>
      <w:r w:rsidRPr="00B202EB">
        <w:rPr>
          <w:rFonts w:ascii="Arial Narrow" w:hAnsi="Arial Narrow" w:cs="Arial"/>
          <w:sz w:val="24"/>
          <w:szCs w:val="24"/>
        </w:rPr>
        <w:t>biosurgex</w:t>
      </w:r>
      <w:proofErr w:type="spellEnd"/>
      <w:r w:rsidRPr="00B202EB">
        <w:rPr>
          <w:rFonts w:ascii="Arial Narrow" w:hAnsi="Arial Narrow" w:cs="Arial"/>
          <w:sz w:val="24"/>
          <w:szCs w:val="24"/>
        </w:rPr>
        <w:t xml:space="preserve"> desarrollando un sistema nuevos de placas y tornillos </w:t>
      </w:r>
      <w:proofErr w:type="spellStart"/>
      <w:r w:rsidRPr="00B202EB">
        <w:rPr>
          <w:rFonts w:ascii="Arial Narrow" w:hAnsi="Arial Narrow" w:cs="Arial"/>
          <w:sz w:val="24"/>
          <w:szCs w:val="24"/>
        </w:rPr>
        <w:t>poliaxiales</w:t>
      </w:r>
      <w:proofErr w:type="spellEnd"/>
      <w:r w:rsidRPr="00B202EB">
        <w:rPr>
          <w:rFonts w:ascii="Arial Narrow" w:hAnsi="Arial Narrow" w:cs="Arial"/>
          <w:sz w:val="24"/>
          <w:szCs w:val="24"/>
        </w:rPr>
        <w:t xml:space="preserve"> para fracturas óseas complejas. Se ha trabajado </w:t>
      </w:r>
      <w:proofErr w:type="spellStart"/>
      <w:r w:rsidRPr="00B202EB">
        <w:rPr>
          <w:rFonts w:ascii="Arial Narrow" w:hAnsi="Arial Narrow" w:cs="Arial"/>
          <w:sz w:val="24"/>
          <w:szCs w:val="24"/>
        </w:rPr>
        <w:t>tambien</w:t>
      </w:r>
      <w:proofErr w:type="spellEnd"/>
      <w:r w:rsidRPr="00B202EB">
        <w:rPr>
          <w:rFonts w:ascii="Arial Narrow" w:hAnsi="Arial Narrow" w:cs="Arial"/>
          <w:sz w:val="24"/>
          <w:szCs w:val="24"/>
        </w:rPr>
        <w:t xml:space="preserve"> en el proyecto </w:t>
      </w:r>
      <w:proofErr w:type="spellStart"/>
      <w:r w:rsidRPr="00B202EB">
        <w:rPr>
          <w:rFonts w:ascii="Arial Narrow" w:hAnsi="Arial Narrow" w:cs="Arial"/>
          <w:sz w:val="24"/>
          <w:szCs w:val="24"/>
        </w:rPr>
        <w:t>interreg</w:t>
      </w:r>
      <w:proofErr w:type="spellEnd"/>
      <w:r w:rsidRPr="00B202EB">
        <w:rPr>
          <w:rFonts w:ascii="Arial Narrow" w:hAnsi="Arial Narrow" w:cs="Arial"/>
          <w:sz w:val="24"/>
          <w:szCs w:val="24"/>
        </w:rPr>
        <w:t xml:space="preserve"> III </w:t>
      </w:r>
      <w:proofErr w:type="spellStart"/>
      <w:r w:rsidRPr="00B202EB">
        <w:rPr>
          <w:rFonts w:ascii="Arial Narrow" w:hAnsi="Arial Narrow" w:cs="Arial"/>
          <w:sz w:val="24"/>
          <w:szCs w:val="24"/>
        </w:rPr>
        <w:t>Macbioidi</w:t>
      </w:r>
      <w:proofErr w:type="spellEnd"/>
      <w:r w:rsidRPr="00B202EB">
        <w:rPr>
          <w:rFonts w:ascii="Arial Narrow" w:hAnsi="Arial Narrow" w:cs="Arial"/>
          <w:sz w:val="24"/>
          <w:szCs w:val="24"/>
        </w:rPr>
        <w:t xml:space="preserve"> desarrollando nuevos fantomas para la formación y el entrenamiento médico y contemporáneamente se han desarrollado </w:t>
      </w:r>
      <w:proofErr w:type="spellStart"/>
      <w:r w:rsidRPr="00B202EB">
        <w:rPr>
          <w:rFonts w:ascii="Arial Narrow" w:hAnsi="Arial Narrow" w:cs="Arial"/>
          <w:sz w:val="24"/>
          <w:szCs w:val="24"/>
        </w:rPr>
        <w:t>guias</w:t>
      </w:r>
      <w:proofErr w:type="spellEnd"/>
      <w:r w:rsidRPr="00B202EB">
        <w:rPr>
          <w:rFonts w:ascii="Arial Narrow" w:hAnsi="Arial Narrow" w:cs="Arial"/>
          <w:sz w:val="24"/>
          <w:szCs w:val="24"/>
        </w:rPr>
        <w:t xml:space="preserve"> de buenas prácticas para el emprendimiento en tecnología sanitaria. En el proyecto H2020 </w:t>
      </w:r>
      <w:proofErr w:type="spellStart"/>
      <w:r w:rsidRPr="00B202EB">
        <w:rPr>
          <w:rFonts w:ascii="Arial Narrow" w:hAnsi="Arial Narrow" w:cs="Arial"/>
          <w:sz w:val="24"/>
          <w:szCs w:val="24"/>
        </w:rPr>
        <w:t>Nanovertebra</w:t>
      </w:r>
      <w:proofErr w:type="spellEnd"/>
      <w:r w:rsidRPr="00B202EB">
        <w:rPr>
          <w:rFonts w:ascii="Arial Narrow" w:hAnsi="Arial Narrow" w:cs="Arial"/>
          <w:sz w:val="24"/>
          <w:szCs w:val="24"/>
        </w:rPr>
        <w:t xml:space="preserve">, hemos trabajado en la optimización de estructuras porosas para la sustitución de cuerpos vertebrales en pacientes con metástasis. Hemos participado en varias ferias y congresos nacionales e internacionales divulgando nuestros desarrollos para el sector humano y veterinario, con presencia en los foros científicos (charlas y posters) así como en las exposiciones comerciales con estands. </w:t>
      </w:r>
    </w:p>
    <w:p w14:paraId="42CED82D" w14:textId="77777777" w:rsidR="00615A1B" w:rsidRPr="00B202EB" w:rsidRDefault="00615A1B" w:rsidP="00615A1B">
      <w:pPr>
        <w:jc w:val="both"/>
        <w:rPr>
          <w:rFonts w:ascii="Arial Narrow" w:hAnsi="Arial Narrow" w:cs="Arial"/>
          <w:sz w:val="24"/>
          <w:szCs w:val="24"/>
        </w:rPr>
      </w:pPr>
    </w:p>
    <w:p w14:paraId="14481DFA" w14:textId="77777777" w:rsidR="00615A1B" w:rsidRPr="00B202EB" w:rsidRDefault="00615A1B" w:rsidP="00615A1B">
      <w:pPr>
        <w:jc w:val="both"/>
        <w:rPr>
          <w:rFonts w:ascii="Arial Narrow" w:hAnsi="Arial Narrow" w:cs="Arial"/>
          <w:sz w:val="24"/>
          <w:szCs w:val="24"/>
        </w:rPr>
      </w:pPr>
      <w:r w:rsidRPr="00B202EB">
        <w:rPr>
          <w:rFonts w:ascii="Arial Narrow" w:hAnsi="Arial Narrow" w:cs="Arial"/>
          <w:sz w:val="24"/>
          <w:szCs w:val="24"/>
        </w:rPr>
        <w:t xml:space="preserve">Se ha seguido desarrollando la línea de biopolímeros reabsorbibles y modificaciones de procesos convencionales de 3D printing. Se han fabricado varios implantes de </w:t>
      </w:r>
      <w:proofErr w:type="spellStart"/>
      <w:r w:rsidRPr="00B202EB">
        <w:rPr>
          <w:rFonts w:ascii="Arial Narrow" w:hAnsi="Arial Narrow" w:cs="Arial"/>
          <w:sz w:val="24"/>
          <w:szCs w:val="24"/>
        </w:rPr>
        <w:t>biopoliomeros</w:t>
      </w:r>
      <w:proofErr w:type="spellEnd"/>
      <w:r w:rsidRPr="00B202EB">
        <w:rPr>
          <w:rFonts w:ascii="Arial Narrow" w:hAnsi="Arial Narrow" w:cs="Arial"/>
          <w:sz w:val="24"/>
          <w:szCs w:val="24"/>
        </w:rPr>
        <w:t xml:space="preserve"> para experimentación animal y para aplicaciones clínicas en defectos osteocondrales. Se ha terminado la fase de implantación en oveja de la experimentación animal de implantes en </w:t>
      </w:r>
      <w:proofErr w:type="spellStart"/>
      <w:r w:rsidRPr="00B202EB">
        <w:rPr>
          <w:rFonts w:ascii="Arial Narrow" w:hAnsi="Arial Narrow" w:cs="Arial"/>
          <w:sz w:val="24"/>
          <w:szCs w:val="24"/>
        </w:rPr>
        <w:t>policaprolactona</w:t>
      </w:r>
      <w:proofErr w:type="spellEnd"/>
      <w:r w:rsidRPr="00B202EB">
        <w:rPr>
          <w:rFonts w:ascii="Arial Narrow" w:hAnsi="Arial Narrow" w:cs="Arial"/>
          <w:sz w:val="24"/>
          <w:szCs w:val="24"/>
        </w:rPr>
        <w:t xml:space="preserve"> porosos en defectos osteocondrales en cóndilos femoral. La experimentación se ha llevado a cabo en el Departamento de las Emergencias y de los Trasplantes de Órganos de la Universidad de Bari, se ha contado también con la colaboración del Prof. </w:t>
      </w:r>
      <w:proofErr w:type="spellStart"/>
      <w:r w:rsidRPr="00B202EB">
        <w:rPr>
          <w:rFonts w:ascii="Arial Narrow" w:hAnsi="Arial Narrow" w:cs="Arial"/>
          <w:sz w:val="24"/>
          <w:szCs w:val="24"/>
        </w:rPr>
        <w:t>Donati</w:t>
      </w:r>
      <w:proofErr w:type="spellEnd"/>
      <w:r w:rsidRPr="00B202EB">
        <w:rPr>
          <w:rFonts w:ascii="Arial Narrow" w:hAnsi="Arial Narrow" w:cs="Arial"/>
          <w:sz w:val="24"/>
          <w:szCs w:val="24"/>
        </w:rPr>
        <w:t xml:space="preserve"> del Instituto </w:t>
      </w:r>
      <w:proofErr w:type="spellStart"/>
      <w:r w:rsidRPr="00B202EB">
        <w:rPr>
          <w:rFonts w:ascii="Arial Narrow" w:hAnsi="Arial Narrow" w:cs="Arial"/>
          <w:sz w:val="24"/>
          <w:szCs w:val="24"/>
        </w:rPr>
        <w:t>Ortopedico</w:t>
      </w:r>
      <w:proofErr w:type="spellEnd"/>
      <w:r w:rsidRPr="00B202EB">
        <w:rPr>
          <w:rFonts w:ascii="Arial Narrow" w:hAnsi="Arial Narrow" w:cs="Arial"/>
          <w:sz w:val="24"/>
          <w:szCs w:val="24"/>
        </w:rPr>
        <w:t xml:space="preserve"> </w:t>
      </w:r>
      <w:proofErr w:type="spellStart"/>
      <w:r w:rsidRPr="00B202EB">
        <w:rPr>
          <w:rFonts w:ascii="Arial Narrow" w:hAnsi="Arial Narrow" w:cs="Arial"/>
          <w:sz w:val="24"/>
          <w:szCs w:val="24"/>
        </w:rPr>
        <w:t>Rizzoli</w:t>
      </w:r>
      <w:proofErr w:type="spellEnd"/>
      <w:r w:rsidRPr="00B202EB">
        <w:rPr>
          <w:rFonts w:ascii="Arial Narrow" w:hAnsi="Arial Narrow" w:cs="Arial"/>
          <w:sz w:val="24"/>
          <w:szCs w:val="24"/>
        </w:rPr>
        <w:t>.</w:t>
      </w:r>
    </w:p>
    <w:p w14:paraId="2DB2BB51" w14:textId="77777777" w:rsidR="00615A1B" w:rsidRPr="00B202EB" w:rsidRDefault="00615A1B" w:rsidP="00615A1B">
      <w:pPr>
        <w:jc w:val="both"/>
        <w:rPr>
          <w:rFonts w:ascii="Arial Narrow" w:hAnsi="Arial Narrow" w:cs="Arial"/>
          <w:sz w:val="24"/>
          <w:szCs w:val="24"/>
        </w:rPr>
      </w:pPr>
    </w:p>
    <w:p w14:paraId="3CC8CE72" w14:textId="77777777" w:rsidR="00615A1B" w:rsidRPr="00B904E3" w:rsidRDefault="00615A1B" w:rsidP="00615A1B">
      <w:pPr>
        <w:jc w:val="both"/>
        <w:rPr>
          <w:rFonts w:ascii="Arial Narrow" w:hAnsi="Arial Narrow" w:cs="Arial"/>
          <w:sz w:val="24"/>
          <w:szCs w:val="24"/>
        </w:rPr>
      </w:pPr>
      <w:r w:rsidRPr="00B202EB">
        <w:rPr>
          <w:rFonts w:ascii="Arial Narrow" w:hAnsi="Arial Narrow" w:cs="Arial"/>
          <w:sz w:val="24"/>
          <w:szCs w:val="24"/>
        </w:rPr>
        <w:t>Hemos participado en una propuesta de proyecto europeo H2020 que no ha sido finalmente financiada En ámbito regional se ha estado estudiando la creación de un centro mixto de desarrollo mecánico y electromecánico y fabricación avanzada que pueda dar soporte al crecimiento de las actividades del sector biomédico y a las necesidades de otros sectores como aeronáutico, naval e industria de la alimentación.</w:t>
      </w:r>
      <w:r w:rsidRPr="00B904E3">
        <w:rPr>
          <w:rFonts w:ascii="Arial Narrow" w:hAnsi="Arial Narrow" w:cs="Arial"/>
          <w:sz w:val="24"/>
          <w:szCs w:val="24"/>
        </w:rPr>
        <w:t xml:space="preserve"> </w:t>
      </w:r>
    </w:p>
    <w:p w14:paraId="7EA4B1D8" w14:textId="77777777" w:rsidR="00615A1B" w:rsidRPr="00B904E3" w:rsidRDefault="00615A1B" w:rsidP="00615A1B">
      <w:pPr>
        <w:jc w:val="both"/>
        <w:rPr>
          <w:rFonts w:ascii="Arial Narrow" w:hAnsi="Arial Narrow" w:cs="Arial"/>
          <w:sz w:val="24"/>
          <w:szCs w:val="24"/>
        </w:rPr>
      </w:pPr>
    </w:p>
    <w:p w14:paraId="4A16484D" w14:textId="77777777" w:rsidR="00615A1B" w:rsidRDefault="00615A1B" w:rsidP="00615A1B">
      <w:pPr>
        <w:jc w:val="both"/>
        <w:rPr>
          <w:rFonts w:ascii="Arial Narrow" w:hAnsi="Arial Narrow"/>
          <w:sz w:val="24"/>
          <w:szCs w:val="24"/>
        </w:rPr>
      </w:pPr>
      <w:r>
        <w:rPr>
          <w:rFonts w:ascii="Arial Narrow" w:hAnsi="Arial Narrow"/>
          <w:sz w:val="24"/>
          <w:szCs w:val="24"/>
        </w:rPr>
        <w:t xml:space="preserve">El </w:t>
      </w:r>
      <w:r>
        <w:rPr>
          <w:rFonts w:ascii="Arial Narrow" w:hAnsi="Arial Narrow"/>
          <w:b/>
          <w:bCs/>
          <w:sz w:val="24"/>
          <w:szCs w:val="24"/>
        </w:rPr>
        <w:t>Departamento de Computación Científica y Tecnológica</w:t>
      </w:r>
      <w:r>
        <w:rPr>
          <w:rFonts w:ascii="Arial Narrow" w:hAnsi="Arial Narrow"/>
          <w:sz w:val="24"/>
          <w:szCs w:val="24"/>
        </w:rPr>
        <w:t xml:space="preserve"> continuó a lo largo del 2019 potenciando el servicio de Administración Electrónica que ofrece al Gobierno de Canarias. Además de la Agencia Canaria de Investigación, Innovación y Sociedad de la Información y la anterior consejería  de Economía, Industria, Comercio y Conocimiento, a mediados del  2019, el departamento asume la responsabilidad de desarrollar las aplicaciones de administración electrónica a la consejería de Transición Ecológica, lucha contra el cambio climático y planificación territorial y al Servicio Canario de Empleo. </w:t>
      </w:r>
    </w:p>
    <w:p w14:paraId="53E09939" w14:textId="77777777" w:rsidR="00615A1B" w:rsidRDefault="00615A1B" w:rsidP="00615A1B">
      <w:pPr>
        <w:jc w:val="both"/>
        <w:rPr>
          <w:rFonts w:ascii="Arial Narrow" w:hAnsi="Arial Narrow"/>
          <w:sz w:val="24"/>
          <w:szCs w:val="24"/>
        </w:rPr>
      </w:pPr>
    </w:p>
    <w:p w14:paraId="6A630515" w14:textId="77777777" w:rsidR="00615A1B" w:rsidRPr="00B202EB" w:rsidRDefault="00615A1B" w:rsidP="00615A1B">
      <w:pPr>
        <w:jc w:val="both"/>
        <w:rPr>
          <w:rFonts w:ascii="Arial Narrow" w:hAnsi="Arial Narrow"/>
          <w:sz w:val="24"/>
          <w:szCs w:val="24"/>
        </w:rPr>
      </w:pPr>
      <w:r>
        <w:rPr>
          <w:rFonts w:ascii="Arial Narrow" w:hAnsi="Arial Narrow"/>
          <w:sz w:val="24"/>
          <w:szCs w:val="24"/>
        </w:rPr>
        <w:t xml:space="preserve">También se continuó participando activamente en proyectos cofinanciados por la Comisión Europea (H2020) y MAC (Proyectos MAGIC, Adaptares, Desal+, Nauticom, Climarisk) en colaboración con los departamentos de Energías Renovables y Agua, con actividades centradas en el análisis – gestión y visualización  de datos y estudio de modelos de predicción – simulación, desarrollo aplicaciones móviles, etc... En la segunda convocatoria MAC, que se ha </w:t>
      </w:r>
      <w:proofErr w:type="spellStart"/>
      <w:r>
        <w:rPr>
          <w:rFonts w:ascii="Arial Narrow" w:hAnsi="Arial Narrow"/>
          <w:sz w:val="24"/>
          <w:szCs w:val="24"/>
        </w:rPr>
        <w:t>resuellto</w:t>
      </w:r>
      <w:proofErr w:type="spellEnd"/>
      <w:r>
        <w:rPr>
          <w:rFonts w:ascii="Arial Narrow" w:hAnsi="Arial Narrow"/>
          <w:sz w:val="24"/>
          <w:szCs w:val="24"/>
        </w:rPr>
        <w:t xml:space="preserve"> </w:t>
      </w:r>
      <w:proofErr w:type="spellStart"/>
      <w:r>
        <w:rPr>
          <w:rFonts w:ascii="Arial Narrow" w:hAnsi="Arial Narrow"/>
          <w:sz w:val="24"/>
          <w:szCs w:val="24"/>
        </w:rPr>
        <w:t>durane</w:t>
      </w:r>
      <w:proofErr w:type="spellEnd"/>
      <w:r>
        <w:rPr>
          <w:rFonts w:ascii="Arial Narrow" w:hAnsi="Arial Narrow"/>
          <w:sz w:val="24"/>
          <w:szCs w:val="24"/>
        </w:rPr>
        <w:t xml:space="preserve"> el año 2019,  el departamento ha logrado tres nuevos proyectos.   El proyecto </w:t>
      </w:r>
      <w:proofErr w:type="spellStart"/>
      <w:r w:rsidRPr="00B202EB">
        <w:rPr>
          <w:rFonts w:ascii="Arial Narrow" w:hAnsi="Arial Narrow"/>
          <w:sz w:val="24"/>
          <w:szCs w:val="24"/>
        </w:rPr>
        <w:t>Dynamic-EGov</w:t>
      </w:r>
      <w:proofErr w:type="spellEnd"/>
      <w:r w:rsidRPr="00B202EB">
        <w:rPr>
          <w:rFonts w:ascii="Arial Narrow" w:hAnsi="Arial Narrow"/>
          <w:sz w:val="24"/>
          <w:szCs w:val="24"/>
        </w:rPr>
        <w:t xml:space="preserve">  (con código MAC 2/5. 11 ª /359), liderado por la Agencia Canaria de </w:t>
      </w:r>
      <w:proofErr w:type="spellStart"/>
      <w:r w:rsidRPr="00B202EB">
        <w:rPr>
          <w:rFonts w:ascii="Arial Narrow" w:hAnsi="Arial Narrow"/>
          <w:sz w:val="24"/>
          <w:szCs w:val="24"/>
        </w:rPr>
        <w:t>Investigación,Innovación</w:t>
      </w:r>
      <w:proofErr w:type="spellEnd"/>
      <w:r w:rsidRPr="00B202EB">
        <w:rPr>
          <w:rFonts w:ascii="Arial Narrow" w:hAnsi="Arial Narrow"/>
          <w:sz w:val="24"/>
          <w:szCs w:val="24"/>
        </w:rPr>
        <w:t xml:space="preserve"> y Sociedad de la Información,  persigue impulsar el uso de las Tecnologías de la Información, relacionadas con la administración electrónica, en los Gobiernos de la Macaronesia, mejorando los servicios públicos, la productividad y eficacia del personal público, así como la información – trámites y servicios con los ciudadanos y empresas.  Contaremos con la participación del sector empresarial TIC,  que una vez formado, tendrá la capacidad de ofrecer servicios a los gobiernos para dar continuidad y estabilidad en el tiempo al proyecto. El proyecto </w:t>
      </w:r>
      <w:proofErr w:type="spellStart"/>
      <w:r w:rsidRPr="00B202EB">
        <w:rPr>
          <w:rFonts w:ascii="Arial Narrow" w:hAnsi="Arial Narrow"/>
          <w:sz w:val="24"/>
          <w:szCs w:val="24"/>
        </w:rPr>
        <w:t>Nextgendem</w:t>
      </w:r>
      <w:proofErr w:type="spellEnd"/>
      <w:r w:rsidRPr="00B202EB">
        <w:rPr>
          <w:rFonts w:ascii="Arial Narrow" w:hAnsi="Arial Narrow"/>
          <w:sz w:val="24"/>
          <w:szCs w:val="24"/>
        </w:rPr>
        <w:t xml:space="preserve">(MAC 2/4.6d/236) – Gestión evolutiva de la diversidad vegetal terrestre endémica de la Macaronesia mediante actuaciones sobre especies amenazadas y la creación de herramientas de bioinformática geográfica con aplicación a la conservación de especies, espacios y genes, liderado por el Jardín Canario “Viera y Clavijo” perteneciente al Cabildo de Gran Canaria, que nos permitirá impulsar la línea d bioinformática en el dpto. El proyecto DATALAB  (MAC2/2.3.d/323) liderado por el Cabildo de Gran Canaria, que persigue la mejora de la competitividad de las empresas del sector turístico y tecnológico del espacio de colaboración mediante la definición desarrollo y ejecución de una estrategia basada en </w:t>
      </w:r>
      <w:proofErr w:type="spellStart"/>
      <w:r w:rsidRPr="00B202EB">
        <w:rPr>
          <w:rFonts w:ascii="Arial Narrow" w:hAnsi="Arial Narrow"/>
          <w:sz w:val="24"/>
          <w:szCs w:val="24"/>
        </w:rPr>
        <w:t>big</w:t>
      </w:r>
      <w:proofErr w:type="spellEnd"/>
      <w:r w:rsidRPr="00B202EB">
        <w:rPr>
          <w:rFonts w:ascii="Arial Narrow" w:hAnsi="Arial Narrow"/>
          <w:sz w:val="24"/>
          <w:szCs w:val="24"/>
        </w:rPr>
        <w:t xml:space="preserve"> data.</w:t>
      </w:r>
    </w:p>
    <w:p w14:paraId="73C6ED9D" w14:textId="77777777" w:rsidR="00615A1B" w:rsidRDefault="00615A1B" w:rsidP="00615A1B">
      <w:pPr>
        <w:jc w:val="both"/>
        <w:rPr>
          <w:rFonts w:ascii="Arial Narrow" w:hAnsi="Arial Narrow"/>
          <w:sz w:val="24"/>
          <w:szCs w:val="24"/>
        </w:rPr>
      </w:pPr>
    </w:p>
    <w:p w14:paraId="31968AF6" w14:textId="77777777" w:rsidR="00615A1B" w:rsidRDefault="00615A1B" w:rsidP="00615A1B">
      <w:pPr>
        <w:jc w:val="both"/>
        <w:rPr>
          <w:rFonts w:ascii="Arial Narrow" w:hAnsi="Arial Narrow"/>
          <w:sz w:val="24"/>
          <w:szCs w:val="24"/>
        </w:rPr>
      </w:pPr>
      <w:r>
        <w:rPr>
          <w:rFonts w:ascii="Arial Narrow" w:hAnsi="Arial Narrow"/>
          <w:sz w:val="24"/>
          <w:szCs w:val="24"/>
        </w:rPr>
        <w:t xml:space="preserve">En el marco de una subvención del Cabildo de Gran Canaria, durante el año 2019 continuamos apoyando las  actuaciones TIC’s para el Jardín Canario; como son la mejora de sus bases de datos, así como realizando proyectos innovadores para impulsar la difusión y divulgación de la biodiversidad de canarias (paseos virtuales, virtualización de centros de exposiciones, realización de juegos educativos,.., etc. </w:t>
      </w:r>
    </w:p>
    <w:p w14:paraId="775DBAA2" w14:textId="77777777" w:rsidR="00615A1B" w:rsidRDefault="00615A1B" w:rsidP="00615A1B">
      <w:pPr>
        <w:jc w:val="both"/>
        <w:rPr>
          <w:rFonts w:ascii="Arial Narrow" w:hAnsi="Arial Narrow"/>
          <w:sz w:val="24"/>
          <w:szCs w:val="24"/>
        </w:rPr>
      </w:pPr>
    </w:p>
    <w:p w14:paraId="61CDCCB0" w14:textId="77777777" w:rsidR="00615A1B" w:rsidRDefault="00615A1B" w:rsidP="00615A1B">
      <w:pPr>
        <w:jc w:val="both"/>
        <w:rPr>
          <w:rFonts w:ascii="Arial Narrow" w:hAnsi="Arial Narrow"/>
          <w:sz w:val="24"/>
          <w:szCs w:val="24"/>
        </w:rPr>
      </w:pPr>
      <w:r>
        <w:rPr>
          <w:rFonts w:ascii="Arial Narrow" w:hAnsi="Arial Narrow"/>
          <w:sz w:val="24"/>
          <w:szCs w:val="24"/>
        </w:rPr>
        <w:t>Cabe destacar, el proyecto de mejora de los sistemas de información internos del ITC- ‘proyecto SGI’, que tiene por objetivo optimizar la gestión del ITC (facilitando la justificación – certificación de las fuentes de financiación de los diferentes proyectos (MAC – H2020 – Encomiendas – Subvenciones - ...</w:t>
      </w:r>
      <w:proofErr w:type="spellStart"/>
      <w:r>
        <w:rPr>
          <w:rFonts w:ascii="Arial Narrow" w:hAnsi="Arial Narrow"/>
          <w:sz w:val="24"/>
          <w:szCs w:val="24"/>
        </w:rPr>
        <w:t>etc</w:t>
      </w:r>
      <w:proofErr w:type="spellEnd"/>
      <w:r>
        <w:rPr>
          <w:rFonts w:ascii="Arial Narrow" w:hAnsi="Arial Narrow"/>
          <w:sz w:val="24"/>
          <w:szCs w:val="24"/>
        </w:rPr>
        <w:t xml:space="preserve">). Este sistema ha sido presentado a otras empresas públicas,  las cuales están muy interesadas en usarlo, y hemos llegado a un acuerdo con la empresa Proexca para implantarlo durante el año 2019-2020. En relación a la colaboración con las empresas,  resaltamos que diferentes pymes han contado con nosotros para presentarse a subvenciones y ayudas (ofreciéndoles el dpto. CCT, la capacidad de desarrollo tecnológico que ellos no tienen),. Se impulsó también un modelo de innovación abierta en el sector Turístico de Canarias, que pretende “animar” al sector empresarial Turístico a colaborar con el sector TIC de Canarias para el desarrollo de productos y servicios innovadores en este campo. En relación a la cooperación con zonas vecinas, queremos destacar que continuamos haciendo gestiones con Proexca para impulsar la colaboración  - relaciones entre empresas TIC de Canarias y Marruecos. </w:t>
      </w:r>
    </w:p>
    <w:p w14:paraId="2F32753F" w14:textId="77777777" w:rsidR="00615A1B" w:rsidRDefault="00615A1B" w:rsidP="00615A1B">
      <w:pPr>
        <w:jc w:val="both"/>
        <w:rPr>
          <w:rFonts w:ascii="Arial Narrow" w:hAnsi="Arial Narrow"/>
          <w:sz w:val="24"/>
          <w:szCs w:val="24"/>
        </w:rPr>
      </w:pPr>
    </w:p>
    <w:p w14:paraId="3DC8CEA6" w14:textId="77777777" w:rsidR="00615A1B" w:rsidRDefault="00615A1B" w:rsidP="00615A1B">
      <w:pPr>
        <w:jc w:val="both"/>
        <w:rPr>
          <w:rFonts w:ascii="Arial Narrow" w:hAnsi="Arial Narrow"/>
          <w:sz w:val="24"/>
          <w:szCs w:val="24"/>
        </w:rPr>
      </w:pPr>
      <w:r>
        <w:rPr>
          <w:rFonts w:ascii="Arial Narrow" w:hAnsi="Arial Narrow"/>
          <w:sz w:val="24"/>
          <w:szCs w:val="24"/>
        </w:rPr>
        <w:t>Por último, destacar los avances en una nueva línea de trabajo, relacionada con realidad virtual y aumentada, donde realizamos proyectos en el Jardín Canario y en el museo Elder (proyecto ‘Visor del Tiempo”, que fue finalizado durante el año 2019 y se presentará en el año 2020).Podemos concluir que el año 2019, ha sido un año de crecimiento en todas las líneas de trabajo,  incrementando el personal, incrementando los servicios, proyectos y actividades con la administración y empresas canarias.</w:t>
      </w:r>
    </w:p>
    <w:p w14:paraId="5BAC8B32" w14:textId="77777777" w:rsidR="00615A1B" w:rsidRPr="009909C9" w:rsidRDefault="00615A1B" w:rsidP="00615A1B">
      <w:pPr>
        <w:jc w:val="both"/>
        <w:rPr>
          <w:rFonts w:ascii="Arial Narrow" w:hAnsi="Arial Narrow" w:cs="Arial"/>
          <w:sz w:val="24"/>
          <w:szCs w:val="24"/>
        </w:rPr>
      </w:pPr>
    </w:p>
    <w:p w14:paraId="0564F5A7" w14:textId="77777777" w:rsidR="00615A1B" w:rsidRDefault="00615A1B" w:rsidP="00615A1B">
      <w:pPr>
        <w:jc w:val="both"/>
        <w:rPr>
          <w:rFonts w:ascii="Arial Narrow" w:hAnsi="Arial Narrow" w:cs="Arial"/>
          <w:sz w:val="24"/>
          <w:szCs w:val="24"/>
        </w:rPr>
      </w:pPr>
      <w:r w:rsidRPr="009909C9">
        <w:rPr>
          <w:rFonts w:ascii="Arial Narrow" w:hAnsi="Arial Narrow" w:cs="Arial"/>
          <w:sz w:val="24"/>
          <w:szCs w:val="24"/>
        </w:rPr>
        <w:t xml:space="preserve">El </w:t>
      </w:r>
      <w:r w:rsidRPr="009909C9">
        <w:rPr>
          <w:rFonts w:ascii="Arial Narrow" w:hAnsi="Arial Narrow" w:cs="Arial"/>
          <w:b/>
          <w:sz w:val="24"/>
          <w:szCs w:val="24"/>
        </w:rPr>
        <w:t>Departamento de Servicios de Metrología</w:t>
      </w:r>
      <w:r w:rsidRPr="009909C9">
        <w:rPr>
          <w:rFonts w:ascii="Arial Narrow" w:hAnsi="Arial Narrow" w:cs="Arial"/>
          <w:sz w:val="24"/>
          <w:szCs w:val="24"/>
        </w:rPr>
        <w:t xml:space="preserve"> continuó en 201</w:t>
      </w:r>
      <w:r>
        <w:rPr>
          <w:rFonts w:ascii="Arial Narrow" w:hAnsi="Arial Narrow" w:cs="Arial"/>
          <w:sz w:val="24"/>
          <w:szCs w:val="24"/>
        </w:rPr>
        <w:t>9</w:t>
      </w:r>
      <w:r w:rsidRPr="009909C9">
        <w:rPr>
          <w:rFonts w:ascii="Arial Narrow" w:hAnsi="Arial Narrow" w:cs="Arial"/>
          <w:sz w:val="24"/>
          <w:szCs w:val="24"/>
        </w:rPr>
        <w:t xml:space="preserve"> con las actividades directamente relacionadas con la gestión de los Laboratorios de Metrología, </w:t>
      </w:r>
      <w:r>
        <w:rPr>
          <w:rFonts w:ascii="Arial Narrow" w:hAnsi="Arial Narrow" w:cs="Arial"/>
          <w:sz w:val="24"/>
          <w:szCs w:val="24"/>
        </w:rPr>
        <w:t>el encargo de servicio</w:t>
      </w:r>
      <w:r w:rsidRPr="009909C9">
        <w:rPr>
          <w:rFonts w:ascii="Arial Narrow" w:hAnsi="Arial Narrow" w:cs="Arial"/>
          <w:sz w:val="24"/>
          <w:szCs w:val="24"/>
        </w:rPr>
        <w:t xml:space="preserve"> para la “Campaña de promoción de la Plataforma de Impulso del Transporte Bajo en Carbono en Canarias” y con la prestación de diversos servicios metrológicos a empresas privadas, fundamentalmente en las áreas de Combustibles. </w:t>
      </w:r>
    </w:p>
    <w:p w14:paraId="0D30BE25" w14:textId="77777777" w:rsidR="00615A1B" w:rsidRDefault="00615A1B" w:rsidP="00615A1B">
      <w:pPr>
        <w:jc w:val="both"/>
        <w:rPr>
          <w:rFonts w:ascii="Arial Narrow" w:hAnsi="Arial Narrow" w:cs="Arial"/>
          <w:sz w:val="24"/>
          <w:szCs w:val="24"/>
        </w:rPr>
      </w:pPr>
    </w:p>
    <w:p w14:paraId="21FB46F1"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También continuó prestando apoyo a la Agencia Canaria de Investigación, Innovación y Sociedad de la Información (ACIISI) en la Gestión de las Convocatorias de InnoBonos y EATIC fundamentalmente y con la DGPE en la Gestión de la Subvenciones para Proyectos de Inversión de Pymes Canarias</w:t>
      </w:r>
      <w:r>
        <w:rPr>
          <w:rFonts w:ascii="Arial Narrow" w:hAnsi="Arial Narrow" w:cs="Arial"/>
          <w:sz w:val="24"/>
          <w:szCs w:val="24"/>
        </w:rPr>
        <w:t>.</w:t>
      </w:r>
      <w:r w:rsidRPr="009909C9">
        <w:rPr>
          <w:rFonts w:ascii="Arial Narrow" w:hAnsi="Arial Narrow" w:cs="Arial"/>
          <w:sz w:val="24"/>
          <w:szCs w:val="24"/>
        </w:rPr>
        <w:t xml:space="preserve"> Además el departamento desarrolla el proyecto METROLAB cuyo objetivo es reforzar la formación de los Técnicos del Laboratorio de Metrología y Combustibles, dirigida a conseguir en los próximos años, la Acreditación del Laboratorio en varias de sus áreas, y realizar estudios sobre las necesidades de las empresas Canarias en materia de Metrología, tratando de detectar áreas metrológicas en las cuales no exista servicio en Canarias e  incrementar así los servicios del ITC en este campo.</w:t>
      </w:r>
      <w:r>
        <w:rPr>
          <w:rFonts w:ascii="Arial Narrow" w:hAnsi="Arial Narrow" w:cs="Arial"/>
          <w:sz w:val="24"/>
          <w:szCs w:val="24"/>
        </w:rPr>
        <w:t xml:space="preserve"> Recientemente el departamento ha iniciado una nueva actividad encaminada a la promoción de iniciativas emprendedoras en Economía Circular en Canarias.</w:t>
      </w:r>
    </w:p>
    <w:p w14:paraId="3FDD598D" w14:textId="77777777" w:rsidR="00615A1B" w:rsidRPr="009909C9" w:rsidRDefault="00615A1B" w:rsidP="00615A1B">
      <w:pPr>
        <w:jc w:val="both"/>
        <w:rPr>
          <w:rFonts w:ascii="Arial Narrow" w:hAnsi="Arial Narrow" w:cs="Arial"/>
          <w:sz w:val="24"/>
          <w:szCs w:val="24"/>
        </w:rPr>
      </w:pPr>
    </w:p>
    <w:p w14:paraId="78AAA1A9" w14:textId="77777777" w:rsidR="00615A1B" w:rsidRDefault="00615A1B" w:rsidP="00615A1B">
      <w:pPr>
        <w:keepNext/>
        <w:keepLines/>
        <w:jc w:val="both"/>
        <w:rPr>
          <w:rFonts w:ascii="Arial Narrow" w:hAnsi="Arial Narrow" w:cs="Arial"/>
          <w:sz w:val="24"/>
          <w:szCs w:val="24"/>
        </w:rPr>
      </w:pPr>
      <w:r w:rsidRPr="009909C9">
        <w:rPr>
          <w:rFonts w:ascii="Arial Narrow" w:hAnsi="Arial Narrow" w:cs="Arial"/>
          <w:sz w:val="24"/>
          <w:szCs w:val="24"/>
        </w:rPr>
        <w:t xml:space="preserve">El </w:t>
      </w:r>
      <w:r w:rsidRPr="009909C9">
        <w:rPr>
          <w:rFonts w:ascii="Arial Narrow" w:hAnsi="Arial Narrow" w:cs="Arial"/>
          <w:b/>
          <w:sz w:val="24"/>
          <w:szCs w:val="24"/>
        </w:rPr>
        <w:t>Departamento de Innovación</w:t>
      </w:r>
      <w:r w:rsidRPr="009909C9">
        <w:rPr>
          <w:rFonts w:ascii="Arial Narrow" w:hAnsi="Arial Narrow" w:cs="Arial"/>
          <w:sz w:val="24"/>
          <w:szCs w:val="24"/>
        </w:rPr>
        <w:t xml:space="preserve"> ha prestado servicios instrumentales de fomento de la I+D+i a </w:t>
      </w:r>
      <w:r>
        <w:rPr>
          <w:rFonts w:ascii="Arial Narrow" w:hAnsi="Arial Narrow" w:cs="Arial"/>
          <w:sz w:val="24"/>
          <w:szCs w:val="24"/>
        </w:rPr>
        <w:t xml:space="preserve">Consejería de Economía, Conocimiento y Empleo a través de la </w:t>
      </w:r>
      <w:r w:rsidRPr="009909C9">
        <w:rPr>
          <w:rFonts w:ascii="Arial Narrow" w:hAnsi="Arial Narrow" w:cs="Arial"/>
          <w:sz w:val="24"/>
          <w:szCs w:val="24"/>
        </w:rPr>
        <w:t xml:space="preserve"> ACIISI, continuando con la iniciativa Demola como herramienta de innovación abierta en colaboración entre las universidades públicas canarias y el sector empresarial. Se ha apoyado en los Planes y Políticas de I+D+i, al observatorio de la I+D+i, formando parte de la secretaría técnica de la Estrategia de Especialización Inteligente de Canarias (RIS3) llevando a cabo el seguimiento de la misma, difundiendo la Ciencia y la Innovación en Canarias, y dando soporte a la gestión de convocatorias, como Red CIDE 201</w:t>
      </w:r>
      <w:r>
        <w:rPr>
          <w:rFonts w:ascii="Arial Narrow" w:hAnsi="Arial Narrow" w:cs="Arial"/>
          <w:sz w:val="24"/>
          <w:szCs w:val="24"/>
        </w:rPr>
        <w:t>9</w:t>
      </w:r>
      <w:r w:rsidRPr="009909C9">
        <w:rPr>
          <w:rFonts w:ascii="Arial Narrow" w:hAnsi="Arial Narrow" w:cs="Arial"/>
          <w:sz w:val="24"/>
          <w:szCs w:val="24"/>
        </w:rPr>
        <w:t xml:space="preserve"> y </w:t>
      </w:r>
      <w:r>
        <w:rPr>
          <w:rFonts w:ascii="Arial Narrow" w:hAnsi="Arial Narrow" w:cs="Arial"/>
          <w:sz w:val="24"/>
          <w:szCs w:val="24"/>
        </w:rPr>
        <w:t>la revisión de las memorias técnicas de las convocatorias de EATIC e IPI 2019</w:t>
      </w:r>
      <w:r w:rsidRPr="009909C9">
        <w:rPr>
          <w:rFonts w:ascii="Arial Narrow" w:hAnsi="Arial Narrow" w:cs="Arial"/>
          <w:sz w:val="24"/>
          <w:szCs w:val="24"/>
        </w:rPr>
        <w:t xml:space="preserve">. </w:t>
      </w:r>
      <w:r>
        <w:rPr>
          <w:rFonts w:ascii="Arial Narrow" w:hAnsi="Arial Narrow" w:cs="Arial"/>
          <w:sz w:val="24"/>
          <w:szCs w:val="24"/>
        </w:rPr>
        <w:t>Se ha gestionado y acometido la redacción de los borradores de las Estrategias de Economía Azul y Circular para la Viceconsejería de Economía e Internacionalización, y asimismo se ha dinamizado el portal Emprender en Canarias de la Dirección General de Promoción Económica.</w:t>
      </w:r>
    </w:p>
    <w:p w14:paraId="4508D684" w14:textId="77777777" w:rsidR="00615A1B" w:rsidRDefault="00615A1B" w:rsidP="00615A1B">
      <w:pPr>
        <w:jc w:val="both"/>
        <w:rPr>
          <w:rFonts w:ascii="Arial Narrow" w:hAnsi="Arial Narrow" w:cs="Arial"/>
          <w:sz w:val="24"/>
          <w:szCs w:val="24"/>
        </w:rPr>
      </w:pPr>
    </w:p>
    <w:p w14:paraId="7F1A652F" w14:textId="77777777" w:rsidR="00615A1B" w:rsidRDefault="00615A1B" w:rsidP="00615A1B">
      <w:pPr>
        <w:jc w:val="both"/>
        <w:rPr>
          <w:rFonts w:ascii="Arial Narrow" w:hAnsi="Arial Narrow" w:cs="Arial"/>
          <w:sz w:val="24"/>
          <w:szCs w:val="24"/>
        </w:rPr>
      </w:pPr>
      <w:r w:rsidRPr="009909C9">
        <w:rPr>
          <w:rFonts w:ascii="Arial Narrow" w:hAnsi="Arial Narrow" w:cs="Arial"/>
          <w:sz w:val="24"/>
          <w:szCs w:val="24"/>
        </w:rPr>
        <w:t xml:space="preserve">Los servicios prestados a la Consejería de </w:t>
      </w:r>
      <w:r>
        <w:rPr>
          <w:rFonts w:ascii="Arial Narrow" w:hAnsi="Arial Narrow" w:cs="Arial"/>
          <w:sz w:val="24"/>
          <w:szCs w:val="24"/>
        </w:rPr>
        <w:t xml:space="preserve">Turismo, Industria y Comercio </w:t>
      </w:r>
      <w:r w:rsidRPr="009909C9">
        <w:rPr>
          <w:rFonts w:ascii="Arial Narrow" w:hAnsi="Arial Narrow" w:cs="Arial"/>
          <w:sz w:val="24"/>
          <w:szCs w:val="24"/>
        </w:rPr>
        <w:t>se centraron en la elaboración de estadísticas e informes para el Observatorio Industrial de Canarias</w:t>
      </w:r>
      <w:r>
        <w:rPr>
          <w:rFonts w:ascii="Arial Narrow" w:hAnsi="Arial Narrow" w:cs="Arial"/>
          <w:sz w:val="24"/>
          <w:szCs w:val="24"/>
        </w:rPr>
        <w:t>,</w:t>
      </w:r>
      <w:r w:rsidRPr="009909C9">
        <w:rPr>
          <w:rFonts w:ascii="Arial Narrow" w:hAnsi="Arial Narrow" w:cs="Arial"/>
          <w:sz w:val="24"/>
          <w:szCs w:val="24"/>
        </w:rPr>
        <w:t xml:space="preserve"> gestionando el servicio de vigilancia tecnológica e inteligencia competitiva</w:t>
      </w:r>
      <w:r>
        <w:rPr>
          <w:rFonts w:ascii="Arial Narrow" w:hAnsi="Arial Narrow" w:cs="Arial"/>
          <w:sz w:val="24"/>
          <w:szCs w:val="24"/>
        </w:rPr>
        <w:t>, fomentando la creación de Entidades de Conservación en los polígonos industriales del archipiélago</w:t>
      </w:r>
      <w:r w:rsidRPr="009909C9">
        <w:rPr>
          <w:rFonts w:ascii="Arial Narrow" w:hAnsi="Arial Narrow" w:cs="Arial"/>
          <w:sz w:val="24"/>
          <w:szCs w:val="24"/>
        </w:rPr>
        <w:t xml:space="preserve"> y la actualización de contenidos del Portal Emprenderencanarias.org. </w:t>
      </w:r>
    </w:p>
    <w:p w14:paraId="32A8B71C" w14:textId="77777777" w:rsidR="00615A1B" w:rsidRDefault="00615A1B" w:rsidP="00615A1B">
      <w:pPr>
        <w:jc w:val="both"/>
        <w:rPr>
          <w:rFonts w:ascii="Arial Narrow" w:hAnsi="Arial Narrow" w:cs="Arial"/>
          <w:sz w:val="24"/>
          <w:szCs w:val="24"/>
        </w:rPr>
      </w:pPr>
    </w:p>
    <w:p w14:paraId="0D856A8B" w14:textId="77777777" w:rsidR="00615A1B" w:rsidRDefault="00615A1B" w:rsidP="00615A1B">
      <w:pPr>
        <w:jc w:val="both"/>
        <w:rPr>
          <w:rFonts w:ascii="Arial Narrow" w:hAnsi="Arial Narrow" w:cs="Arial"/>
          <w:sz w:val="24"/>
          <w:szCs w:val="24"/>
        </w:rPr>
      </w:pPr>
      <w:r>
        <w:rPr>
          <w:rFonts w:ascii="Arial Narrow" w:hAnsi="Arial Narrow" w:cs="Arial"/>
          <w:sz w:val="24"/>
          <w:szCs w:val="24"/>
        </w:rPr>
        <w:t>Cabe destacar también la colaboración con la Dirección General de Investigación y Coordinación del Desarrollo Sostenible para la identificación de los ODS de Canarias y los trabajos preparatorios para la redacción de la Agenda 2030 de Canarias.</w:t>
      </w:r>
    </w:p>
    <w:p w14:paraId="525500E8" w14:textId="77777777" w:rsidR="00615A1B" w:rsidRDefault="00615A1B" w:rsidP="00615A1B">
      <w:pPr>
        <w:jc w:val="both"/>
        <w:rPr>
          <w:rFonts w:ascii="Arial Narrow" w:hAnsi="Arial Narrow" w:cs="Arial"/>
          <w:sz w:val="24"/>
          <w:szCs w:val="24"/>
        </w:rPr>
      </w:pPr>
    </w:p>
    <w:p w14:paraId="221096C8" w14:textId="77777777" w:rsidR="00615A1B" w:rsidRPr="009909C9" w:rsidRDefault="00615A1B" w:rsidP="00615A1B">
      <w:pPr>
        <w:jc w:val="both"/>
        <w:rPr>
          <w:rFonts w:ascii="Arial Narrow" w:hAnsi="Arial Narrow" w:cs="Arial"/>
          <w:sz w:val="24"/>
          <w:szCs w:val="24"/>
        </w:rPr>
      </w:pPr>
      <w:r w:rsidRPr="009909C9">
        <w:rPr>
          <w:rFonts w:ascii="Arial Narrow" w:hAnsi="Arial Narrow" w:cs="Arial"/>
          <w:sz w:val="24"/>
          <w:szCs w:val="24"/>
        </w:rPr>
        <w:t xml:space="preserve">Por otra parte, se ha continuado con la gestión de proyectos propios, actuaciones cuyos objetivos son el  asesoramiento empresarial en I+D+i (Red CIDE), participando activamente en proyectos europeos de transferencia e internacionalización de la I+D+i, participando en el consorcio canario de la Enterprise Europe Network y consolidando los nuevos servicios de esta red para impulsar la innovación en las pymes como la realización de diagnósticos de Innovación con la metodología Improve. Se continuó con el fomento del emprendimiento, creación y consolidación de EIBC, participando en redes como ANCES y EBN. </w:t>
      </w:r>
      <w:r>
        <w:rPr>
          <w:rFonts w:ascii="Arial Narrow" w:hAnsi="Arial Narrow" w:cs="Arial"/>
          <w:sz w:val="24"/>
          <w:szCs w:val="24"/>
        </w:rPr>
        <w:t xml:space="preserve">Se ha </w:t>
      </w:r>
      <w:r w:rsidRPr="009909C9">
        <w:rPr>
          <w:rFonts w:ascii="Arial Narrow" w:hAnsi="Arial Narrow" w:cs="Arial"/>
          <w:sz w:val="24"/>
          <w:szCs w:val="24"/>
        </w:rPr>
        <w:t xml:space="preserve">participado en proyectos europeos como </w:t>
      </w:r>
      <w:r>
        <w:rPr>
          <w:rFonts w:ascii="Arial Narrow" w:hAnsi="Arial Narrow" w:cs="Arial"/>
          <w:sz w:val="24"/>
          <w:szCs w:val="24"/>
        </w:rPr>
        <w:t xml:space="preserve">Forward, que fomenta la participación de las nueve regiones RUP en el próximo programa Horizonte Europa, </w:t>
      </w:r>
      <w:r w:rsidRPr="009909C9">
        <w:rPr>
          <w:rFonts w:ascii="Arial Narrow" w:hAnsi="Arial Narrow" w:cs="Arial"/>
          <w:sz w:val="24"/>
          <w:szCs w:val="24"/>
        </w:rPr>
        <w:t xml:space="preserve">Open Eye </w:t>
      </w:r>
      <w:r>
        <w:rPr>
          <w:rFonts w:ascii="Arial Narrow" w:hAnsi="Arial Narrow" w:cs="Arial"/>
          <w:sz w:val="24"/>
          <w:szCs w:val="24"/>
        </w:rPr>
        <w:t>11</w:t>
      </w:r>
      <w:r w:rsidRPr="009909C9">
        <w:rPr>
          <w:rFonts w:ascii="Arial Narrow" w:hAnsi="Arial Narrow" w:cs="Arial"/>
          <w:sz w:val="24"/>
          <w:szCs w:val="24"/>
        </w:rPr>
        <w:t xml:space="preserve">, para la internacionalización del emprendimiento, </w:t>
      </w:r>
      <w:r>
        <w:rPr>
          <w:rFonts w:ascii="Arial Narrow" w:hAnsi="Arial Narrow" w:cs="Arial"/>
          <w:sz w:val="24"/>
          <w:szCs w:val="24"/>
        </w:rPr>
        <w:t>el</w:t>
      </w:r>
      <w:r w:rsidRPr="009909C9">
        <w:rPr>
          <w:rFonts w:ascii="Arial Narrow" w:hAnsi="Arial Narrow" w:cs="Arial"/>
          <w:sz w:val="24"/>
          <w:szCs w:val="24"/>
        </w:rPr>
        <w:t xml:space="preserve"> proyecto europeo de economía colaborativa SHAREEN y participando en </w:t>
      </w:r>
      <w:r>
        <w:rPr>
          <w:rFonts w:ascii="Arial Narrow" w:hAnsi="Arial Narrow" w:cs="Arial"/>
          <w:sz w:val="24"/>
          <w:szCs w:val="24"/>
        </w:rPr>
        <w:t>dos</w:t>
      </w:r>
      <w:r w:rsidRPr="009909C9">
        <w:rPr>
          <w:rFonts w:ascii="Arial Narrow" w:hAnsi="Arial Narrow" w:cs="Arial"/>
          <w:sz w:val="24"/>
          <w:szCs w:val="24"/>
        </w:rPr>
        <w:t xml:space="preserve"> proyectos POMAC: Ris3net, y MacBioIdi. </w:t>
      </w:r>
    </w:p>
    <w:p w14:paraId="7175299B" w14:textId="77777777" w:rsidR="00615A1B" w:rsidRPr="009909C9" w:rsidRDefault="00615A1B" w:rsidP="00615A1B">
      <w:pPr>
        <w:jc w:val="both"/>
        <w:rPr>
          <w:rFonts w:ascii="Arial Narrow" w:hAnsi="Arial Narrow" w:cs="Arial"/>
          <w:sz w:val="24"/>
          <w:szCs w:val="24"/>
        </w:rPr>
      </w:pPr>
    </w:p>
    <w:p w14:paraId="36CA0CEE" w14:textId="77777777" w:rsidR="00615A1B" w:rsidRDefault="00615A1B" w:rsidP="00615A1B">
      <w:pPr>
        <w:jc w:val="both"/>
        <w:rPr>
          <w:rFonts w:ascii="Arial Narrow" w:hAnsi="Arial Narrow" w:cs="Arial"/>
          <w:sz w:val="24"/>
          <w:szCs w:val="24"/>
        </w:rPr>
      </w:pPr>
      <w:r w:rsidRPr="009909C9">
        <w:rPr>
          <w:rFonts w:ascii="Arial Narrow" w:hAnsi="Arial Narrow" w:cs="Arial"/>
          <w:sz w:val="24"/>
          <w:szCs w:val="24"/>
        </w:rPr>
        <w:t xml:space="preserve">El </w:t>
      </w:r>
      <w:r w:rsidRPr="009909C9">
        <w:rPr>
          <w:rFonts w:ascii="Arial Narrow" w:hAnsi="Arial Narrow" w:cs="Arial"/>
          <w:b/>
          <w:sz w:val="24"/>
          <w:szCs w:val="24"/>
        </w:rPr>
        <w:t>Departamento de Sociedad de la Información</w:t>
      </w:r>
      <w:r w:rsidRPr="009909C9">
        <w:rPr>
          <w:rFonts w:ascii="Arial Narrow" w:hAnsi="Arial Narrow" w:cs="Arial"/>
          <w:sz w:val="24"/>
          <w:szCs w:val="24"/>
        </w:rPr>
        <w:t xml:space="preserve"> ha mantenido su línea de prestación de servicios a la Agencia Canaria de Investigación, Innovación y Sociedad de la Información en el soporte de actuaciones de telecomunicación en materia de televisión digital (Diálogo Competitivo), extensión de la banda ancha y modernización tecnológica de las empresas y ciudadanos (EATIC, Innobonos TIC y Competencias Digitales), tanto a través de la elaboración como evaluación de distintas convocatorias en dichas materias como de actuaciones directas. El apoyo directo al Observatorio Canario de las Telecomunicaciones y Sociedad de la Información también </w:t>
      </w:r>
      <w:r>
        <w:rPr>
          <w:rFonts w:ascii="Arial Narrow" w:hAnsi="Arial Narrow" w:cs="Arial"/>
          <w:sz w:val="24"/>
          <w:szCs w:val="24"/>
        </w:rPr>
        <w:t>se mantiene como una</w:t>
      </w:r>
      <w:r w:rsidRPr="009909C9">
        <w:rPr>
          <w:rFonts w:ascii="Arial Narrow" w:hAnsi="Arial Narrow" w:cs="Arial"/>
          <w:sz w:val="24"/>
          <w:szCs w:val="24"/>
        </w:rPr>
        <w:t xml:space="preserve"> línea importante de actuación para la ACIISI, a través de la elaboración de los estudios anuales de referencia para el seguimiento de la Sociedad de la Información en Canarias (e-Canarias, Comercio Electrónico y Banda Ancha) así como la participación directa en la Estrategia de Especialización Inteligente de Canarias (RIS3) en dichos ámbitos. </w:t>
      </w:r>
    </w:p>
    <w:p w14:paraId="005ED66A" w14:textId="77777777" w:rsidR="00615A1B" w:rsidRDefault="00615A1B" w:rsidP="00615A1B">
      <w:pPr>
        <w:jc w:val="both"/>
        <w:rPr>
          <w:rFonts w:ascii="Arial Narrow" w:hAnsi="Arial Narrow" w:cs="Arial"/>
          <w:sz w:val="24"/>
          <w:szCs w:val="24"/>
        </w:rPr>
      </w:pPr>
    </w:p>
    <w:p w14:paraId="51544CB7"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Como en años anteriores, las actividades de formación y difusión en materia de tecnologías de la Sociedad de la Información, a través del programa público para el fomento de las competencias digitales en Canarias – CODECAN –, se ha mantenido como una de las líneas de actividad destacadas </w:t>
      </w:r>
      <w:r w:rsidRPr="009909C9">
        <w:rPr>
          <w:rFonts w:ascii="Arial Narrow" w:hAnsi="Arial Narrow" w:cs="Arial"/>
          <w:sz w:val="24"/>
          <w:szCs w:val="24"/>
        </w:rPr>
        <w:t>con el desarrollo de</w:t>
      </w:r>
      <w:r>
        <w:rPr>
          <w:rFonts w:ascii="Arial Narrow" w:hAnsi="Arial Narrow" w:cs="Arial"/>
          <w:sz w:val="24"/>
          <w:szCs w:val="24"/>
        </w:rPr>
        <w:t>, noventa y siete</w:t>
      </w:r>
      <w:r w:rsidRPr="009909C9">
        <w:rPr>
          <w:rFonts w:ascii="Arial Narrow" w:hAnsi="Arial Narrow" w:cs="Arial"/>
          <w:sz w:val="24"/>
          <w:szCs w:val="24"/>
        </w:rPr>
        <w:t xml:space="preserve"> acciones formativas en materia </w:t>
      </w:r>
      <w:r>
        <w:rPr>
          <w:rFonts w:ascii="Arial Narrow" w:hAnsi="Arial Narrow" w:cs="Arial"/>
          <w:sz w:val="24"/>
          <w:szCs w:val="24"/>
        </w:rPr>
        <w:t>como</w:t>
      </w:r>
      <w:r w:rsidRPr="009909C9">
        <w:rPr>
          <w:rFonts w:ascii="Arial Narrow" w:hAnsi="Arial Narrow" w:cs="Arial"/>
          <w:sz w:val="24"/>
          <w:szCs w:val="24"/>
        </w:rPr>
        <w:t xml:space="preserve"> electrónica, </w:t>
      </w:r>
      <w:r>
        <w:rPr>
          <w:rFonts w:ascii="Arial Narrow" w:hAnsi="Arial Narrow" w:cs="Arial"/>
          <w:sz w:val="24"/>
          <w:szCs w:val="24"/>
        </w:rPr>
        <w:t xml:space="preserve">impresión 3D, programación (concretamente, de videojuegos), </w:t>
      </w:r>
      <w:r w:rsidRPr="009909C9">
        <w:rPr>
          <w:rFonts w:ascii="Arial Narrow" w:hAnsi="Arial Narrow" w:cs="Arial"/>
          <w:sz w:val="24"/>
          <w:szCs w:val="24"/>
        </w:rPr>
        <w:t>audiovisual</w:t>
      </w:r>
      <w:r>
        <w:rPr>
          <w:rFonts w:ascii="Arial Narrow" w:hAnsi="Arial Narrow" w:cs="Arial"/>
          <w:sz w:val="24"/>
          <w:szCs w:val="24"/>
        </w:rPr>
        <w:t xml:space="preserve"> (técnicas de grabación en croma, creación de cortometrajes y generación de hologramas),</w:t>
      </w:r>
      <w:r w:rsidRPr="009909C9">
        <w:rPr>
          <w:rFonts w:ascii="Arial Narrow" w:hAnsi="Arial Narrow" w:cs="Arial"/>
          <w:sz w:val="24"/>
          <w:szCs w:val="24"/>
        </w:rPr>
        <w:t xml:space="preserve">  realidad virtual</w:t>
      </w:r>
      <w:r>
        <w:rPr>
          <w:rFonts w:ascii="Arial Narrow" w:hAnsi="Arial Narrow" w:cs="Arial"/>
          <w:sz w:val="24"/>
          <w:szCs w:val="24"/>
        </w:rPr>
        <w:t xml:space="preserve"> y realidad aumentada</w:t>
      </w:r>
      <w:r w:rsidRPr="009909C9">
        <w:rPr>
          <w:rFonts w:ascii="Arial Narrow" w:hAnsi="Arial Narrow" w:cs="Arial"/>
          <w:sz w:val="24"/>
          <w:szCs w:val="24"/>
        </w:rPr>
        <w:t xml:space="preserve">, </w:t>
      </w:r>
      <w:r>
        <w:rPr>
          <w:rFonts w:ascii="Arial Narrow" w:hAnsi="Arial Narrow" w:cs="Arial"/>
          <w:sz w:val="24"/>
          <w:szCs w:val="24"/>
        </w:rPr>
        <w:t>los cuales se han complementado con talleres para hablar en público,</w:t>
      </w:r>
      <w:r w:rsidRPr="009909C9">
        <w:rPr>
          <w:rFonts w:ascii="Arial Narrow" w:hAnsi="Arial Narrow" w:cs="Arial"/>
          <w:sz w:val="24"/>
          <w:szCs w:val="24"/>
        </w:rPr>
        <w:t xml:space="preserve"> enfocad</w:t>
      </w:r>
      <w:r>
        <w:rPr>
          <w:rFonts w:ascii="Arial Narrow" w:hAnsi="Arial Narrow" w:cs="Arial"/>
          <w:sz w:val="24"/>
          <w:szCs w:val="24"/>
        </w:rPr>
        <w:t>os</w:t>
      </w:r>
      <w:r w:rsidRPr="009909C9">
        <w:rPr>
          <w:rFonts w:ascii="Arial Narrow" w:hAnsi="Arial Narrow" w:cs="Arial"/>
          <w:sz w:val="24"/>
          <w:szCs w:val="24"/>
        </w:rPr>
        <w:t xml:space="preserve"> a un público especialmente juvenil, donde se ha mantenido las actuaciones que anualmente se realizan en el Festivalito de La Palma (Concurso Cine con TIC) </w:t>
      </w:r>
      <w:r>
        <w:rPr>
          <w:rFonts w:ascii="Arial Narrow" w:hAnsi="Arial Narrow" w:cs="Arial"/>
          <w:sz w:val="24"/>
          <w:szCs w:val="24"/>
        </w:rPr>
        <w:t>y el concurso/taller</w:t>
      </w:r>
      <w:r w:rsidRPr="009909C9">
        <w:rPr>
          <w:rFonts w:ascii="Arial Narrow" w:hAnsi="Arial Narrow" w:cs="Arial"/>
          <w:sz w:val="24"/>
          <w:szCs w:val="24"/>
        </w:rPr>
        <w:t xml:space="preserve"> un “GIF por Navidad”</w:t>
      </w:r>
      <w:r>
        <w:rPr>
          <w:rFonts w:ascii="Arial Narrow" w:hAnsi="Arial Narrow" w:cs="Arial"/>
          <w:sz w:val="24"/>
          <w:szCs w:val="24"/>
        </w:rPr>
        <w:t>. La realización de estas actuaciones, en 2019, ha tenido un impacto directo en 3.360 jóvenes de Canarias</w:t>
      </w:r>
      <w:r w:rsidRPr="009909C9">
        <w:rPr>
          <w:rFonts w:ascii="Arial Narrow" w:hAnsi="Arial Narrow" w:cs="Arial"/>
          <w:sz w:val="24"/>
          <w:szCs w:val="24"/>
        </w:rPr>
        <w:t xml:space="preserve">. </w:t>
      </w:r>
      <w:r>
        <w:rPr>
          <w:rFonts w:ascii="Arial Narrow" w:hAnsi="Arial Narrow" w:cs="Arial"/>
          <w:sz w:val="24"/>
          <w:szCs w:val="24"/>
        </w:rPr>
        <w:t xml:space="preserve">También, en este ámbito, es de referenciar el importante número de charlas, un total de 18, que se han realizado tanto a padres, madres y educadores como a los jóvenes sobre el uso responsable de las Tecnologías de la Información y la Comunicación, complementadas con talleres específicos orientados a la identificación de noticias falsas, un total de 24. Estas actuaciones han tenido un impacto directo en 120 padres, madres y educadores así como en 593 jóvenes. </w:t>
      </w:r>
      <w:r w:rsidRPr="009909C9">
        <w:rPr>
          <w:rFonts w:ascii="Arial Narrow" w:hAnsi="Arial Narrow" w:cs="Arial"/>
          <w:sz w:val="24"/>
          <w:szCs w:val="24"/>
        </w:rPr>
        <w:t>También en el ámbito de difusión, se mantiene un perfil activo a través de las webs ViveInternet.es y Octsi.es, con la publicación diaria de un boletín de actualidad de las telecomunicaciones en Canarias con orientación a un ámbito empresarial, el cual disfruta de un gran seguimiento. Otra línea de prestación de servicios</w:t>
      </w:r>
      <w:r>
        <w:rPr>
          <w:rFonts w:ascii="Arial Narrow" w:hAnsi="Arial Narrow" w:cs="Arial"/>
          <w:sz w:val="24"/>
          <w:szCs w:val="24"/>
        </w:rPr>
        <w:t>, que en 2019, ha pasado competencialmente de</w:t>
      </w:r>
      <w:r w:rsidRPr="009909C9">
        <w:rPr>
          <w:rFonts w:ascii="Arial Narrow" w:hAnsi="Arial Narrow" w:cs="Arial"/>
          <w:sz w:val="24"/>
          <w:szCs w:val="24"/>
        </w:rPr>
        <w:t xml:space="preserve"> la Viceconsejería de Presidencia y Relaciones con los Medios </w:t>
      </w:r>
      <w:r>
        <w:rPr>
          <w:rFonts w:ascii="Arial Narrow" w:hAnsi="Arial Narrow" w:cs="Arial"/>
          <w:sz w:val="24"/>
          <w:szCs w:val="24"/>
        </w:rPr>
        <w:t xml:space="preserve">a la Agencia Canaria de Investigación, Innovación y Sociedad de la Información, es </w:t>
      </w:r>
      <w:r w:rsidRPr="009909C9">
        <w:rPr>
          <w:rFonts w:ascii="Arial Narrow" w:hAnsi="Arial Narrow" w:cs="Arial"/>
          <w:sz w:val="24"/>
          <w:szCs w:val="24"/>
        </w:rPr>
        <w:t>la monitorización activa 24x7 del espectro radioeléctrico para los servicios de FM y Televisión Digital Terrestre</w:t>
      </w:r>
      <w:r>
        <w:rPr>
          <w:rFonts w:ascii="Arial Narrow" w:hAnsi="Arial Narrow" w:cs="Arial"/>
          <w:sz w:val="24"/>
          <w:szCs w:val="24"/>
        </w:rPr>
        <w:t>, al tiempo que se han elaborado un importante número de informes sobre situaciones específicas de la TDT y la FM</w:t>
      </w:r>
      <w:r w:rsidRPr="009909C9">
        <w:rPr>
          <w:rFonts w:ascii="Arial Narrow" w:hAnsi="Arial Narrow" w:cs="Arial"/>
          <w:sz w:val="24"/>
          <w:szCs w:val="24"/>
        </w:rPr>
        <w:t>.</w:t>
      </w:r>
    </w:p>
    <w:p w14:paraId="2A0FE8C4" w14:textId="77777777" w:rsidR="00615A1B" w:rsidRDefault="00615A1B" w:rsidP="00615A1B">
      <w:pPr>
        <w:jc w:val="both"/>
        <w:rPr>
          <w:rFonts w:ascii="Arial Narrow" w:hAnsi="Arial Narrow" w:cs="Arial"/>
          <w:sz w:val="24"/>
          <w:szCs w:val="24"/>
        </w:rPr>
      </w:pPr>
    </w:p>
    <w:p w14:paraId="3F6178BA" w14:textId="77777777" w:rsidR="00615A1B" w:rsidRDefault="00615A1B" w:rsidP="00615A1B">
      <w:pPr>
        <w:jc w:val="both"/>
        <w:rPr>
          <w:rFonts w:ascii="Arial Narrow" w:hAnsi="Arial Narrow" w:cs="Arial"/>
          <w:sz w:val="24"/>
          <w:szCs w:val="24"/>
        </w:rPr>
      </w:pPr>
      <w:r>
        <w:rPr>
          <w:rFonts w:ascii="Arial Narrow" w:hAnsi="Arial Narrow" w:cs="Arial"/>
          <w:sz w:val="24"/>
          <w:szCs w:val="24"/>
        </w:rPr>
        <w:t>En 2019, se han iniciado los trabajos dentro del proyecto VERCOCHAR, proyecto MAC, que busca el desarrollo de herramientas para la adaptación al cambio climático, la prevención y mitigación de los efectos derivados de los riesgos naturales en el medio agrícola y forestal, y donde el Departamento realiza una actuación específica con drones en el ámbito de la agricultura de precisión.</w:t>
      </w:r>
    </w:p>
    <w:p w14:paraId="19614307" w14:textId="77777777" w:rsidR="00615A1B" w:rsidRDefault="00615A1B" w:rsidP="00615A1B">
      <w:pPr>
        <w:jc w:val="both"/>
        <w:rPr>
          <w:rFonts w:ascii="Arial Narrow" w:hAnsi="Arial Narrow" w:cs="Arial"/>
          <w:sz w:val="24"/>
          <w:szCs w:val="24"/>
        </w:rPr>
      </w:pPr>
    </w:p>
    <w:p w14:paraId="435513A6"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Fuera del ámbito de la Administración, en 2019 se ha recibido un encargo de especialización del prototipo electrónico generado para una empresa en 2017/18, el cual además la empresa está tramitando como modelo de utilidad en la Oficina de Patentes y Marcas. Finalmente, con respecto a la actividad con drones, en 2019  se ha obtenido la  autorización para operaciones dentro del Espacio Aéreo Controlado así como se ha aumentado el conjunto de aeronaves, incorporando un </w:t>
      </w:r>
      <w:proofErr w:type="spellStart"/>
      <w:r>
        <w:rPr>
          <w:rFonts w:ascii="Arial Narrow" w:hAnsi="Arial Narrow" w:cs="Arial"/>
          <w:sz w:val="24"/>
          <w:szCs w:val="24"/>
        </w:rPr>
        <w:t>hexacoptero</w:t>
      </w:r>
      <w:proofErr w:type="spellEnd"/>
      <w:r>
        <w:rPr>
          <w:rFonts w:ascii="Arial Narrow" w:hAnsi="Arial Narrow" w:cs="Arial"/>
          <w:sz w:val="24"/>
          <w:szCs w:val="24"/>
        </w:rPr>
        <w:t>, necesario para atender las demandas específicas del proyecto VERCOCHAR, así como un conjunto de cámaras espectrales y multiespectrales por igual motivo. En 2019, se ha realizado una operación de vuelo en el Observatorio del Roque de los Muchachos para la grabación de todos los telescopios instalados en el mismo.</w:t>
      </w:r>
    </w:p>
    <w:p w14:paraId="68FCB3B8" w14:textId="77777777" w:rsidR="00615A1B" w:rsidRDefault="00615A1B" w:rsidP="00615A1B">
      <w:pPr>
        <w:keepNext/>
        <w:keepLines/>
        <w:jc w:val="both"/>
        <w:rPr>
          <w:rFonts w:ascii="Arial Narrow" w:hAnsi="Arial Narrow" w:cs="Arial"/>
          <w:b/>
          <w:sz w:val="24"/>
          <w:szCs w:val="24"/>
        </w:rPr>
      </w:pPr>
      <w:r w:rsidRPr="007F3210">
        <w:rPr>
          <w:rFonts w:ascii="Arial Narrow" w:hAnsi="Arial Narrow" w:cs="Arial"/>
          <w:b/>
          <w:sz w:val="24"/>
          <w:szCs w:val="24"/>
        </w:rPr>
        <w:t>5</w:t>
      </w:r>
      <w:r>
        <w:rPr>
          <w:rFonts w:ascii="Arial Narrow" w:hAnsi="Arial Narrow" w:cs="Arial"/>
          <w:b/>
          <w:sz w:val="24"/>
          <w:szCs w:val="24"/>
        </w:rPr>
        <w:t>. OTRA INFORMACIÓN</w:t>
      </w:r>
    </w:p>
    <w:p w14:paraId="41877D93" w14:textId="77777777" w:rsidR="00615A1B" w:rsidRDefault="00615A1B" w:rsidP="00615A1B">
      <w:pPr>
        <w:keepNext/>
        <w:keepLines/>
        <w:jc w:val="both"/>
        <w:rPr>
          <w:rFonts w:ascii="Arial Narrow" w:hAnsi="Arial Narrow" w:cs="Arial"/>
          <w:b/>
          <w:sz w:val="24"/>
          <w:szCs w:val="24"/>
        </w:rPr>
      </w:pPr>
    </w:p>
    <w:p w14:paraId="05E9412E" w14:textId="77777777" w:rsidR="00615A1B" w:rsidRDefault="00615A1B" w:rsidP="00615A1B">
      <w:pPr>
        <w:keepNext/>
        <w:keepLines/>
        <w:jc w:val="both"/>
        <w:rPr>
          <w:rFonts w:ascii="Arial Narrow" w:hAnsi="Arial Narrow" w:cs="Arial"/>
          <w:b/>
          <w:sz w:val="24"/>
          <w:szCs w:val="24"/>
        </w:rPr>
      </w:pPr>
      <w:r>
        <w:rPr>
          <w:rFonts w:ascii="Arial Narrow" w:hAnsi="Arial Narrow" w:cs="Arial"/>
          <w:b/>
          <w:sz w:val="24"/>
          <w:szCs w:val="24"/>
        </w:rPr>
        <w:t>5.1.- Composición del Consejo de Administración y principales acuerdos adoptados</w:t>
      </w:r>
    </w:p>
    <w:p w14:paraId="60762DD8" w14:textId="77777777" w:rsidR="00615A1B" w:rsidRDefault="00615A1B" w:rsidP="00615A1B">
      <w:pPr>
        <w:keepNext/>
        <w:keepLines/>
        <w:jc w:val="both"/>
        <w:rPr>
          <w:rFonts w:ascii="Arial Narrow" w:hAnsi="Arial Narrow" w:cs="Arial"/>
          <w:b/>
          <w:sz w:val="24"/>
          <w:szCs w:val="24"/>
        </w:rPr>
      </w:pPr>
    </w:p>
    <w:p w14:paraId="30C990C9" w14:textId="77777777" w:rsidR="00615A1B" w:rsidRDefault="00615A1B" w:rsidP="00615A1B">
      <w:pPr>
        <w:keepNext/>
        <w:keepLines/>
        <w:jc w:val="both"/>
        <w:rPr>
          <w:rFonts w:ascii="Arial Narrow" w:hAnsi="Arial Narrow" w:cs="Arial"/>
          <w:sz w:val="24"/>
          <w:szCs w:val="24"/>
        </w:rPr>
      </w:pPr>
      <w:r>
        <w:rPr>
          <w:rFonts w:ascii="Arial Narrow" w:hAnsi="Arial Narrow" w:cs="Arial"/>
          <w:sz w:val="24"/>
          <w:szCs w:val="24"/>
        </w:rPr>
        <w:t>Se añade un cuadro resumen de la composición del Consejo de Administración del ITC durante el ejercicio 2019:</w:t>
      </w:r>
    </w:p>
    <w:p w14:paraId="3FC43647" w14:textId="77777777" w:rsidR="00615A1B" w:rsidRDefault="00615A1B" w:rsidP="00615A1B">
      <w:pPr>
        <w:jc w:val="both"/>
        <w:rPr>
          <w:rFonts w:ascii="Arial Narrow" w:hAnsi="Arial Narrow" w:cs="Arial"/>
          <w:sz w:val="24"/>
          <w:szCs w:val="24"/>
        </w:rPr>
      </w:pPr>
    </w:p>
    <w:p w14:paraId="6F23724C" w14:textId="77777777" w:rsidR="00C60DD6" w:rsidRDefault="00C60DD6" w:rsidP="00615A1B">
      <w:pPr>
        <w:jc w:val="both"/>
        <w:rPr>
          <w:rFonts w:ascii="Arial Narrow" w:hAnsi="Arial Narrow" w:cs="Arial"/>
          <w:sz w:val="24"/>
          <w:szCs w:val="24"/>
        </w:rPr>
      </w:pPr>
    </w:p>
    <w:p w14:paraId="656311AA" w14:textId="77777777" w:rsidR="00615A1B" w:rsidRDefault="00615A1B" w:rsidP="00615A1B">
      <w:pPr>
        <w:jc w:val="center"/>
        <w:rPr>
          <w:rFonts w:ascii="Arial Narrow" w:hAnsi="Arial Narrow" w:cs="Arial"/>
          <w:b/>
          <w:bCs/>
          <w:sz w:val="24"/>
          <w:szCs w:val="24"/>
        </w:rPr>
      </w:pPr>
      <w:r>
        <w:rPr>
          <w:rFonts w:ascii="Arial Narrow" w:hAnsi="Arial Narrow" w:cs="Arial"/>
          <w:b/>
          <w:bCs/>
          <w:sz w:val="24"/>
          <w:szCs w:val="24"/>
        </w:rPr>
        <w:t>COMPOSICIÓN CONSEJO DE ADMINISTRACIÓN EJERCICIO 2018</w:t>
      </w:r>
    </w:p>
    <w:p w14:paraId="24A998BA" w14:textId="77777777" w:rsidR="00615A1B" w:rsidRDefault="00615A1B" w:rsidP="00615A1B">
      <w:pPr>
        <w:jc w:val="center"/>
      </w:pPr>
      <w:r>
        <w:rPr>
          <w:rFonts w:ascii="Arial Narrow" w:hAnsi="Arial Narrow" w:cs="Arial"/>
          <w:b/>
          <w:bCs/>
          <w:sz w:val="24"/>
          <w:szCs w:val="24"/>
        </w:rPr>
        <w:t>(desde el Consejo de Administración de 23/03/2018)</w:t>
      </w:r>
    </w:p>
    <w:p w14:paraId="1954D59D" w14:textId="77777777" w:rsidR="00615A1B" w:rsidRDefault="00615A1B" w:rsidP="00615A1B">
      <w:pPr>
        <w:jc w:val="both"/>
        <w:rPr>
          <w:rFonts w:ascii="Arial Narrow" w:hAnsi="Arial Narrow" w:cs="Arial"/>
          <w:sz w:val="24"/>
          <w:szCs w:val="24"/>
        </w:rPr>
      </w:pPr>
    </w:p>
    <w:p w14:paraId="3DE4D395" w14:textId="77777777" w:rsidR="00C60DD6" w:rsidRDefault="00C60DD6" w:rsidP="00615A1B">
      <w:pPr>
        <w:jc w:val="both"/>
        <w:rPr>
          <w:rFonts w:ascii="Arial Narrow" w:hAnsi="Arial Narrow" w:cs="Arial"/>
          <w:sz w:val="24"/>
          <w:szCs w:val="24"/>
        </w:rPr>
      </w:pPr>
    </w:p>
    <w:p w14:paraId="6693AACB" w14:textId="77777777" w:rsidR="00615A1B" w:rsidRDefault="00615A1B" w:rsidP="00615A1B">
      <w:pPr>
        <w:jc w:val="both"/>
      </w:pPr>
      <w:r>
        <w:rPr>
          <w:rFonts w:ascii="Arial Narrow" w:hAnsi="Arial Narrow" w:cs="Arial"/>
          <w:b/>
          <w:bCs/>
          <w:sz w:val="24"/>
          <w:szCs w:val="24"/>
        </w:rPr>
        <w:t>PRESIDENTE y CONSEJERO DELEGADO:</w:t>
      </w:r>
    </w:p>
    <w:p w14:paraId="4A0C27E1" w14:textId="77777777" w:rsidR="00615A1B" w:rsidRDefault="00615A1B" w:rsidP="00615A1B">
      <w:pPr>
        <w:jc w:val="both"/>
        <w:rPr>
          <w:rFonts w:ascii="Arial Narrow" w:hAnsi="Arial Narrow" w:cs="Arial"/>
          <w:sz w:val="24"/>
          <w:szCs w:val="24"/>
        </w:rPr>
      </w:pPr>
      <w:r>
        <w:rPr>
          <w:rFonts w:ascii="Arial Narrow" w:hAnsi="Arial Narrow" w:cs="Arial"/>
          <w:sz w:val="24"/>
          <w:szCs w:val="24"/>
        </w:rPr>
        <w:t>D. Pedro Ortega Rodríguez</w:t>
      </w:r>
    </w:p>
    <w:p w14:paraId="4F62BF6D" w14:textId="77777777" w:rsidR="00615A1B" w:rsidRDefault="00615A1B" w:rsidP="00615A1B">
      <w:pPr>
        <w:jc w:val="both"/>
        <w:rPr>
          <w:rFonts w:ascii="Arial Narrow" w:hAnsi="Arial Narrow" w:cs="Arial"/>
          <w:sz w:val="24"/>
          <w:szCs w:val="24"/>
        </w:rPr>
      </w:pPr>
    </w:p>
    <w:p w14:paraId="1A568687" w14:textId="77777777" w:rsidR="00615A1B" w:rsidRDefault="00615A1B" w:rsidP="00615A1B">
      <w:pPr>
        <w:jc w:val="both"/>
        <w:rPr>
          <w:rFonts w:ascii="Arial Narrow" w:hAnsi="Arial Narrow" w:cs="Arial"/>
          <w:b/>
          <w:bCs/>
          <w:sz w:val="24"/>
          <w:szCs w:val="24"/>
        </w:rPr>
      </w:pPr>
      <w:bookmarkStart w:id="20" w:name="_Hlk35423443"/>
      <w:r>
        <w:rPr>
          <w:rFonts w:ascii="Arial Narrow" w:hAnsi="Arial Narrow" w:cs="Arial"/>
          <w:b/>
          <w:bCs/>
          <w:sz w:val="24"/>
          <w:szCs w:val="24"/>
        </w:rPr>
        <w:t>VICEPRESIDENTE:</w:t>
      </w:r>
    </w:p>
    <w:bookmarkEnd w:id="20"/>
    <w:p w14:paraId="047398ED" w14:textId="77777777" w:rsidR="00615A1B" w:rsidRDefault="00615A1B" w:rsidP="00615A1B">
      <w:pPr>
        <w:jc w:val="both"/>
        <w:rPr>
          <w:rFonts w:ascii="Arial Narrow" w:hAnsi="Arial Narrow" w:cs="Arial"/>
          <w:sz w:val="24"/>
          <w:szCs w:val="24"/>
        </w:rPr>
      </w:pPr>
      <w:r>
        <w:rPr>
          <w:rFonts w:ascii="Arial Narrow" w:hAnsi="Arial Narrow" w:cs="Arial"/>
          <w:sz w:val="24"/>
          <w:szCs w:val="24"/>
        </w:rPr>
        <w:t>D. Gonzalo Piernavieja Izquierdo,</w:t>
      </w:r>
    </w:p>
    <w:p w14:paraId="61BE7232" w14:textId="77777777" w:rsidR="00615A1B" w:rsidRDefault="00615A1B" w:rsidP="00615A1B">
      <w:pPr>
        <w:jc w:val="both"/>
        <w:rPr>
          <w:rFonts w:ascii="Arial Narrow" w:hAnsi="Arial Narrow" w:cs="Arial"/>
          <w:sz w:val="24"/>
          <w:szCs w:val="24"/>
        </w:rPr>
      </w:pPr>
    </w:p>
    <w:p w14:paraId="622FC78C" w14:textId="77777777" w:rsidR="00615A1B" w:rsidRDefault="00615A1B" w:rsidP="00615A1B">
      <w:pPr>
        <w:jc w:val="both"/>
      </w:pPr>
      <w:r>
        <w:rPr>
          <w:rFonts w:ascii="Arial Narrow" w:hAnsi="Arial Narrow" w:cs="Arial"/>
          <w:b/>
          <w:bCs/>
          <w:sz w:val="24"/>
          <w:szCs w:val="24"/>
        </w:rPr>
        <w:t>VOCALES:</w:t>
      </w:r>
      <w:r>
        <w:rPr>
          <w:rFonts w:ascii="Arial Narrow" w:hAnsi="Arial Narrow" w:cs="Arial"/>
          <w:sz w:val="24"/>
          <w:szCs w:val="24"/>
        </w:rPr>
        <w:t xml:space="preserve"> </w:t>
      </w:r>
    </w:p>
    <w:p w14:paraId="5E072877" w14:textId="77777777" w:rsidR="00615A1B" w:rsidRDefault="00615A1B" w:rsidP="00615A1B">
      <w:pPr>
        <w:jc w:val="both"/>
      </w:pPr>
      <w:r>
        <w:rPr>
          <w:rFonts w:ascii="Arial Narrow" w:hAnsi="Arial Narrow" w:cs="Arial"/>
          <w:sz w:val="24"/>
          <w:szCs w:val="24"/>
        </w:rPr>
        <w:t>D. Constantino Luis González,</w:t>
      </w:r>
    </w:p>
    <w:p w14:paraId="53A83891" w14:textId="77777777" w:rsidR="00615A1B" w:rsidRDefault="00615A1B" w:rsidP="00615A1B">
      <w:pPr>
        <w:jc w:val="both"/>
        <w:rPr>
          <w:rFonts w:ascii="Arial Narrow" w:hAnsi="Arial Narrow" w:cs="Arial"/>
          <w:sz w:val="24"/>
          <w:szCs w:val="24"/>
        </w:rPr>
      </w:pPr>
      <w:r>
        <w:rPr>
          <w:rFonts w:ascii="Arial Narrow" w:hAnsi="Arial Narrow" w:cs="Arial"/>
          <w:sz w:val="24"/>
          <w:szCs w:val="24"/>
        </w:rPr>
        <w:t>D. Manuel Miranda Medina,</w:t>
      </w:r>
    </w:p>
    <w:p w14:paraId="778EFC9F"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D. Justo Jesús Artiles Sánchez, </w:t>
      </w:r>
    </w:p>
    <w:p w14:paraId="437E59D2"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D. Ciro Gutiérrez Ascanio. </w:t>
      </w:r>
    </w:p>
    <w:p w14:paraId="6148A315" w14:textId="77777777" w:rsidR="00615A1B" w:rsidRDefault="00615A1B" w:rsidP="00615A1B">
      <w:pPr>
        <w:jc w:val="both"/>
        <w:rPr>
          <w:rFonts w:ascii="Arial Narrow" w:hAnsi="Arial Narrow" w:cs="Arial"/>
          <w:sz w:val="24"/>
          <w:szCs w:val="24"/>
        </w:rPr>
      </w:pPr>
    </w:p>
    <w:p w14:paraId="23CA8EC5" w14:textId="77777777" w:rsidR="00C60DD6" w:rsidRDefault="00C60DD6" w:rsidP="00615A1B">
      <w:pPr>
        <w:jc w:val="both"/>
        <w:rPr>
          <w:rFonts w:ascii="Arial Narrow" w:hAnsi="Arial Narrow" w:cs="Arial"/>
          <w:sz w:val="24"/>
          <w:szCs w:val="24"/>
        </w:rPr>
      </w:pPr>
    </w:p>
    <w:p w14:paraId="3AA535A5" w14:textId="77777777" w:rsidR="00615A1B" w:rsidRDefault="00615A1B" w:rsidP="00615A1B">
      <w:pPr>
        <w:jc w:val="center"/>
        <w:rPr>
          <w:rFonts w:ascii="Arial Narrow" w:hAnsi="Arial Narrow" w:cs="Arial"/>
          <w:b/>
          <w:bCs/>
          <w:sz w:val="24"/>
          <w:szCs w:val="24"/>
        </w:rPr>
      </w:pPr>
      <w:bookmarkStart w:id="21" w:name="_Hlk35423518"/>
      <w:r>
        <w:rPr>
          <w:rFonts w:ascii="Arial Narrow" w:hAnsi="Arial Narrow" w:cs="Arial"/>
          <w:b/>
          <w:bCs/>
          <w:sz w:val="24"/>
          <w:szCs w:val="24"/>
        </w:rPr>
        <w:t>COMPOSICIÓN CONSEJO DE ADMINISTRACIÓN EJERCICIO 2019</w:t>
      </w:r>
    </w:p>
    <w:p w14:paraId="6F07CCB0" w14:textId="77777777" w:rsidR="00615A1B" w:rsidRDefault="00615A1B" w:rsidP="00615A1B">
      <w:pPr>
        <w:jc w:val="center"/>
      </w:pPr>
      <w:r>
        <w:rPr>
          <w:rFonts w:ascii="Arial Narrow" w:hAnsi="Arial Narrow" w:cs="Arial"/>
          <w:b/>
          <w:bCs/>
          <w:sz w:val="24"/>
          <w:szCs w:val="24"/>
        </w:rPr>
        <w:t>(desde la Junta de 04/10/2019)</w:t>
      </w:r>
    </w:p>
    <w:bookmarkEnd w:id="21"/>
    <w:p w14:paraId="19445C4C" w14:textId="77777777" w:rsidR="00615A1B" w:rsidRDefault="00615A1B" w:rsidP="00615A1B">
      <w:pPr>
        <w:jc w:val="both"/>
        <w:rPr>
          <w:rFonts w:ascii="Arial Narrow" w:hAnsi="Arial Narrow" w:cs="Arial"/>
          <w:sz w:val="24"/>
          <w:szCs w:val="24"/>
        </w:rPr>
      </w:pPr>
    </w:p>
    <w:p w14:paraId="0E95CC48" w14:textId="77777777" w:rsidR="00C60DD6" w:rsidRDefault="00C60DD6" w:rsidP="00615A1B">
      <w:pPr>
        <w:jc w:val="both"/>
        <w:rPr>
          <w:rFonts w:ascii="Arial Narrow" w:hAnsi="Arial Narrow" w:cs="Arial"/>
          <w:sz w:val="24"/>
          <w:szCs w:val="24"/>
        </w:rPr>
      </w:pPr>
    </w:p>
    <w:p w14:paraId="6E9599DC" w14:textId="77777777" w:rsidR="00615A1B" w:rsidRDefault="00615A1B" w:rsidP="00615A1B">
      <w:pPr>
        <w:jc w:val="both"/>
      </w:pPr>
      <w:bookmarkStart w:id="22" w:name="_Hlk35423582"/>
      <w:r>
        <w:rPr>
          <w:rFonts w:ascii="Arial Narrow" w:hAnsi="Arial Narrow" w:cs="Arial"/>
          <w:b/>
          <w:bCs/>
          <w:sz w:val="24"/>
          <w:szCs w:val="24"/>
        </w:rPr>
        <w:t>PRESIDENTA:</w:t>
      </w:r>
    </w:p>
    <w:p w14:paraId="7C3C8D58"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Dña. Carolina </w:t>
      </w:r>
      <w:proofErr w:type="spellStart"/>
      <w:r>
        <w:rPr>
          <w:rFonts w:ascii="Arial Narrow" w:hAnsi="Arial Narrow" w:cs="Arial"/>
          <w:sz w:val="24"/>
          <w:szCs w:val="24"/>
        </w:rPr>
        <w:t>Darias</w:t>
      </w:r>
      <w:proofErr w:type="spellEnd"/>
      <w:r>
        <w:rPr>
          <w:rFonts w:ascii="Arial Narrow" w:hAnsi="Arial Narrow" w:cs="Arial"/>
          <w:sz w:val="24"/>
          <w:szCs w:val="24"/>
        </w:rPr>
        <w:t xml:space="preserve"> San Sebastián</w:t>
      </w:r>
    </w:p>
    <w:p w14:paraId="3A07760F" w14:textId="77777777" w:rsidR="00615A1B" w:rsidRDefault="00615A1B" w:rsidP="00615A1B">
      <w:pPr>
        <w:jc w:val="both"/>
        <w:rPr>
          <w:rFonts w:ascii="Arial Narrow" w:hAnsi="Arial Narrow" w:cs="Arial"/>
          <w:b/>
          <w:bCs/>
          <w:sz w:val="24"/>
          <w:szCs w:val="24"/>
        </w:rPr>
      </w:pPr>
    </w:p>
    <w:p w14:paraId="4B48F87D" w14:textId="77777777" w:rsidR="00615A1B" w:rsidRDefault="00615A1B" w:rsidP="00615A1B">
      <w:pPr>
        <w:jc w:val="both"/>
        <w:rPr>
          <w:rFonts w:ascii="Arial Narrow" w:hAnsi="Arial Narrow" w:cs="Arial"/>
          <w:b/>
          <w:bCs/>
          <w:sz w:val="24"/>
          <w:szCs w:val="24"/>
        </w:rPr>
      </w:pPr>
      <w:r>
        <w:rPr>
          <w:rFonts w:ascii="Arial Narrow" w:hAnsi="Arial Narrow" w:cs="Arial"/>
          <w:b/>
          <w:bCs/>
          <w:sz w:val="24"/>
          <w:szCs w:val="24"/>
        </w:rPr>
        <w:t>VICEPRESIDENTE:</w:t>
      </w:r>
    </w:p>
    <w:p w14:paraId="4971A17C" w14:textId="77777777" w:rsidR="00615A1B" w:rsidRDefault="00615A1B" w:rsidP="00615A1B">
      <w:pPr>
        <w:jc w:val="both"/>
        <w:rPr>
          <w:rFonts w:ascii="Arial Narrow" w:hAnsi="Arial Narrow" w:cs="Arial"/>
          <w:sz w:val="24"/>
          <w:szCs w:val="24"/>
        </w:rPr>
      </w:pPr>
      <w:r>
        <w:rPr>
          <w:rFonts w:ascii="Arial Narrow" w:hAnsi="Arial Narrow" w:cs="Arial"/>
          <w:sz w:val="24"/>
          <w:szCs w:val="24"/>
        </w:rPr>
        <w:t>D. José Moya Otero</w:t>
      </w:r>
    </w:p>
    <w:p w14:paraId="274CF63A" w14:textId="77777777" w:rsidR="00615A1B" w:rsidRDefault="00615A1B" w:rsidP="00615A1B">
      <w:pPr>
        <w:jc w:val="both"/>
        <w:rPr>
          <w:rFonts w:ascii="Arial Narrow" w:hAnsi="Arial Narrow" w:cs="Arial"/>
          <w:sz w:val="24"/>
          <w:szCs w:val="24"/>
        </w:rPr>
      </w:pPr>
    </w:p>
    <w:p w14:paraId="4E8EE34A" w14:textId="77777777" w:rsidR="00615A1B" w:rsidRDefault="00615A1B" w:rsidP="00615A1B">
      <w:pPr>
        <w:jc w:val="both"/>
      </w:pPr>
      <w:r>
        <w:rPr>
          <w:rFonts w:ascii="Arial Narrow" w:hAnsi="Arial Narrow" w:cs="Arial"/>
          <w:b/>
          <w:bCs/>
          <w:sz w:val="24"/>
          <w:szCs w:val="24"/>
        </w:rPr>
        <w:t>VOCALES:</w:t>
      </w:r>
      <w:r>
        <w:rPr>
          <w:rFonts w:ascii="Arial Narrow" w:hAnsi="Arial Narrow" w:cs="Arial"/>
          <w:sz w:val="24"/>
          <w:szCs w:val="24"/>
        </w:rPr>
        <w:t xml:space="preserve"> </w:t>
      </w:r>
    </w:p>
    <w:p w14:paraId="5AB26E04" w14:textId="77777777" w:rsidR="00615A1B" w:rsidRDefault="00615A1B" w:rsidP="00615A1B">
      <w:pPr>
        <w:jc w:val="both"/>
        <w:rPr>
          <w:rFonts w:ascii="Arial Narrow" w:hAnsi="Arial Narrow" w:cs="Arial"/>
          <w:sz w:val="24"/>
          <w:szCs w:val="24"/>
        </w:rPr>
      </w:pPr>
      <w:r>
        <w:rPr>
          <w:rFonts w:ascii="Arial Narrow" w:hAnsi="Arial Narrow" w:cs="Arial"/>
          <w:sz w:val="24"/>
          <w:szCs w:val="24"/>
        </w:rPr>
        <w:t>D. Laureano Pérez Rodríguez</w:t>
      </w:r>
    </w:p>
    <w:p w14:paraId="0A336B05" w14:textId="77777777" w:rsidR="00615A1B" w:rsidRDefault="00615A1B" w:rsidP="00615A1B">
      <w:pPr>
        <w:jc w:val="both"/>
        <w:rPr>
          <w:rFonts w:ascii="Arial Narrow" w:hAnsi="Arial Narrow" w:cs="Arial"/>
          <w:sz w:val="24"/>
          <w:szCs w:val="24"/>
        </w:rPr>
      </w:pPr>
      <w:r>
        <w:rPr>
          <w:rFonts w:ascii="Arial Narrow" w:hAnsi="Arial Narrow" w:cs="Arial"/>
          <w:sz w:val="24"/>
          <w:szCs w:val="24"/>
        </w:rPr>
        <w:t>D. Gustavo Santana Martel</w:t>
      </w:r>
    </w:p>
    <w:p w14:paraId="719D50F1" w14:textId="77777777" w:rsidR="00615A1B" w:rsidRDefault="00615A1B" w:rsidP="00615A1B">
      <w:pPr>
        <w:jc w:val="both"/>
        <w:rPr>
          <w:rFonts w:ascii="Arial Narrow" w:hAnsi="Arial Narrow" w:cs="Arial"/>
          <w:sz w:val="24"/>
          <w:szCs w:val="24"/>
        </w:rPr>
      </w:pPr>
      <w:r>
        <w:rPr>
          <w:rFonts w:ascii="Arial Narrow" w:hAnsi="Arial Narrow" w:cs="Arial"/>
          <w:sz w:val="24"/>
          <w:szCs w:val="24"/>
        </w:rPr>
        <w:t>D. Antonio Aparicio Juan</w:t>
      </w:r>
    </w:p>
    <w:p w14:paraId="3B371B3F" w14:textId="77777777" w:rsidR="00615A1B" w:rsidRDefault="00615A1B" w:rsidP="00615A1B">
      <w:pPr>
        <w:jc w:val="both"/>
        <w:rPr>
          <w:rFonts w:ascii="Arial Narrow" w:hAnsi="Arial Narrow" w:cs="Arial"/>
          <w:sz w:val="24"/>
          <w:szCs w:val="24"/>
        </w:rPr>
      </w:pPr>
      <w:r>
        <w:rPr>
          <w:rFonts w:ascii="Arial Narrow" w:hAnsi="Arial Narrow" w:cs="Arial"/>
          <w:sz w:val="24"/>
          <w:szCs w:val="24"/>
        </w:rPr>
        <w:t>D. Miguel Ángel Pérez Hernández</w:t>
      </w:r>
    </w:p>
    <w:p w14:paraId="4C1D16BA"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D. José Julián </w:t>
      </w:r>
      <w:proofErr w:type="spellStart"/>
      <w:r>
        <w:rPr>
          <w:rFonts w:ascii="Arial Narrow" w:hAnsi="Arial Narrow" w:cs="Arial"/>
          <w:sz w:val="24"/>
          <w:szCs w:val="24"/>
        </w:rPr>
        <w:t>Isturitz</w:t>
      </w:r>
      <w:proofErr w:type="spellEnd"/>
      <w:r>
        <w:rPr>
          <w:rFonts w:ascii="Arial Narrow" w:hAnsi="Arial Narrow" w:cs="Arial"/>
          <w:sz w:val="24"/>
          <w:szCs w:val="24"/>
        </w:rPr>
        <w:t xml:space="preserve"> Pérez</w:t>
      </w:r>
    </w:p>
    <w:p w14:paraId="12FDCB6B" w14:textId="77777777" w:rsidR="00615A1B" w:rsidRDefault="00615A1B" w:rsidP="00615A1B">
      <w:pPr>
        <w:jc w:val="both"/>
        <w:rPr>
          <w:rFonts w:ascii="Arial Narrow" w:hAnsi="Arial Narrow" w:cs="Arial"/>
          <w:sz w:val="24"/>
          <w:szCs w:val="24"/>
        </w:rPr>
      </w:pPr>
      <w:r>
        <w:rPr>
          <w:rFonts w:ascii="Arial Narrow" w:hAnsi="Arial Narrow" w:cs="Arial"/>
          <w:sz w:val="24"/>
          <w:szCs w:val="24"/>
        </w:rPr>
        <w:t>D. Justo Jesús Artiles Sánchez</w:t>
      </w:r>
      <w:bookmarkEnd w:id="22"/>
    </w:p>
    <w:p w14:paraId="2D71864A" w14:textId="77777777" w:rsidR="00615A1B" w:rsidRDefault="00615A1B" w:rsidP="00615A1B">
      <w:pPr>
        <w:jc w:val="both"/>
        <w:rPr>
          <w:rFonts w:ascii="Arial Narrow" w:hAnsi="Arial Narrow" w:cs="Arial"/>
          <w:sz w:val="24"/>
          <w:szCs w:val="24"/>
        </w:rPr>
      </w:pPr>
    </w:p>
    <w:p w14:paraId="7739841F" w14:textId="77777777" w:rsidR="00615A1B" w:rsidRDefault="00615A1B" w:rsidP="00615A1B">
      <w:pPr>
        <w:jc w:val="both"/>
        <w:rPr>
          <w:rFonts w:ascii="Arial Narrow" w:hAnsi="Arial Narrow" w:cs="Arial"/>
          <w:sz w:val="24"/>
          <w:szCs w:val="24"/>
        </w:rPr>
      </w:pPr>
    </w:p>
    <w:p w14:paraId="748E7EC9" w14:textId="77777777" w:rsidR="00615A1B" w:rsidRDefault="00615A1B" w:rsidP="00615A1B">
      <w:pPr>
        <w:jc w:val="both"/>
        <w:rPr>
          <w:rFonts w:ascii="Arial Narrow" w:hAnsi="Arial Narrow" w:cs="Arial"/>
          <w:sz w:val="24"/>
          <w:szCs w:val="24"/>
        </w:rPr>
      </w:pPr>
    </w:p>
    <w:p w14:paraId="19A2EA05" w14:textId="77777777" w:rsidR="00615A1B" w:rsidRDefault="00615A1B" w:rsidP="00615A1B">
      <w:pPr>
        <w:jc w:val="both"/>
        <w:rPr>
          <w:rFonts w:ascii="Arial Narrow" w:hAnsi="Arial Narrow" w:cs="Arial"/>
          <w:sz w:val="24"/>
          <w:szCs w:val="24"/>
        </w:rPr>
      </w:pPr>
    </w:p>
    <w:p w14:paraId="19F8852E" w14:textId="77777777" w:rsidR="00615A1B" w:rsidRDefault="00615A1B" w:rsidP="00615A1B">
      <w:pPr>
        <w:jc w:val="both"/>
        <w:rPr>
          <w:rFonts w:ascii="Arial Narrow" w:hAnsi="Arial Narrow" w:cs="Arial"/>
          <w:sz w:val="24"/>
          <w:szCs w:val="24"/>
        </w:rPr>
      </w:pPr>
    </w:p>
    <w:p w14:paraId="74C5B494" w14:textId="77777777" w:rsidR="00615A1B" w:rsidRDefault="00615A1B" w:rsidP="00615A1B">
      <w:pPr>
        <w:jc w:val="center"/>
        <w:rPr>
          <w:rFonts w:ascii="Arial Narrow" w:hAnsi="Arial Narrow" w:cs="Arial"/>
          <w:b/>
          <w:bCs/>
          <w:sz w:val="24"/>
          <w:szCs w:val="24"/>
        </w:rPr>
      </w:pPr>
      <w:r>
        <w:rPr>
          <w:rFonts w:ascii="Arial Narrow" w:hAnsi="Arial Narrow" w:cs="Arial"/>
          <w:b/>
          <w:bCs/>
          <w:sz w:val="24"/>
          <w:szCs w:val="24"/>
        </w:rPr>
        <w:t xml:space="preserve">COMPOSICIÓN CONSEJO DE ADMINISTRACIÓN EJERCICIO 2020 </w:t>
      </w:r>
    </w:p>
    <w:p w14:paraId="5FAD8920" w14:textId="77777777" w:rsidR="00615A1B" w:rsidRDefault="00615A1B" w:rsidP="00615A1B">
      <w:pPr>
        <w:jc w:val="center"/>
      </w:pPr>
      <w:r>
        <w:rPr>
          <w:rFonts w:ascii="Arial Narrow" w:hAnsi="Arial Narrow" w:cs="Arial"/>
          <w:b/>
          <w:bCs/>
          <w:sz w:val="24"/>
          <w:szCs w:val="24"/>
        </w:rPr>
        <w:t>(desde la Junta de 14/02/2020)</w:t>
      </w:r>
    </w:p>
    <w:p w14:paraId="1F72781A" w14:textId="77777777" w:rsidR="00615A1B" w:rsidRDefault="00615A1B" w:rsidP="00615A1B">
      <w:pPr>
        <w:jc w:val="both"/>
        <w:rPr>
          <w:rFonts w:ascii="Arial Narrow" w:hAnsi="Arial Narrow" w:cs="Arial"/>
          <w:b/>
          <w:bCs/>
          <w:sz w:val="24"/>
          <w:szCs w:val="24"/>
        </w:rPr>
      </w:pPr>
    </w:p>
    <w:p w14:paraId="0576515E" w14:textId="77777777" w:rsidR="00615A1B" w:rsidRDefault="00615A1B" w:rsidP="00615A1B">
      <w:pPr>
        <w:jc w:val="both"/>
      </w:pPr>
      <w:r>
        <w:rPr>
          <w:rFonts w:ascii="Arial Narrow" w:hAnsi="Arial Narrow" w:cs="Arial"/>
          <w:b/>
          <w:bCs/>
          <w:sz w:val="24"/>
          <w:szCs w:val="24"/>
        </w:rPr>
        <w:t>PRESIDENTA:</w:t>
      </w:r>
    </w:p>
    <w:p w14:paraId="271C4769" w14:textId="77777777" w:rsidR="00615A1B" w:rsidRDefault="00615A1B" w:rsidP="00615A1B">
      <w:pPr>
        <w:jc w:val="both"/>
        <w:rPr>
          <w:rFonts w:ascii="Arial Narrow" w:hAnsi="Arial Narrow" w:cs="Arial"/>
          <w:sz w:val="24"/>
          <w:szCs w:val="24"/>
        </w:rPr>
      </w:pPr>
      <w:r>
        <w:rPr>
          <w:rFonts w:ascii="Arial Narrow" w:hAnsi="Arial Narrow" w:cs="Arial"/>
          <w:sz w:val="24"/>
          <w:szCs w:val="24"/>
        </w:rPr>
        <w:t>Dña. Elena Máñez Rodríguez</w:t>
      </w:r>
    </w:p>
    <w:p w14:paraId="02EC4CD5" w14:textId="77777777" w:rsidR="00615A1B" w:rsidRDefault="00615A1B" w:rsidP="00615A1B">
      <w:pPr>
        <w:jc w:val="both"/>
        <w:rPr>
          <w:rFonts w:ascii="Arial Narrow" w:hAnsi="Arial Narrow" w:cs="Arial"/>
          <w:b/>
          <w:bCs/>
          <w:sz w:val="24"/>
          <w:szCs w:val="24"/>
        </w:rPr>
      </w:pPr>
    </w:p>
    <w:p w14:paraId="3E4C3802" w14:textId="77777777" w:rsidR="00615A1B" w:rsidRDefault="00615A1B" w:rsidP="00615A1B">
      <w:pPr>
        <w:jc w:val="both"/>
      </w:pPr>
      <w:r>
        <w:rPr>
          <w:rFonts w:ascii="Arial Narrow" w:hAnsi="Arial Narrow" w:cs="Arial"/>
          <w:b/>
          <w:bCs/>
          <w:sz w:val="24"/>
          <w:szCs w:val="24"/>
        </w:rPr>
        <w:t>VOCALES:</w:t>
      </w:r>
      <w:r>
        <w:rPr>
          <w:rFonts w:ascii="Arial Narrow" w:hAnsi="Arial Narrow" w:cs="Arial"/>
          <w:sz w:val="24"/>
          <w:szCs w:val="24"/>
        </w:rPr>
        <w:t xml:space="preserve"> </w:t>
      </w:r>
    </w:p>
    <w:p w14:paraId="0D0D7A27" w14:textId="77777777" w:rsidR="00615A1B" w:rsidRDefault="00615A1B" w:rsidP="00615A1B">
      <w:pPr>
        <w:jc w:val="both"/>
        <w:rPr>
          <w:rFonts w:ascii="Arial Narrow" w:hAnsi="Arial Narrow" w:cs="Arial"/>
          <w:sz w:val="24"/>
          <w:szCs w:val="24"/>
        </w:rPr>
      </w:pPr>
      <w:r>
        <w:rPr>
          <w:rFonts w:ascii="Arial Narrow" w:hAnsi="Arial Narrow" w:cs="Arial"/>
          <w:sz w:val="24"/>
          <w:szCs w:val="24"/>
        </w:rPr>
        <w:t>D. Laureano Pérez Rodríguez</w:t>
      </w:r>
    </w:p>
    <w:p w14:paraId="5913D0FB" w14:textId="77777777" w:rsidR="00615A1B" w:rsidRDefault="00615A1B" w:rsidP="00615A1B">
      <w:pPr>
        <w:jc w:val="both"/>
        <w:rPr>
          <w:rFonts w:ascii="Arial Narrow" w:hAnsi="Arial Narrow" w:cs="Arial"/>
          <w:sz w:val="24"/>
          <w:szCs w:val="24"/>
        </w:rPr>
      </w:pPr>
      <w:r>
        <w:rPr>
          <w:rFonts w:ascii="Arial Narrow" w:hAnsi="Arial Narrow" w:cs="Arial"/>
          <w:sz w:val="24"/>
          <w:szCs w:val="24"/>
        </w:rPr>
        <w:t>D. Gustavo Santana Martel</w:t>
      </w:r>
    </w:p>
    <w:p w14:paraId="68450A78" w14:textId="77777777" w:rsidR="00615A1B" w:rsidRDefault="00615A1B" w:rsidP="00615A1B">
      <w:pPr>
        <w:jc w:val="both"/>
        <w:rPr>
          <w:rFonts w:ascii="Arial Narrow" w:hAnsi="Arial Narrow" w:cs="Arial"/>
          <w:sz w:val="24"/>
          <w:szCs w:val="24"/>
        </w:rPr>
      </w:pPr>
      <w:r>
        <w:rPr>
          <w:rFonts w:ascii="Arial Narrow" w:hAnsi="Arial Narrow" w:cs="Arial"/>
          <w:sz w:val="24"/>
          <w:szCs w:val="24"/>
        </w:rPr>
        <w:t>D. Antonio Aparicio Juan</w:t>
      </w:r>
    </w:p>
    <w:p w14:paraId="3BAF7CE7" w14:textId="77777777" w:rsidR="00615A1B" w:rsidRDefault="00615A1B" w:rsidP="00615A1B">
      <w:pPr>
        <w:jc w:val="both"/>
        <w:rPr>
          <w:rFonts w:ascii="Arial Narrow" w:hAnsi="Arial Narrow" w:cs="Arial"/>
          <w:sz w:val="24"/>
          <w:szCs w:val="24"/>
        </w:rPr>
      </w:pPr>
      <w:r>
        <w:rPr>
          <w:rFonts w:ascii="Arial Narrow" w:hAnsi="Arial Narrow" w:cs="Arial"/>
          <w:sz w:val="24"/>
          <w:szCs w:val="24"/>
        </w:rPr>
        <w:t>D. Miguel Ángel Pérez Hernández</w:t>
      </w:r>
    </w:p>
    <w:p w14:paraId="5657858E" w14:textId="77777777" w:rsidR="00615A1B" w:rsidRDefault="00615A1B" w:rsidP="00615A1B">
      <w:pPr>
        <w:jc w:val="both"/>
        <w:rPr>
          <w:rFonts w:ascii="Arial Narrow" w:hAnsi="Arial Narrow" w:cs="Arial"/>
          <w:sz w:val="24"/>
          <w:szCs w:val="24"/>
        </w:rPr>
      </w:pPr>
      <w:r>
        <w:rPr>
          <w:rFonts w:ascii="Arial Narrow" w:hAnsi="Arial Narrow" w:cs="Arial"/>
          <w:sz w:val="24"/>
          <w:szCs w:val="24"/>
        </w:rPr>
        <w:t xml:space="preserve">D. José Julián </w:t>
      </w:r>
      <w:proofErr w:type="spellStart"/>
      <w:r>
        <w:rPr>
          <w:rFonts w:ascii="Arial Narrow" w:hAnsi="Arial Narrow" w:cs="Arial"/>
          <w:sz w:val="24"/>
          <w:szCs w:val="24"/>
        </w:rPr>
        <w:t>Isturitz</w:t>
      </w:r>
      <w:proofErr w:type="spellEnd"/>
      <w:r>
        <w:rPr>
          <w:rFonts w:ascii="Arial Narrow" w:hAnsi="Arial Narrow" w:cs="Arial"/>
          <w:sz w:val="24"/>
          <w:szCs w:val="24"/>
        </w:rPr>
        <w:t xml:space="preserve"> Pérez</w:t>
      </w:r>
    </w:p>
    <w:p w14:paraId="76AB780B" w14:textId="77777777" w:rsidR="00615A1B" w:rsidRDefault="00615A1B" w:rsidP="00615A1B">
      <w:pPr>
        <w:jc w:val="both"/>
        <w:rPr>
          <w:rFonts w:ascii="Arial Narrow" w:hAnsi="Arial Narrow" w:cs="Arial"/>
          <w:sz w:val="24"/>
          <w:szCs w:val="24"/>
        </w:rPr>
      </w:pPr>
      <w:r>
        <w:rPr>
          <w:rFonts w:ascii="Arial Narrow" w:hAnsi="Arial Narrow" w:cs="Arial"/>
          <w:sz w:val="24"/>
          <w:szCs w:val="24"/>
        </w:rPr>
        <w:t>D. Justo Jesús Artiles Sánchez</w:t>
      </w:r>
    </w:p>
    <w:p w14:paraId="2B292792" w14:textId="77777777" w:rsidR="00615A1B" w:rsidRDefault="00615A1B" w:rsidP="00615A1B">
      <w:pPr>
        <w:keepNext/>
        <w:keepLines/>
        <w:jc w:val="both"/>
        <w:rPr>
          <w:rFonts w:ascii="Arial Narrow" w:hAnsi="Arial Narrow" w:cs="Arial"/>
          <w:b/>
          <w:sz w:val="24"/>
          <w:szCs w:val="24"/>
        </w:rPr>
      </w:pPr>
    </w:p>
    <w:p w14:paraId="2B755E5D" w14:textId="77777777" w:rsidR="00C60DD6" w:rsidRDefault="00C60DD6" w:rsidP="00615A1B">
      <w:pPr>
        <w:keepNext/>
        <w:keepLines/>
        <w:jc w:val="both"/>
        <w:rPr>
          <w:rFonts w:ascii="Arial Narrow" w:hAnsi="Arial Narrow" w:cs="Arial"/>
          <w:b/>
          <w:sz w:val="24"/>
          <w:szCs w:val="24"/>
        </w:rPr>
      </w:pPr>
    </w:p>
    <w:p w14:paraId="64DFE354" w14:textId="77777777" w:rsidR="00615A1B" w:rsidRDefault="00615A1B" w:rsidP="00615A1B">
      <w:pPr>
        <w:jc w:val="both"/>
        <w:rPr>
          <w:rFonts w:ascii="Arial Narrow" w:hAnsi="Arial Narrow" w:cs="Arial"/>
          <w:sz w:val="24"/>
          <w:szCs w:val="24"/>
        </w:rPr>
      </w:pPr>
      <w:r>
        <w:rPr>
          <w:rFonts w:ascii="Arial Narrow" w:hAnsi="Arial Narrow" w:cs="Arial"/>
          <w:sz w:val="24"/>
          <w:szCs w:val="24"/>
        </w:rPr>
        <w:t>Por último, indicar como acuerdos reseñables, aprobados por el Consejo de Administración durante el ejercicio 2019, los que a continuación se enumeran:</w:t>
      </w:r>
    </w:p>
    <w:p w14:paraId="7C20FECE" w14:textId="77777777" w:rsidR="00615A1B" w:rsidRDefault="00615A1B" w:rsidP="009C5E01">
      <w:pPr>
        <w:pStyle w:val="PARRAFO1"/>
        <w:numPr>
          <w:ilvl w:val="0"/>
          <w:numId w:val="24"/>
        </w:numPr>
        <w:autoSpaceDN w:val="0"/>
        <w:spacing w:before="0" w:line="240" w:lineRule="auto"/>
        <w:ind w:left="714" w:hanging="357"/>
      </w:pPr>
      <w:r>
        <w:rPr>
          <w:rFonts w:ascii="Arial Narrow" w:hAnsi="Arial Narrow"/>
          <w:szCs w:val="24"/>
        </w:rPr>
        <w:t>Realización de los preceptivos Informes de Cumplimiento del 4º trimestre del ejercicio 2018, y del 1</w:t>
      </w:r>
      <w:r>
        <w:rPr>
          <w:rFonts w:ascii="Arial Narrow" w:hAnsi="Arial Narrow"/>
          <w:szCs w:val="24"/>
          <w:vertAlign w:val="superscript"/>
        </w:rPr>
        <w:t>er</w:t>
      </w:r>
      <w:r>
        <w:rPr>
          <w:rFonts w:ascii="Arial Narrow" w:hAnsi="Arial Narrow"/>
          <w:szCs w:val="24"/>
        </w:rPr>
        <w:t>, 2º y 3</w:t>
      </w:r>
      <w:r>
        <w:rPr>
          <w:rFonts w:ascii="Arial Narrow" w:hAnsi="Arial Narrow"/>
          <w:szCs w:val="24"/>
          <w:vertAlign w:val="superscript"/>
        </w:rPr>
        <w:t>er</w:t>
      </w:r>
      <w:r>
        <w:rPr>
          <w:rFonts w:ascii="Arial Narrow" w:hAnsi="Arial Narrow"/>
          <w:szCs w:val="24"/>
        </w:rPr>
        <w:t xml:space="preserve"> trimestre del ejercicio 2019 por la Dirección del ITC, conforme a lo dispuesto en las “Medidas de Racionalización del Sector Público Empresarial de la Comunidad Autónoma de Canarias”.</w:t>
      </w:r>
    </w:p>
    <w:p w14:paraId="18DC1741" w14:textId="77777777" w:rsidR="00615A1B" w:rsidRDefault="00615A1B" w:rsidP="009C5E01">
      <w:pPr>
        <w:pStyle w:val="PARRAFO1"/>
        <w:numPr>
          <w:ilvl w:val="0"/>
          <w:numId w:val="24"/>
        </w:numPr>
        <w:tabs>
          <w:tab w:val="left" w:pos="714"/>
        </w:tabs>
        <w:autoSpaceDN w:val="0"/>
        <w:spacing w:before="0" w:line="240" w:lineRule="auto"/>
        <w:ind w:left="714" w:hanging="357"/>
        <w:rPr>
          <w:rFonts w:ascii="Arial Narrow" w:hAnsi="Arial Narrow"/>
          <w:szCs w:val="24"/>
        </w:rPr>
      </w:pPr>
      <w:r>
        <w:rPr>
          <w:rFonts w:ascii="Arial Narrow" w:hAnsi="Arial Narrow"/>
          <w:szCs w:val="24"/>
        </w:rPr>
        <w:t>Formulación de las cuentas anuales, el informe de gestión y la aplicación de resultado del ejercicio 2018, y su elevación a la Junta General de la Sociedad con propuesta de aprobación.</w:t>
      </w:r>
    </w:p>
    <w:p w14:paraId="4E74DA2D" w14:textId="77777777" w:rsidR="00615A1B" w:rsidRDefault="00615A1B" w:rsidP="009C5E01">
      <w:pPr>
        <w:pStyle w:val="PARRAFO1"/>
        <w:numPr>
          <w:ilvl w:val="0"/>
          <w:numId w:val="24"/>
        </w:numPr>
        <w:tabs>
          <w:tab w:val="left" w:pos="714"/>
        </w:tabs>
        <w:autoSpaceDN w:val="0"/>
        <w:spacing w:before="0" w:line="240" w:lineRule="auto"/>
        <w:ind w:left="714" w:hanging="357"/>
      </w:pPr>
      <w:r>
        <w:rPr>
          <w:rFonts w:ascii="Arial Narrow" w:hAnsi="Arial Narrow"/>
          <w:szCs w:val="24"/>
        </w:rPr>
        <w:t xml:space="preserve">Aprueba la Propuesta de Acuerdo respecto a la Prestación económica en la situación de incapacidad temporal, la Jornada de trabajo y la Recuperación de las retribuciones, </w:t>
      </w:r>
      <w:r>
        <w:rPr>
          <w:rFonts w:ascii="Arial Narrow" w:hAnsi="Arial Narrow"/>
          <w:bCs/>
          <w:iCs/>
          <w:szCs w:val="24"/>
        </w:rPr>
        <w:t xml:space="preserve">condicionada a la previa </w:t>
      </w:r>
      <w:r>
        <w:rPr>
          <w:rFonts w:ascii="Arial Narrow" w:hAnsi="Arial Narrow"/>
          <w:szCs w:val="24"/>
        </w:rPr>
        <w:t>autorización del Gobierno de Canarias, previo informe de las Direcciones Generales de Planificación y Presupuesto y de la Función Pública</w:t>
      </w:r>
      <w:r>
        <w:rPr>
          <w:rFonts w:ascii="Arial Narrow" w:hAnsi="Arial Narrow"/>
          <w:bCs/>
          <w:iCs/>
          <w:szCs w:val="24"/>
        </w:rPr>
        <w:t>.</w:t>
      </w:r>
    </w:p>
    <w:p w14:paraId="73E2C7B6" w14:textId="77777777" w:rsidR="00615A1B" w:rsidRDefault="00615A1B" w:rsidP="009C5E01">
      <w:pPr>
        <w:pStyle w:val="PARRAFO1"/>
        <w:numPr>
          <w:ilvl w:val="0"/>
          <w:numId w:val="24"/>
        </w:numPr>
        <w:tabs>
          <w:tab w:val="left" w:pos="714"/>
        </w:tabs>
        <w:autoSpaceDN w:val="0"/>
        <w:spacing w:before="0" w:line="240" w:lineRule="auto"/>
        <w:ind w:left="714" w:hanging="357"/>
      </w:pPr>
      <w:r>
        <w:rPr>
          <w:rFonts w:ascii="Arial Narrow" w:hAnsi="Arial Narrow"/>
          <w:bCs/>
          <w:szCs w:val="24"/>
          <w:lang w:val="es-ES"/>
        </w:rPr>
        <w:t>P</w:t>
      </w:r>
      <w:r>
        <w:rPr>
          <w:rFonts w:ascii="Arial Narrow" w:hAnsi="Arial Narrow"/>
          <w:bCs/>
          <w:iCs/>
          <w:szCs w:val="24"/>
          <w:lang w:val="es-ES"/>
        </w:rPr>
        <w:t xml:space="preserve">revio informe favorable de las Direcciones Generales de Planificación y Presupuesto y de la Función Pública, incrementar globalmente las retribuciones del personal de Alta Dirección del </w:t>
      </w:r>
      <w:r>
        <w:rPr>
          <w:rFonts w:ascii="Arial Narrow" w:hAnsi="Arial Narrow"/>
          <w:b/>
          <w:bCs/>
          <w:iCs/>
          <w:szCs w:val="24"/>
          <w:lang w:val="es-ES"/>
        </w:rPr>
        <w:t>ITC</w:t>
      </w:r>
      <w:r>
        <w:rPr>
          <w:rFonts w:ascii="Arial Narrow" w:hAnsi="Arial Narrow"/>
          <w:bCs/>
          <w:iCs/>
          <w:szCs w:val="24"/>
          <w:lang w:val="es-ES"/>
        </w:rPr>
        <w:t xml:space="preserve"> en un 2,25 %, respecto a las vigentes a 31 de diciembre de 2018, con efectos 1 de enero de 2019.</w:t>
      </w:r>
    </w:p>
    <w:p w14:paraId="5E148960" w14:textId="77777777" w:rsidR="00615A1B" w:rsidRDefault="00615A1B" w:rsidP="009C5E01">
      <w:pPr>
        <w:pStyle w:val="PARRAFO1"/>
        <w:numPr>
          <w:ilvl w:val="0"/>
          <w:numId w:val="24"/>
        </w:numPr>
        <w:tabs>
          <w:tab w:val="left" w:pos="-1446"/>
        </w:tabs>
        <w:autoSpaceDN w:val="0"/>
        <w:spacing w:before="0" w:line="240" w:lineRule="auto"/>
        <w:rPr>
          <w:rFonts w:ascii="Arial Narrow" w:hAnsi="Arial Narrow"/>
          <w:szCs w:val="24"/>
        </w:rPr>
      </w:pPr>
      <w:r>
        <w:rPr>
          <w:rFonts w:ascii="Arial Narrow" w:hAnsi="Arial Narrow"/>
          <w:szCs w:val="24"/>
        </w:rPr>
        <w:t>Autorizar al Gerente del ITC a que realice todos los trámites administrativos, económicos y jurídicos, con independencia de su cuantía económica, que sean necesarios para la formalización de la Escritura de Modificación de la Unión Temporal de empresas denominada "FUNDACIÓN PARQUE CIENTÍFICO TECNOLÓGICO DE LA ULPGC-INSTITUTO TECNOLÓGIO DE CANARIAS, S.A., UNIÓN TEMPORAL DE EMPRESAS, LEY 18/1982”.</w:t>
      </w:r>
    </w:p>
    <w:p w14:paraId="54E7163E" w14:textId="77777777" w:rsidR="00615A1B" w:rsidRDefault="00615A1B" w:rsidP="009C5E01">
      <w:pPr>
        <w:pStyle w:val="PARRAFO1"/>
        <w:numPr>
          <w:ilvl w:val="0"/>
          <w:numId w:val="24"/>
        </w:numPr>
        <w:tabs>
          <w:tab w:val="left" w:pos="-1446"/>
        </w:tabs>
        <w:autoSpaceDN w:val="0"/>
        <w:spacing w:before="0" w:line="240" w:lineRule="auto"/>
        <w:rPr>
          <w:rFonts w:ascii="Arial Narrow" w:hAnsi="Arial Narrow"/>
          <w:szCs w:val="24"/>
        </w:rPr>
      </w:pPr>
      <w:r>
        <w:rPr>
          <w:rFonts w:ascii="Arial Narrow" w:hAnsi="Arial Narrow"/>
          <w:szCs w:val="24"/>
        </w:rPr>
        <w:t>Autorizar al Gerente del ITC a que formalice el “Convenio de Colaboración entre la Fundación Parque Científico Tecnológico de la ULPGC e Instituto Tecnológico de Canarias, S.A., para la Gestión, Explotación, Mantenimiento y Promoción del PARQUE CIENTÍFICO TECNOLÓGICO DE LA ULPGC-INSTITUTO TECNOLÓGIO DE CANARIAS, S.A., procurando en todo caso, la mejor posición para el ITC.</w:t>
      </w:r>
    </w:p>
    <w:p w14:paraId="404D37B8" w14:textId="77777777" w:rsidR="00615A1B" w:rsidRDefault="00615A1B" w:rsidP="009C5E01">
      <w:pPr>
        <w:pStyle w:val="Prrafodelista"/>
        <w:numPr>
          <w:ilvl w:val="0"/>
          <w:numId w:val="24"/>
        </w:numPr>
        <w:autoSpaceDN w:val="0"/>
        <w:spacing w:after="120"/>
        <w:ind w:left="714" w:hanging="357"/>
        <w:jc w:val="both"/>
        <w:rPr>
          <w:rFonts w:ascii="Arial Narrow" w:hAnsi="Arial Narrow"/>
          <w:sz w:val="24"/>
          <w:szCs w:val="24"/>
        </w:rPr>
      </w:pPr>
      <w:r>
        <w:rPr>
          <w:rFonts w:ascii="Arial Narrow" w:hAnsi="Arial Narrow"/>
          <w:sz w:val="24"/>
          <w:szCs w:val="24"/>
        </w:rPr>
        <w:t>Cese y nombramiento del cargo de Presidente y Vicepresidente del Consejo de Administración.</w:t>
      </w:r>
    </w:p>
    <w:p w14:paraId="6D5F5699" w14:textId="77777777" w:rsidR="00615A1B" w:rsidRDefault="00615A1B" w:rsidP="009C5E01">
      <w:pPr>
        <w:pStyle w:val="Prrafodelista"/>
        <w:numPr>
          <w:ilvl w:val="0"/>
          <w:numId w:val="24"/>
        </w:numPr>
        <w:autoSpaceDN w:val="0"/>
        <w:spacing w:after="120"/>
        <w:ind w:left="714" w:hanging="357"/>
        <w:jc w:val="both"/>
      </w:pPr>
      <w:r>
        <w:rPr>
          <w:rFonts w:ascii="Arial Narrow" w:hAnsi="Arial Narrow" w:cs="Arial"/>
          <w:sz w:val="24"/>
          <w:szCs w:val="24"/>
          <w:lang w:val="es-ES" w:eastAsia="es-ES"/>
        </w:rPr>
        <w:t>Cese del Consejero Delegado y revocación de poderes.</w:t>
      </w:r>
    </w:p>
    <w:p w14:paraId="7D8A13BB" w14:textId="77777777" w:rsidR="00615A1B" w:rsidRDefault="00615A1B" w:rsidP="009C5E01">
      <w:pPr>
        <w:pStyle w:val="Prrafodelista"/>
        <w:numPr>
          <w:ilvl w:val="0"/>
          <w:numId w:val="24"/>
        </w:numPr>
        <w:autoSpaceDN w:val="0"/>
        <w:spacing w:after="120"/>
        <w:ind w:left="714" w:hanging="357"/>
        <w:jc w:val="both"/>
      </w:pPr>
      <w:r>
        <w:rPr>
          <w:rFonts w:ascii="Arial Narrow" w:hAnsi="Arial Narrow"/>
          <w:sz w:val="24"/>
          <w:szCs w:val="24"/>
        </w:rPr>
        <w:t>Nombramiento de Consejero Delegado y otorgamiento de poderes.</w:t>
      </w:r>
    </w:p>
    <w:p w14:paraId="3523D95B" w14:textId="77777777" w:rsidR="00615A1B" w:rsidRDefault="00615A1B" w:rsidP="009C5E01">
      <w:pPr>
        <w:pStyle w:val="Prrafodelista"/>
        <w:numPr>
          <w:ilvl w:val="0"/>
          <w:numId w:val="24"/>
        </w:numPr>
        <w:autoSpaceDN w:val="0"/>
        <w:spacing w:after="120"/>
        <w:jc w:val="both"/>
        <w:rPr>
          <w:rFonts w:ascii="Arial Narrow" w:hAnsi="Arial Narrow" w:cs="Tunga"/>
          <w:bCs/>
          <w:sz w:val="24"/>
          <w:szCs w:val="24"/>
        </w:rPr>
      </w:pPr>
      <w:r>
        <w:rPr>
          <w:rFonts w:ascii="Arial Narrow" w:hAnsi="Arial Narrow" w:cs="Tunga"/>
          <w:bCs/>
          <w:sz w:val="24"/>
          <w:szCs w:val="24"/>
        </w:rPr>
        <w:t>Aprobar la propuesta de P.A.I.F. y el marco presupuestario para el ejercicio 2020. Y su posterior actualización.</w:t>
      </w:r>
    </w:p>
    <w:p w14:paraId="3B564B9B" w14:textId="77777777" w:rsidR="00615A1B" w:rsidRDefault="00615A1B" w:rsidP="009C5E01">
      <w:pPr>
        <w:pStyle w:val="Prrafodelista"/>
        <w:numPr>
          <w:ilvl w:val="0"/>
          <w:numId w:val="24"/>
        </w:numPr>
        <w:autoSpaceDN w:val="0"/>
        <w:spacing w:after="120"/>
        <w:jc w:val="both"/>
        <w:rPr>
          <w:rFonts w:ascii="Arial Narrow" w:hAnsi="Arial Narrow" w:cs="Tunga"/>
          <w:bCs/>
          <w:sz w:val="24"/>
          <w:szCs w:val="24"/>
        </w:rPr>
      </w:pPr>
      <w:r>
        <w:rPr>
          <w:rFonts w:ascii="Arial Narrow" w:hAnsi="Arial Narrow" w:cs="Tunga"/>
          <w:bCs/>
          <w:sz w:val="24"/>
          <w:szCs w:val="24"/>
        </w:rPr>
        <w:t>Ceses y nombramientos de representantes en Empresas Participadas.</w:t>
      </w:r>
    </w:p>
    <w:p w14:paraId="789F4116" w14:textId="77777777" w:rsidR="00615A1B" w:rsidRDefault="00615A1B" w:rsidP="009C5E01">
      <w:pPr>
        <w:pStyle w:val="Prrafodelista"/>
        <w:numPr>
          <w:ilvl w:val="0"/>
          <w:numId w:val="24"/>
        </w:numPr>
        <w:autoSpaceDN w:val="0"/>
        <w:spacing w:after="120"/>
        <w:jc w:val="both"/>
        <w:rPr>
          <w:rFonts w:ascii="Arial Narrow" w:hAnsi="Arial Narrow" w:cs="Tunga"/>
          <w:bCs/>
          <w:sz w:val="24"/>
          <w:szCs w:val="24"/>
        </w:rPr>
      </w:pPr>
      <w:r>
        <w:rPr>
          <w:rFonts w:ascii="Arial Narrow" w:hAnsi="Arial Narrow" w:cs="Tunga"/>
          <w:bCs/>
          <w:sz w:val="24"/>
          <w:szCs w:val="24"/>
        </w:rPr>
        <w:t>Actualización Tarifas Encargos de servicios ITC 2020.</w:t>
      </w:r>
    </w:p>
    <w:p w14:paraId="1090E9A6" w14:textId="77777777" w:rsidR="00615A1B" w:rsidRDefault="00615A1B" w:rsidP="009C5E01">
      <w:pPr>
        <w:pStyle w:val="Prrafodelista"/>
        <w:numPr>
          <w:ilvl w:val="0"/>
          <w:numId w:val="24"/>
        </w:numPr>
        <w:autoSpaceDN w:val="0"/>
        <w:spacing w:after="120"/>
        <w:jc w:val="both"/>
      </w:pPr>
      <w:r>
        <w:rPr>
          <w:rFonts w:ascii="Arial Narrow" w:hAnsi="Arial Narrow" w:cs="Tunga"/>
          <w:bCs/>
          <w:sz w:val="24"/>
          <w:szCs w:val="24"/>
        </w:rPr>
        <w:t xml:space="preserve">Autorización asistencia Junta General Instituto Tecnológico y de Energías Renovables, S.A. </w:t>
      </w:r>
      <w:r>
        <w:rPr>
          <w:rFonts w:ascii="Arial Narrow" w:hAnsi="Arial Narrow" w:cs="Tunga"/>
          <w:bCs/>
          <w:sz w:val="24"/>
          <w:szCs w:val="24"/>
          <w:lang w:val="es-ES"/>
        </w:rPr>
        <w:t xml:space="preserve">el día 10 de octubre de 2019. </w:t>
      </w:r>
      <w:r>
        <w:rPr>
          <w:rFonts w:ascii="Arial Narrow" w:hAnsi="Arial Narrow" w:cs="Tunga"/>
          <w:bCs/>
          <w:sz w:val="24"/>
          <w:szCs w:val="24"/>
        </w:rPr>
        <w:t>Igualmente se autoriza a Don Gabriel Megías Martínez, para que acepte el nombramiento del INSTITUTO TECNOLÓGICO DE CANARIAS, S.A., como Consejero persona jurídica en el Consejo de Administración de la sociedad participada “INSTITUTO TECNOLÓGICO Y DE ENERGÍAS RENOVABLES, S.A.”</w:t>
      </w:r>
    </w:p>
    <w:p w14:paraId="22603423" w14:textId="77777777" w:rsidR="00615A1B" w:rsidRDefault="00615A1B" w:rsidP="009C5E01">
      <w:pPr>
        <w:pStyle w:val="Prrafodelista"/>
        <w:numPr>
          <w:ilvl w:val="0"/>
          <w:numId w:val="24"/>
        </w:numPr>
        <w:autoSpaceDN w:val="0"/>
        <w:spacing w:after="120"/>
        <w:jc w:val="both"/>
      </w:pPr>
      <w:r>
        <w:rPr>
          <w:rFonts w:ascii="Arial Narrow" w:hAnsi="Arial Narrow" w:cs="Tunga"/>
          <w:bCs/>
          <w:sz w:val="24"/>
          <w:szCs w:val="24"/>
        </w:rPr>
        <w:t>Autorización asistencia Junta General Desarrollos Eólicos de Canarias, S.A.</w:t>
      </w:r>
      <w:r>
        <w:rPr>
          <w:rFonts w:ascii="Arial Narrow" w:hAnsi="Arial Narrow" w:cs="Arial"/>
          <w:bCs/>
          <w:sz w:val="24"/>
          <w:szCs w:val="24"/>
          <w:lang w:eastAsia="es-ES"/>
        </w:rPr>
        <w:t xml:space="preserve"> el día 7 de octubre de 2019</w:t>
      </w:r>
    </w:p>
    <w:p w14:paraId="5FBCEA58" w14:textId="77777777" w:rsidR="00615A1B" w:rsidRDefault="00615A1B" w:rsidP="009C5E01">
      <w:pPr>
        <w:pStyle w:val="Prrafodelista"/>
        <w:numPr>
          <w:ilvl w:val="0"/>
          <w:numId w:val="24"/>
        </w:numPr>
        <w:autoSpaceDN w:val="0"/>
        <w:spacing w:after="120"/>
        <w:jc w:val="both"/>
        <w:rPr>
          <w:rFonts w:ascii="Arial Narrow" w:hAnsi="Arial Narrow" w:cs="Tunga"/>
          <w:bCs/>
          <w:sz w:val="24"/>
          <w:szCs w:val="24"/>
        </w:rPr>
      </w:pPr>
      <w:r>
        <w:rPr>
          <w:rFonts w:ascii="Arial Narrow" w:hAnsi="Arial Narrow" w:cs="Tunga"/>
          <w:bCs/>
          <w:sz w:val="24"/>
          <w:szCs w:val="24"/>
        </w:rPr>
        <w:t>Aprobación del Informe de variación del PAIF 2019.</w:t>
      </w:r>
    </w:p>
    <w:p w14:paraId="6D7724AE" w14:textId="77777777" w:rsidR="00615A1B" w:rsidRPr="00197FDF" w:rsidRDefault="00615A1B" w:rsidP="009C5E01">
      <w:pPr>
        <w:pStyle w:val="Prrafodelista"/>
        <w:numPr>
          <w:ilvl w:val="0"/>
          <w:numId w:val="24"/>
        </w:numPr>
        <w:autoSpaceDN w:val="0"/>
        <w:spacing w:after="120"/>
        <w:jc w:val="both"/>
        <w:rPr>
          <w:rFonts w:ascii="Arial Narrow" w:hAnsi="Arial Narrow" w:cs="Tunga"/>
          <w:bCs/>
          <w:sz w:val="24"/>
          <w:szCs w:val="24"/>
        </w:rPr>
      </w:pPr>
      <w:r w:rsidRPr="00197FDF">
        <w:rPr>
          <w:rFonts w:ascii="Arial Narrow" w:hAnsi="Arial Narrow" w:cs="Tunga"/>
          <w:bCs/>
          <w:sz w:val="24"/>
          <w:szCs w:val="24"/>
        </w:rPr>
        <w:t>El Consejo de Administración aprueba por unanimidad que a efectos de este Acuerdo de Gobierno sólo podrá ser considerado como directivo público, el Gerente del ITC al carecer el Director de I+D +i, de poderes inherentes a la titularidad jurídica de la Empresa</w:t>
      </w:r>
    </w:p>
    <w:p w14:paraId="0EC72AF0" w14:textId="77777777" w:rsidR="00615A1B" w:rsidRDefault="00615A1B" w:rsidP="009C5E01">
      <w:pPr>
        <w:pStyle w:val="Prrafodelista"/>
        <w:numPr>
          <w:ilvl w:val="0"/>
          <w:numId w:val="24"/>
        </w:numPr>
        <w:autoSpaceDN w:val="0"/>
        <w:jc w:val="both"/>
      </w:pPr>
      <w:r>
        <w:rPr>
          <w:rFonts w:ascii="Arial Narrow" w:hAnsi="Arial Narrow" w:cs="Tunga"/>
          <w:bCs/>
          <w:sz w:val="24"/>
          <w:szCs w:val="24"/>
        </w:rPr>
        <w:t>Autorización asistencia Junta General del Instituto Tecnológico y de Energías Renovables, S.A</w:t>
      </w:r>
      <w:r>
        <w:rPr>
          <w:rFonts w:ascii="Arial Narrow" w:eastAsia="Calibri" w:hAnsi="Arial Narrow" w:cs="Arial"/>
          <w:bCs/>
          <w:sz w:val="24"/>
          <w:szCs w:val="24"/>
          <w:lang w:val="es-ES"/>
        </w:rPr>
        <w:t xml:space="preserve"> el día 25 de noviembre de 2019.</w:t>
      </w:r>
    </w:p>
    <w:p w14:paraId="09C6F941" w14:textId="77777777" w:rsidR="00615A1B" w:rsidRDefault="00615A1B" w:rsidP="009C5E01">
      <w:pPr>
        <w:pStyle w:val="Prrafodelista"/>
        <w:numPr>
          <w:ilvl w:val="0"/>
          <w:numId w:val="24"/>
        </w:numPr>
        <w:autoSpaceDN w:val="0"/>
        <w:spacing w:after="120"/>
        <w:jc w:val="both"/>
      </w:pPr>
      <w:r>
        <w:rPr>
          <w:rFonts w:ascii="Arial Narrow" w:hAnsi="Arial Narrow" w:cs="Tunga"/>
          <w:bCs/>
          <w:sz w:val="24"/>
          <w:szCs w:val="24"/>
        </w:rPr>
        <w:t>Autorización asistencia Junta General Megaturbinas Arinaga, S.A.</w:t>
      </w:r>
      <w:r>
        <w:rPr>
          <w:rFonts w:ascii="Arial Narrow" w:hAnsi="Arial Narrow" w:cs="Arial"/>
          <w:bCs/>
          <w:sz w:val="24"/>
          <w:szCs w:val="24"/>
        </w:rPr>
        <w:t xml:space="preserve"> el día 20 de diciembre de 2019</w:t>
      </w:r>
    </w:p>
    <w:p w14:paraId="22C95DFC" w14:textId="77777777" w:rsidR="00615A1B" w:rsidRDefault="00615A1B" w:rsidP="00615A1B">
      <w:pPr>
        <w:jc w:val="both"/>
        <w:rPr>
          <w:rFonts w:ascii="Arial Narrow" w:hAnsi="Arial Narrow" w:cs="Arial"/>
          <w:sz w:val="24"/>
          <w:szCs w:val="24"/>
        </w:rPr>
      </w:pPr>
      <w:r>
        <w:rPr>
          <w:rFonts w:ascii="Arial Narrow" w:hAnsi="Arial Narrow" w:cs="Arial"/>
          <w:sz w:val="24"/>
          <w:szCs w:val="24"/>
        </w:rPr>
        <w:t>Los Acuerdos adoptados por la Junta General de la Sociedad durante 2019 son los que a continuación se enumeran:</w:t>
      </w:r>
    </w:p>
    <w:p w14:paraId="22274CFD" w14:textId="77777777" w:rsidR="00615A1B" w:rsidRDefault="00615A1B" w:rsidP="00615A1B">
      <w:pPr>
        <w:jc w:val="both"/>
        <w:rPr>
          <w:rFonts w:ascii="Arial Narrow" w:hAnsi="Arial Narrow" w:cs="Arial"/>
          <w:sz w:val="24"/>
          <w:szCs w:val="24"/>
        </w:rPr>
      </w:pPr>
    </w:p>
    <w:p w14:paraId="58C1417A" w14:textId="77777777" w:rsidR="00615A1B" w:rsidRDefault="00615A1B" w:rsidP="009C5E01">
      <w:pPr>
        <w:numPr>
          <w:ilvl w:val="0"/>
          <w:numId w:val="25"/>
        </w:numPr>
        <w:autoSpaceDN w:val="0"/>
        <w:spacing w:after="60"/>
        <w:ind w:left="714" w:hanging="357"/>
        <w:jc w:val="both"/>
      </w:pPr>
      <w:r>
        <w:rPr>
          <w:rFonts w:ascii="Arial Narrow" w:hAnsi="Arial Narrow"/>
          <w:sz w:val="24"/>
          <w:szCs w:val="24"/>
        </w:rPr>
        <w:t>Aprobación de las Cuentas anuales, el Informe de Gestión y la Aplicación del Resultado correspondiente al ejercicio 2018</w:t>
      </w:r>
      <w:r>
        <w:rPr>
          <w:rFonts w:ascii="Arial Narrow" w:hAnsi="Arial Narrow" w:cs="Arial"/>
          <w:sz w:val="24"/>
          <w:szCs w:val="24"/>
        </w:rPr>
        <w:t>.</w:t>
      </w:r>
    </w:p>
    <w:p w14:paraId="08F9CEAC" w14:textId="77777777" w:rsidR="00615A1B" w:rsidRDefault="00615A1B" w:rsidP="009C5E01">
      <w:pPr>
        <w:numPr>
          <w:ilvl w:val="0"/>
          <w:numId w:val="25"/>
        </w:numPr>
        <w:autoSpaceDN w:val="0"/>
        <w:jc w:val="both"/>
        <w:rPr>
          <w:rFonts w:ascii="Arial Narrow" w:hAnsi="Arial Narrow"/>
          <w:sz w:val="24"/>
          <w:szCs w:val="24"/>
        </w:rPr>
      </w:pPr>
      <w:r>
        <w:rPr>
          <w:rFonts w:ascii="Arial Narrow" w:hAnsi="Arial Narrow"/>
          <w:sz w:val="24"/>
          <w:szCs w:val="24"/>
        </w:rPr>
        <w:t>Ceses y nombramientos de representantes y Administradores</w:t>
      </w:r>
    </w:p>
    <w:p w14:paraId="727A5ECB" w14:textId="77777777" w:rsidR="00615A1B" w:rsidRDefault="00615A1B" w:rsidP="00615A1B">
      <w:pPr>
        <w:jc w:val="both"/>
        <w:rPr>
          <w:rFonts w:ascii="Arial Narrow" w:hAnsi="Arial Narrow" w:cs="Arial"/>
          <w:b/>
          <w:sz w:val="24"/>
          <w:szCs w:val="24"/>
        </w:rPr>
      </w:pPr>
    </w:p>
    <w:p w14:paraId="5B93886E" w14:textId="77777777" w:rsidR="00615A1B" w:rsidRPr="007F3210" w:rsidRDefault="00615A1B" w:rsidP="00615A1B">
      <w:pPr>
        <w:jc w:val="both"/>
        <w:rPr>
          <w:rFonts w:ascii="Arial Narrow" w:hAnsi="Arial Narrow" w:cs="Arial"/>
          <w:b/>
          <w:sz w:val="24"/>
          <w:szCs w:val="24"/>
        </w:rPr>
      </w:pPr>
      <w:r w:rsidRPr="007F3210">
        <w:rPr>
          <w:rFonts w:ascii="Arial Narrow" w:hAnsi="Arial Narrow" w:cs="Arial"/>
          <w:b/>
          <w:sz w:val="24"/>
          <w:szCs w:val="24"/>
        </w:rPr>
        <w:t>5.</w:t>
      </w:r>
      <w:r>
        <w:rPr>
          <w:rFonts w:ascii="Arial Narrow" w:hAnsi="Arial Narrow" w:cs="Arial"/>
          <w:b/>
          <w:sz w:val="24"/>
          <w:szCs w:val="24"/>
        </w:rPr>
        <w:t>2</w:t>
      </w:r>
      <w:r w:rsidRPr="007F3210">
        <w:rPr>
          <w:rFonts w:ascii="Arial Narrow" w:hAnsi="Arial Narrow" w:cs="Arial"/>
          <w:b/>
          <w:sz w:val="24"/>
          <w:szCs w:val="24"/>
        </w:rPr>
        <w:t xml:space="preserve">.- </w:t>
      </w:r>
      <w:r>
        <w:rPr>
          <w:rFonts w:ascii="Arial Narrow" w:hAnsi="Arial Narrow" w:cs="Arial"/>
          <w:b/>
          <w:sz w:val="24"/>
          <w:szCs w:val="24"/>
        </w:rPr>
        <w:t>A</w:t>
      </w:r>
      <w:r w:rsidRPr="007F3210">
        <w:rPr>
          <w:rFonts w:ascii="Arial Narrow" w:hAnsi="Arial Narrow" w:cs="Arial"/>
          <w:b/>
          <w:sz w:val="24"/>
          <w:szCs w:val="24"/>
        </w:rPr>
        <w:t xml:space="preserve">cciones propias </w:t>
      </w:r>
    </w:p>
    <w:p w14:paraId="45E5D960" w14:textId="77777777" w:rsidR="00615A1B" w:rsidRPr="007F3210" w:rsidRDefault="00615A1B" w:rsidP="00615A1B">
      <w:pPr>
        <w:jc w:val="both"/>
        <w:rPr>
          <w:rFonts w:ascii="Arial Narrow" w:hAnsi="Arial Narrow" w:cs="Arial"/>
          <w:b/>
          <w:sz w:val="24"/>
          <w:szCs w:val="24"/>
        </w:rPr>
      </w:pPr>
    </w:p>
    <w:p w14:paraId="1DD1038E" w14:textId="77777777" w:rsidR="00615A1B" w:rsidRPr="00B36EC8" w:rsidRDefault="00615A1B" w:rsidP="00615A1B">
      <w:pPr>
        <w:jc w:val="both"/>
        <w:rPr>
          <w:rFonts w:ascii="Arial Narrow" w:hAnsi="Arial Narrow" w:cs="Arial"/>
          <w:sz w:val="24"/>
          <w:szCs w:val="24"/>
        </w:rPr>
      </w:pPr>
      <w:r w:rsidRPr="00B36EC8">
        <w:rPr>
          <w:rFonts w:ascii="Arial Narrow" w:hAnsi="Arial Narrow" w:cs="Arial"/>
          <w:sz w:val="24"/>
          <w:szCs w:val="24"/>
        </w:rPr>
        <w:t xml:space="preserve">La empresa no </w:t>
      </w:r>
      <w:r>
        <w:rPr>
          <w:rFonts w:ascii="Arial Narrow" w:hAnsi="Arial Narrow" w:cs="Arial"/>
          <w:sz w:val="24"/>
          <w:szCs w:val="24"/>
        </w:rPr>
        <w:t>dispone</w:t>
      </w:r>
      <w:r w:rsidRPr="00B36EC8">
        <w:rPr>
          <w:rFonts w:ascii="Arial Narrow" w:hAnsi="Arial Narrow" w:cs="Arial"/>
          <w:sz w:val="24"/>
          <w:szCs w:val="24"/>
        </w:rPr>
        <w:t xml:space="preserve"> acciones propias.</w:t>
      </w:r>
    </w:p>
    <w:p w14:paraId="76822398" w14:textId="77777777" w:rsidR="00615A1B" w:rsidRPr="00B36EC8" w:rsidRDefault="00615A1B" w:rsidP="00615A1B">
      <w:pPr>
        <w:jc w:val="both"/>
        <w:rPr>
          <w:rFonts w:ascii="Arial Narrow" w:hAnsi="Arial Narrow" w:cs="Arial"/>
          <w:sz w:val="24"/>
          <w:szCs w:val="24"/>
        </w:rPr>
      </w:pPr>
    </w:p>
    <w:p w14:paraId="799C6338" w14:textId="77777777" w:rsidR="00615A1B" w:rsidRDefault="00615A1B" w:rsidP="00615A1B">
      <w:pPr>
        <w:keepNext/>
        <w:keepLines/>
        <w:jc w:val="both"/>
        <w:rPr>
          <w:rFonts w:ascii="Arial Narrow" w:hAnsi="Arial Narrow" w:cs="Arial"/>
          <w:b/>
          <w:sz w:val="24"/>
          <w:szCs w:val="24"/>
        </w:rPr>
      </w:pPr>
      <w:r>
        <w:rPr>
          <w:rFonts w:ascii="Arial Narrow" w:hAnsi="Arial Narrow" w:cs="Arial"/>
          <w:b/>
          <w:sz w:val="24"/>
          <w:szCs w:val="24"/>
        </w:rPr>
        <w:t xml:space="preserve">5.3.- Empresas participadas </w:t>
      </w:r>
    </w:p>
    <w:p w14:paraId="7F9755D9" w14:textId="77777777" w:rsidR="00615A1B" w:rsidRDefault="00615A1B" w:rsidP="00615A1B">
      <w:pPr>
        <w:keepNext/>
        <w:keepLines/>
        <w:jc w:val="both"/>
        <w:rPr>
          <w:rFonts w:ascii="Arial Narrow" w:hAnsi="Arial Narrow" w:cs="Arial"/>
          <w:b/>
          <w:sz w:val="24"/>
          <w:szCs w:val="24"/>
          <w:u w:val="single"/>
        </w:rPr>
      </w:pPr>
    </w:p>
    <w:p w14:paraId="6BC5656F" w14:textId="77777777" w:rsidR="00615A1B" w:rsidRDefault="00615A1B" w:rsidP="00615A1B">
      <w:pPr>
        <w:keepNext/>
        <w:keepLines/>
        <w:jc w:val="both"/>
        <w:rPr>
          <w:rFonts w:ascii="Arial Narrow" w:hAnsi="Arial Narrow" w:cs="Arial"/>
          <w:sz w:val="24"/>
          <w:szCs w:val="24"/>
        </w:rPr>
      </w:pPr>
      <w:r>
        <w:rPr>
          <w:rFonts w:ascii="Arial Narrow" w:hAnsi="Arial Narrow" w:cs="Arial"/>
          <w:sz w:val="24"/>
          <w:szCs w:val="24"/>
        </w:rPr>
        <w:t>A continuación, se expone la información más relevante respecto a la evolución de las empresas participadas por el ITC, al cierre del ejercicio.</w:t>
      </w:r>
    </w:p>
    <w:p w14:paraId="0ED13A0E" w14:textId="77777777" w:rsidR="00615A1B" w:rsidRDefault="00615A1B" w:rsidP="00615A1B">
      <w:pPr>
        <w:jc w:val="both"/>
        <w:rPr>
          <w:rFonts w:ascii="Arial Narrow" w:hAnsi="Arial Narrow" w:cs="Arial"/>
          <w:sz w:val="24"/>
          <w:szCs w:val="24"/>
        </w:rPr>
      </w:pPr>
    </w:p>
    <w:p w14:paraId="0BACDFC4" w14:textId="77777777" w:rsidR="00615A1B" w:rsidRDefault="00615A1B" w:rsidP="009C5E01">
      <w:pPr>
        <w:keepNext/>
        <w:keepLines/>
        <w:numPr>
          <w:ilvl w:val="0"/>
          <w:numId w:val="26"/>
        </w:numPr>
        <w:tabs>
          <w:tab w:val="left" w:pos="1068"/>
        </w:tabs>
        <w:autoSpaceDN w:val="0"/>
        <w:ind w:left="1066" w:hanging="357"/>
        <w:jc w:val="both"/>
        <w:rPr>
          <w:rFonts w:ascii="Arial Narrow" w:hAnsi="Arial Narrow" w:cs="Arial"/>
          <w:b/>
          <w:bCs/>
          <w:sz w:val="24"/>
          <w:szCs w:val="24"/>
          <w:lang w:val="pt-PT"/>
        </w:rPr>
      </w:pPr>
      <w:r>
        <w:rPr>
          <w:rFonts w:ascii="Arial Narrow" w:hAnsi="Arial Narrow" w:cs="Arial"/>
          <w:b/>
          <w:bCs/>
          <w:sz w:val="24"/>
          <w:szCs w:val="24"/>
          <w:lang w:val="pt-PT"/>
        </w:rPr>
        <w:t>Parques Eólicos Gaviota, S.A. (PEGASA)</w:t>
      </w:r>
    </w:p>
    <w:p w14:paraId="021109EB" w14:textId="77777777" w:rsidR="00615A1B" w:rsidRPr="00AC4909" w:rsidRDefault="00615A1B" w:rsidP="00615A1B">
      <w:pPr>
        <w:keepNext/>
        <w:ind w:left="1066"/>
        <w:jc w:val="both"/>
        <w:rPr>
          <w:rFonts w:ascii="Arial Narrow" w:hAnsi="Arial Narrow" w:cs="Arial"/>
          <w:bCs/>
          <w:sz w:val="24"/>
          <w:szCs w:val="24"/>
        </w:rPr>
      </w:pPr>
      <w:r w:rsidRPr="00AC4909">
        <w:rPr>
          <w:rFonts w:ascii="Arial Narrow" w:hAnsi="Arial Narrow" w:cs="Arial"/>
          <w:bCs/>
          <w:sz w:val="24"/>
          <w:szCs w:val="24"/>
        </w:rPr>
        <w:t>Es la Sociedad titular del Parque Eólico Punta Gaviota (6.930 kW), compue</w:t>
      </w:r>
      <w:r>
        <w:rPr>
          <w:rFonts w:ascii="Arial Narrow" w:hAnsi="Arial Narrow" w:cs="Arial"/>
          <w:bCs/>
          <w:sz w:val="24"/>
          <w:szCs w:val="24"/>
        </w:rPr>
        <w:t xml:space="preserve">sto por 11 aerogeneradores </w:t>
      </w:r>
      <w:proofErr w:type="spellStart"/>
      <w:r>
        <w:rPr>
          <w:rFonts w:ascii="Arial Narrow" w:hAnsi="Arial Narrow" w:cs="Arial"/>
          <w:bCs/>
          <w:sz w:val="24"/>
          <w:szCs w:val="24"/>
        </w:rPr>
        <w:t>Ecote</w:t>
      </w:r>
      <w:r w:rsidRPr="00AC4909">
        <w:rPr>
          <w:rFonts w:ascii="Arial Narrow" w:hAnsi="Arial Narrow" w:cs="Arial"/>
          <w:bCs/>
          <w:sz w:val="24"/>
          <w:szCs w:val="24"/>
        </w:rPr>
        <w:t>cnia</w:t>
      </w:r>
      <w:proofErr w:type="spellEnd"/>
      <w:r w:rsidRPr="00AC4909">
        <w:rPr>
          <w:rFonts w:ascii="Arial Narrow" w:hAnsi="Arial Narrow" w:cs="Arial"/>
          <w:bCs/>
          <w:sz w:val="24"/>
          <w:szCs w:val="24"/>
        </w:rPr>
        <w:t xml:space="preserve"> E-44 / 630 kW. Es una empresa participada por el Instituto Tecnológico de Canarias, S.A., 28,00%, Instituto para la Diversificación y Ahorro de la Energía, 28,00 %, </w:t>
      </w:r>
      <w:proofErr w:type="spellStart"/>
      <w:r w:rsidRPr="00AC4909">
        <w:rPr>
          <w:rFonts w:ascii="Arial Narrow" w:hAnsi="Arial Narrow" w:cs="Arial"/>
          <w:bCs/>
          <w:sz w:val="24"/>
          <w:szCs w:val="24"/>
        </w:rPr>
        <w:t>Enerfin</w:t>
      </w:r>
      <w:proofErr w:type="spellEnd"/>
      <w:r w:rsidRPr="00AC4909">
        <w:rPr>
          <w:rFonts w:ascii="Arial Narrow" w:hAnsi="Arial Narrow" w:cs="Arial"/>
          <w:bCs/>
          <w:sz w:val="24"/>
          <w:szCs w:val="24"/>
        </w:rPr>
        <w:t xml:space="preserve"> </w:t>
      </w:r>
      <w:proofErr w:type="spellStart"/>
      <w:r w:rsidRPr="00AC4909">
        <w:rPr>
          <w:rFonts w:ascii="Arial Narrow" w:hAnsi="Arial Narrow" w:cs="Arial"/>
          <w:bCs/>
          <w:sz w:val="24"/>
          <w:szCs w:val="24"/>
        </w:rPr>
        <w:t>Enervento</w:t>
      </w:r>
      <w:proofErr w:type="spellEnd"/>
      <w:r w:rsidRPr="00AC4909">
        <w:rPr>
          <w:rFonts w:ascii="Arial Narrow" w:hAnsi="Arial Narrow" w:cs="Arial"/>
          <w:bCs/>
          <w:sz w:val="24"/>
          <w:szCs w:val="24"/>
        </w:rPr>
        <w:t xml:space="preserve">, S.L.U., 37,33%, y el Ayuntamiento de Santa Lucía de Tirajana, 6,67%. La producción de energía en el año 2019 fue de ------13.847  </w:t>
      </w:r>
      <w:proofErr w:type="spellStart"/>
      <w:r w:rsidRPr="00AC4909">
        <w:rPr>
          <w:rFonts w:ascii="Arial Narrow" w:hAnsi="Arial Narrow" w:cs="Arial"/>
          <w:bCs/>
          <w:sz w:val="24"/>
          <w:szCs w:val="24"/>
        </w:rPr>
        <w:t>MWh</w:t>
      </w:r>
      <w:proofErr w:type="spellEnd"/>
      <w:r w:rsidRPr="00AC4909">
        <w:rPr>
          <w:rFonts w:ascii="Arial Narrow" w:hAnsi="Arial Narrow" w:cs="Arial"/>
          <w:bCs/>
          <w:sz w:val="24"/>
          <w:szCs w:val="24"/>
        </w:rPr>
        <w:t>, con 1.995 horas equivalentes y un factor de capacidad del 22,7%”. La Sociedad ha cerrado el ejercicio 2019 con beneficios. El parque eólico se encuentra en trámite avanzado de repotenciación.</w:t>
      </w:r>
    </w:p>
    <w:p w14:paraId="62B63A2F" w14:textId="77777777" w:rsidR="00615A1B" w:rsidRDefault="00615A1B" w:rsidP="00615A1B">
      <w:pPr>
        <w:keepNext/>
        <w:ind w:left="1066"/>
        <w:jc w:val="both"/>
        <w:rPr>
          <w:rFonts w:ascii="Arial Narrow" w:hAnsi="Arial Narrow"/>
          <w:color w:val="993300"/>
          <w:sz w:val="24"/>
          <w:szCs w:val="24"/>
          <w:shd w:val="clear" w:color="auto" w:fill="FFFFFF"/>
        </w:rPr>
      </w:pPr>
    </w:p>
    <w:p w14:paraId="03E317AA" w14:textId="77777777" w:rsidR="00615A1B" w:rsidRDefault="00615A1B" w:rsidP="009C5E01">
      <w:pPr>
        <w:numPr>
          <w:ilvl w:val="0"/>
          <w:numId w:val="26"/>
        </w:numPr>
        <w:tabs>
          <w:tab w:val="left" w:pos="1068"/>
        </w:tabs>
        <w:autoSpaceDN w:val="0"/>
        <w:ind w:left="1066" w:hanging="357"/>
        <w:jc w:val="both"/>
        <w:rPr>
          <w:rFonts w:ascii="Arial Narrow" w:hAnsi="Arial Narrow" w:cs="Arial"/>
          <w:b/>
          <w:bCs/>
          <w:sz w:val="24"/>
          <w:szCs w:val="24"/>
        </w:rPr>
      </w:pPr>
      <w:r>
        <w:rPr>
          <w:rFonts w:ascii="Arial Narrow" w:hAnsi="Arial Narrow" w:cs="Arial"/>
          <w:b/>
          <w:bCs/>
          <w:sz w:val="24"/>
          <w:szCs w:val="24"/>
        </w:rPr>
        <w:t>Parque Eólico Santa Lucía, S.A.</w:t>
      </w:r>
    </w:p>
    <w:p w14:paraId="3A0F7F2B" w14:textId="77777777" w:rsidR="00615A1B" w:rsidRPr="00AC4909" w:rsidRDefault="00615A1B" w:rsidP="00615A1B">
      <w:pPr>
        <w:ind w:left="1066"/>
        <w:jc w:val="both"/>
        <w:rPr>
          <w:rFonts w:ascii="Arial Narrow" w:hAnsi="Arial Narrow" w:cs="Arial"/>
          <w:bCs/>
          <w:sz w:val="24"/>
          <w:szCs w:val="24"/>
        </w:rPr>
      </w:pPr>
      <w:r>
        <w:rPr>
          <w:rFonts w:ascii="Arial Narrow" w:hAnsi="Arial Narrow" w:cs="Arial"/>
          <w:bCs/>
          <w:sz w:val="24"/>
          <w:szCs w:val="24"/>
        </w:rPr>
        <w:t xml:space="preserve">Es la empresa titular del Parque Eólico de Santa Lucía (4.800 kW), compuesto por 16 aerogeneradores </w:t>
      </w:r>
      <w:proofErr w:type="spellStart"/>
      <w:r>
        <w:rPr>
          <w:rFonts w:ascii="Arial Narrow" w:hAnsi="Arial Narrow" w:cs="Arial"/>
          <w:bCs/>
          <w:sz w:val="24"/>
          <w:szCs w:val="24"/>
        </w:rPr>
        <w:t>Made</w:t>
      </w:r>
      <w:proofErr w:type="spellEnd"/>
      <w:r>
        <w:rPr>
          <w:rFonts w:ascii="Arial Narrow" w:hAnsi="Arial Narrow" w:cs="Arial"/>
          <w:bCs/>
          <w:sz w:val="24"/>
          <w:szCs w:val="24"/>
        </w:rPr>
        <w:t xml:space="preserve"> AE-30/300 kW. Sus accionistas principales son </w:t>
      </w:r>
      <w:proofErr w:type="spellStart"/>
      <w:r>
        <w:rPr>
          <w:rFonts w:ascii="Arial Narrow" w:hAnsi="Arial Narrow" w:cs="Arial"/>
          <w:bCs/>
          <w:sz w:val="24"/>
          <w:szCs w:val="24"/>
        </w:rPr>
        <w:t>Enel</w:t>
      </w:r>
      <w:proofErr w:type="spellEnd"/>
      <w:r>
        <w:rPr>
          <w:rFonts w:ascii="Arial Narrow" w:hAnsi="Arial Narrow" w:cs="Arial"/>
          <w:bCs/>
          <w:sz w:val="24"/>
          <w:szCs w:val="24"/>
        </w:rPr>
        <w:t xml:space="preserve"> Green </w:t>
      </w:r>
      <w:proofErr w:type="spellStart"/>
      <w:r>
        <w:rPr>
          <w:rFonts w:ascii="Arial Narrow" w:hAnsi="Arial Narrow" w:cs="Arial"/>
          <w:bCs/>
          <w:sz w:val="24"/>
          <w:szCs w:val="24"/>
        </w:rPr>
        <w:t>Power</w:t>
      </w:r>
      <w:proofErr w:type="spellEnd"/>
      <w:r>
        <w:rPr>
          <w:rFonts w:ascii="Arial Narrow" w:hAnsi="Arial Narrow" w:cs="Arial"/>
          <w:bCs/>
          <w:sz w:val="24"/>
          <w:szCs w:val="24"/>
        </w:rPr>
        <w:t xml:space="preserve"> España, S.L., 65,67%, el Ayuntamiento de Santa Lucía de Tirajana, 20,00%, el Instituto Tecnológico de Canarias, S.A., 6,33%, otros minoritarios, 7,00%, 1% autocartera. </w:t>
      </w:r>
      <w:r w:rsidRPr="00AC4909">
        <w:rPr>
          <w:rFonts w:ascii="Arial Narrow" w:hAnsi="Arial Narrow" w:cs="Arial"/>
          <w:bCs/>
          <w:sz w:val="24"/>
          <w:szCs w:val="24"/>
        </w:rPr>
        <w:t xml:space="preserve">El parque eólico se encuentra en trámite de repotenciación, aunque las expectativas son negativas a causa de las limitaciones por servidumbres aeronáuticas. </w:t>
      </w:r>
      <w:r>
        <w:rPr>
          <w:rFonts w:ascii="Arial Narrow" w:hAnsi="Arial Narrow" w:cs="Arial"/>
          <w:bCs/>
          <w:sz w:val="24"/>
          <w:szCs w:val="24"/>
        </w:rPr>
        <w:t>E</w:t>
      </w:r>
      <w:r w:rsidRPr="00AC4909">
        <w:rPr>
          <w:rFonts w:ascii="Arial Narrow" w:hAnsi="Arial Narrow" w:cs="Arial"/>
          <w:bCs/>
          <w:sz w:val="24"/>
          <w:szCs w:val="24"/>
        </w:rPr>
        <w:t>l parque eólico cerró 2019 con un saldo de explotación positivo</w:t>
      </w:r>
      <w:r>
        <w:rPr>
          <w:rFonts w:ascii="Arial Narrow" w:hAnsi="Arial Narrow" w:cs="Arial"/>
          <w:bCs/>
          <w:sz w:val="24"/>
          <w:szCs w:val="24"/>
        </w:rPr>
        <w:t>.</w:t>
      </w:r>
    </w:p>
    <w:p w14:paraId="7F8E671D" w14:textId="77777777" w:rsidR="00615A1B" w:rsidRDefault="00615A1B" w:rsidP="00615A1B">
      <w:pPr>
        <w:ind w:left="1066"/>
        <w:jc w:val="both"/>
        <w:rPr>
          <w:rFonts w:ascii="Arial Narrow" w:hAnsi="Arial Narrow" w:cs="Arial"/>
          <w:bCs/>
          <w:sz w:val="24"/>
          <w:szCs w:val="24"/>
        </w:rPr>
      </w:pPr>
    </w:p>
    <w:p w14:paraId="1516C337" w14:textId="77777777" w:rsidR="00615A1B" w:rsidRDefault="00615A1B" w:rsidP="009C5E01">
      <w:pPr>
        <w:keepNext/>
        <w:keepLines/>
        <w:numPr>
          <w:ilvl w:val="0"/>
          <w:numId w:val="26"/>
        </w:numPr>
        <w:tabs>
          <w:tab w:val="left" w:pos="1068"/>
        </w:tabs>
        <w:autoSpaceDN w:val="0"/>
        <w:ind w:left="1066" w:hanging="357"/>
        <w:jc w:val="both"/>
        <w:rPr>
          <w:rFonts w:ascii="Arial Narrow" w:hAnsi="Arial Narrow" w:cs="Arial"/>
          <w:b/>
          <w:bCs/>
          <w:sz w:val="24"/>
          <w:szCs w:val="24"/>
        </w:rPr>
      </w:pPr>
      <w:r>
        <w:rPr>
          <w:rFonts w:ascii="Arial Narrow" w:hAnsi="Arial Narrow" w:cs="Arial"/>
          <w:b/>
          <w:bCs/>
          <w:sz w:val="24"/>
          <w:szCs w:val="24"/>
        </w:rPr>
        <w:t>Eólicos de Tirajana S.L.</w:t>
      </w:r>
    </w:p>
    <w:p w14:paraId="254BDC3D" w14:textId="77777777" w:rsidR="00615A1B" w:rsidRDefault="00615A1B" w:rsidP="00615A1B">
      <w:pPr>
        <w:keepNext/>
        <w:ind w:left="1066"/>
        <w:jc w:val="both"/>
      </w:pPr>
      <w:r>
        <w:rPr>
          <w:rFonts w:ascii="Arial Narrow" w:hAnsi="Arial Narrow" w:cs="Arial"/>
          <w:bCs/>
          <w:sz w:val="24"/>
          <w:szCs w:val="24"/>
        </w:rPr>
        <w:t xml:space="preserve">La Agrupación de Interés Económico (A.I.E.), lleva a cabo la explotación del Parque Eólico del Barranco de Tirajana. </w:t>
      </w:r>
      <w:r>
        <w:rPr>
          <w:rFonts w:ascii="Arial Narrow" w:hAnsi="Arial Narrow"/>
          <w:sz w:val="24"/>
          <w:szCs w:val="24"/>
        </w:rPr>
        <w:t xml:space="preserve">La sociedad está formada por </w:t>
      </w:r>
      <w:proofErr w:type="spellStart"/>
      <w:r>
        <w:rPr>
          <w:rFonts w:ascii="Arial Narrow" w:hAnsi="Arial Narrow"/>
          <w:sz w:val="24"/>
          <w:szCs w:val="24"/>
        </w:rPr>
        <w:t>Enel</w:t>
      </w:r>
      <w:proofErr w:type="spellEnd"/>
      <w:r>
        <w:rPr>
          <w:rFonts w:ascii="Arial Narrow" w:hAnsi="Arial Narrow"/>
          <w:sz w:val="24"/>
          <w:szCs w:val="24"/>
        </w:rPr>
        <w:t xml:space="preserve"> Green </w:t>
      </w:r>
      <w:proofErr w:type="spellStart"/>
      <w:r>
        <w:rPr>
          <w:rFonts w:ascii="Arial Narrow" w:hAnsi="Arial Narrow"/>
          <w:sz w:val="24"/>
          <w:szCs w:val="24"/>
        </w:rPr>
        <w:t>Power</w:t>
      </w:r>
      <w:proofErr w:type="spellEnd"/>
      <w:r>
        <w:rPr>
          <w:rFonts w:ascii="Arial Narrow" w:hAnsi="Arial Narrow"/>
          <w:sz w:val="24"/>
          <w:szCs w:val="24"/>
        </w:rPr>
        <w:t xml:space="preserve"> España, S.L., con un 60%; y el Instituto Tecnológico de Canarias, S.A. (ITC), con un 40%. </w:t>
      </w:r>
      <w:r w:rsidRPr="00AC4909">
        <w:rPr>
          <w:rFonts w:ascii="Arial Narrow" w:hAnsi="Arial Narrow"/>
          <w:sz w:val="24"/>
          <w:szCs w:val="24"/>
        </w:rPr>
        <w:t xml:space="preserve">El proyecto de repotenciación del parque eólico para incrementar la potencia instalada de 1,26 a 2,00 MW resultó adjudicatario de Régimen Retributivo Específico en la convocatoria realizada a finales de 2015 (Cupo de 450 MW). La puesta en marcha del parque eólico repotenciado (1 aerogenerador </w:t>
      </w:r>
      <w:proofErr w:type="spellStart"/>
      <w:r w:rsidRPr="00AC4909">
        <w:rPr>
          <w:rFonts w:ascii="Arial Narrow" w:hAnsi="Arial Narrow"/>
          <w:sz w:val="24"/>
          <w:szCs w:val="24"/>
        </w:rPr>
        <w:t>Enercon</w:t>
      </w:r>
      <w:proofErr w:type="spellEnd"/>
      <w:r w:rsidRPr="00AC4909">
        <w:rPr>
          <w:rFonts w:ascii="Arial Narrow" w:hAnsi="Arial Narrow"/>
          <w:sz w:val="24"/>
          <w:szCs w:val="24"/>
        </w:rPr>
        <w:t xml:space="preserve">) se efectuó a principios de 2017. </w:t>
      </w:r>
      <w:r w:rsidRPr="00AC4909">
        <w:rPr>
          <w:rFonts w:ascii="Arial Narrow" w:hAnsi="Arial Narrow" w:cs="Arial"/>
          <w:bCs/>
          <w:sz w:val="24"/>
          <w:szCs w:val="24"/>
        </w:rPr>
        <w:t>El parque eólico cerró 2019 con un saldo de explotación positivo</w:t>
      </w:r>
      <w:r>
        <w:rPr>
          <w:rFonts w:ascii="Arial Narrow" w:hAnsi="Arial Narrow"/>
          <w:color w:val="FF0000"/>
          <w:sz w:val="24"/>
          <w:szCs w:val="24"/>
        </w:rPr>
        <w:t>.</w:t>
      </w:r>
    </w:p>
    <w:p w14:paraId="6A4CE008" w14:textId="77777777" w:rsidR="00615A1B" w:rsidRDefault="00615A1B" w:rsidP="00615A1B">
      <w:pPr>
        <w:keepNext/>
        <w:keepLines/>
        <w:ind w:left="1066"/>
        <w:jc w:val="both"/>
        <w:rPr>
          <w:rFonts w:ascii="Arial Narrow" w:hAnsi="Arial Narrow" w:cs="Arial"/>
          <w:bCs/>
          <w:sz w:val="24"/>
          <w:szCs w:val="24"/>
        </w:rPr>
      </w:pPr>
    </w:p>
    <w:p w14:paraId="223B84E0" w14:textId="77777777" w:rsidR="00615A1B" w:rsidRDefault="00615A1B" w:rsidP="009C5E01">
      <w:pPr>
        <w:keepNext/>
        <w:keepLines/>
        <w:numPr>
          <w:ilvl w:val="0"/>
          <w:numId w:val="26"/>
        </w:numPr>
        <w:tabs>
          <w:tab w:val="left" w:pos="1068"/>
        </w:tabs>
        <w:autoSpaceDN w:val="0"/>
        <w:ind w:left="1066" w:hanging="357"/>
        <w:jc w:val="both"/>
        <w:rPr>
          <w:rFonts w:ascii="Arial Narrow" w:hAnsi="Arial Narrow" w:cs="Arial"/>
          <w:b/>
          <w:bCs/>
          <w:sz w:val="24"/>
          <w:szCs w:val="24"/>
        </w:rPr>
      </w:pPr>
      <w:r>
        <w:rPr>
          <w:rFonts w:ascii="Arial Narrow" w:hAnsi="Arial Narrow" w:cs="Arial"/>
          <w:b/>
          <w:bCs/>
          <w:sz w:val="24"/>
          <w:szCs w:val="24"/>
        </w:rPr>
        <w:t>Desarrollos Eólicos de Canarias, S.A. (DECA)</w:t>
      </w:r>
    </w:p>
    <w:p w14:paraId="6065436A" w14:textId="77777777" w:rsidR="00615A1B" w:rsidRPr="00AC4909" w:rsidRDefault="00615A1B" w:rsidP="00615A1B">
      <w:pPr>
        <w:keepNext/>
        <w:keepLines/>
        <w:ind w:left="1066"/>
        <w:jc w:val="both"/>
        <w:rPr>
          <w:rFonts w:ascii="Arial Narrow" w:hAnsi="Arial Narrow" w:cs="Arial"/>
          <w:bCs/>
          <w:sz w:val="24"/>
          <w:szCs w:val="24"/>
        </w:rPr>
      </w:pPr>
      <w:r>
        <w:rPr>
          <w:rFonts w:ascii="Arial Narrow" w:hAnsi="Arial Narrow" w:cs="Arial"/>
          <w:bCs/>
          <w:sz w:val="24"/>
          <w:szCs w:val="24"/>
        </w:rPr>
        <w:t xml:space="preserve">Es la empresa titular del Parque Eólico de los Llanos de Juan Grande (20.100 kW), compuesto por 67 aerogeneradores. Desarrollos Eólicos A-300, y que tiene como accionistas a </w:t>
      </w:r>
      <w:r>
        <w:rPr>
          <w:rFonts w:ascii="Arial Narrow" w:hAnsi="Arial Narrow"/>
          <w:sz w:val="24"/>
          <w:szCs w:val="24"/>
        </w:rPr>
        <w:t>EDP RENOVABLES ESPAÑA S.L.U</w:t>
      </w:r>
      <w:r>
        <w:rPr>
          <w:rFonts w:ascii="Arial Narrow" w:hAnsi="Arial Narrow" w:cs="Arial"/>
          <w:bCs/>
          <w:sz w:val="24"/>
          <w:szCs w:val="24"/>
        </w:rPr>
        <w:t xml:space="preserve">, 44,7479%, Eolia Renovables de Inversiones S.C.R.,S.A., 44,7465 %, </w:t>
      </w:r>
      <w:proofErr w:type="spellStart"/>
      <w:r>
        <w:rPr>
          <w:rFonts w:ascii="Arial Narrow" w:hAnsi="Arial Narrow" w:cs="Arial"/>
          <w:bCs/>
          <w:sz w:val="24"/>
          <w:szCs w:val="24"/>
        </w:rPr>
        <w:t>Elmasa</w:t>
      </w:r>
      <w:proofErr w:type="spellEnd"/>
      <w:r>
        <w:rPr>
          <w:rFonts w:ascii="Arial Narrow" w:hAnsi="Arial Narrow" w:cs="Arial"/>
          <w:bCs/>
          <w:sz w:val="24"/>
          <w:szCs w:val="24"/>
        </w:rPr>
        <w:t xml:space="preserve"> Patrimonial, S.A., 0,0014% y el Instituto Tecnológico de Canarias, S.A. (ITC), con un 10,5042 %. </w:t>
      </w:r>
      <w:r w:rsidRPr="00AC4909">
        <w:rPr>
          <w:rFonts w:ascii="Arial Narrow" w:hAnsi="Arial Narrow" w:cs="Arial"/>
          <w:bCs/>
          <w:sz w:val="24"/>
          <w:szCs w:val="24"/>
        </w:rPr>
        <w:t>El parque eólico se encuentra en trámite inicial de repotenciación. Al cierre del ejercicio 2019 ha habido beneficios</w:t>
      </w:r>
      <w:r>
        <w:rPr>
          <w:rFonts w:ascii="Arial Narrow" w:hAnsi="Arial Narrow" w:cs="Arial"/>
          <w:bCs/>
          <w:sz w:val="24"/>
          <w:szCs w:val="24"/>
        </w:rPr>
        <w:t>.</w:t>
      </w:r>
    </w:p>
    <w:p w14:paraId="27D822A2" w14:textId="77777777" w:rsidR="00615A1B" w:rsidRDefault="00615A1B" w:rsidP="00615A1B">
      <w:pPr>
        <w:ind w:left="1066"/>
        <w:jc w:val="both"/>
        <w:rPr>
          <w:rFonts w:ascii="Arial Narrow" w:hAnsi="Arial Narrow" w:cs="Arial"/>
          <w:bCs/>
          <w:sz w:val="24"/>
          <w:szCs w:val="24"/>
        </w:rPr>
      </w:pPr>
    </w:p>
    <w:p w14:paraId="29B574A0" w14:textId="77777777" w:rsidR="00615A1B" w:rsidRDefault="00615A1B" w:rsidP="009C5E01">
      <w:pPr>
        <w:numPr>
          <w:ilvl w:val="0"/>
          <w:numId w:val="26"/>
        </w:numPr>
        <w:tabs>
          <w:tab w:val="left" w:pos="1068"/>
        </w:tabs>
        <w:autoSpaceDN w:val="0"/>
        <w:ind w:left="1066" w:hanging="357"/>
        <w:jc w:val="both"/>
        <w:rPr>
          <w:rFonts w:ascii="Arial Narrow" w:hAnsi="Arial Narrow" w:cs="Arial"/>
          <w:b/>
          <w:bCs/>
          <w:sz w:val="24"/>
          <w:szCs w:val="24"/>
        </w:rPr>
      </w:pPr>
      <w:r>
        <w:rPr>
          <w:rFonts w:ascii="Arial Narrow" w:hAnsi="Arial Narrow" w:cs="Arial"/>
          <w:b/>
          <w:bCs/>
          <w:sz w:val="24"/>
          <w:szCs w:val="24"/>
        </w:rPr>
        <w:t>Instituto Tecnológico y de Energías Renovables, S.A. (ITER)</w:t>
      </w:r>
    </w:p>
    <w:p w14:paraId="3147D473" w14:textId="77777777" w:rsidR="00615A1B" w:rsidRPr="00AC4909" w:rsidRDefault="00615A1B" w:rsidP="00615A1B">
      <w:pPr>
        <w:ind w:left="1066"/>
        <w:jc w:val="both"/>
      </w:pPr>
      <w:r>
        <w:rPr>
          <w:rFonts w:ascii="Arial Narrow" w:hAnsi="Arial Narrow" w:cs="Arial"/>
          <w:bCs/>
          <w:sz w:val="24"/>
          <w:szCs w:val="24"/>
        </w:rPr>
        <w:t xml:space="preserve">El ITER objeto social la promoción, explotación, desarrollo y potenciación de actividades científicas, técnicas y económicas en el campo tecnológico y en el de las energías renovables centra su actividad, fundamentalmente, en la generación de electricidad mediante aerogeneradores y centrales solares fotovoltaicas, y en el desarrollo de proyectos de investigación en energías renovables, vulcanismo y medio ambiente. </w:t>
      </w:r>
      <w:r w:rsidRPr="00AC4909">
        <w:rPr>
          <w:rFonts w:ascii="Arial Narrow" w:hAnsi="Arial Narrow" w:cs="Arial"/>
          <w:bCs/>
          <w:sz w:val="24"/>
          <w:szCs w:val="24"/>
        </w:rPr>
        <w:t xml:space="preserve">En el ejercicio 2019 se formalizó una ampliación de capital tras la cual la composición de su accionariado es la siguiente: como accionista mayoritario al Cabildo de Tenerife (94,93 %), el ITC que participa con el 2,23 % del capital social, y un 2,84 % del propio ITER (autocartera). </w:t>
      </w:r>
    </w:p>
    <w:p w14:paraId="2BAE0DB4" w14:textId="77777777" w:rsidR="00615A1B" w:rsidRDefault="00615A1B" w:rsidP="00615A1B">
      <w:pPr>
        <w:ind w:left="1066"/>
        <w:jc w:val="both"/>
        <w:rPr>
          <w:rFonts w:ascii="Arial Narrow" w:hAnsi="Arial Narrow" w:cs="Arial"/>
          <w:bCs/>
          <w:sz w:val="24"/>
          <w:szCs w:val="24"/>
        </w:rPr>
      </w:pPr>
    </w:p>
    <w:p w14:paraId="4F5088A2" w14:textId="77777777" w:rsidR="00615A1B" w:rsidRDefault="00615A1B" w:rsidP="009C5E01">
      <w:pPr>
        <w:numPr>
          <w:ilvl w:val="0"/>
          <w:numId w:val="26"/>
        </w:numPr>
        <w:tabs>
          <w:tab w:val="left" w:pos="1068"/>
        </w:tabs>
        <w:autoSpaceDN w:val="0"/>
        <w:ind w:left="1066" w:hanging="357"/>
        <w:jc w:val="both"/>
        <w:rPr>
          <w:rFonts w:ascii="Arial Narrow" w:hAnsi="Arial Narrow" w:cs="Arial"/>
          <w:b/>
          <w:bCs/>
          <w:sz w:val="24"/>
          <w:szCs w:val="24"/>
        </w:rPr>
      </w:pPr>
      <w:r>
        <w:rPr>
          <w:rFonts w:ascii="Arial Narrow" w:hAnsi="Arial Narrow" w:cs="Arial"/>
          <w:b/>
          <w:bCs/>
          <w:sz w:val="24"/>
          <w:szCs w:val="24"/>
        </w:rPr>
        <w:t>Parque Tecnológico de Telde, S.A.</w:t>
      </w:r>
    </w:p>
    <w:p w14:paraId="5F968B50" w14:textId="77777777" w:rsidR="00615A1B" w:rsidRDefault="00615A1B" w:rsidP="00615A1B">
      <w:pPr>
        <w:ind w:left="1066"/>
        <w:jc w:val="both"/>
        <w:rPr>
          <w:rFonts w:ascii="Arial Narrow" w:hAnsi="Arial Narrow" w:cs="Arial"/>
          <w:bCs/>
          <w:sz w:val="24"/>
          <w:szCs w:val="24"/>
        </w:rPr>
      </w:pPr>
      <w:r>
        <w:rPr>
          <w:rFonts w:ascii="Arial Narrow" w:hAnsi="Arial Narrow" w:cs="Arial"/>
          <w:bCs/>
          <w:sz w:val="24"/>
          <w:szCs w:val="24"/>
        </w:rPr>
        <w:t>Esta sociedad constituida el 3 de diciembre de 2002, tiene por objeto facilitar el acceso a las nuevas tecnologías a las empresas de base tecnológica, a un bajo precio y un alquiler del suelo a un precio reducido. Es una empresa participada por el Ayuntamiento de Telde (62,01%) y el ITC (37,99%). En el ejercicio 2019 no ha desarrollado actividad.</w:t>
      </w:r>
    </w:p>
    <w:p w14:paraId="0AA00706" w14:textId="77777777" w:rsidR="00615A1B" w:rsidRDefault="00615A1B" w:rsidP="009C5E01">
      <w:pPr>
        <w:keepNext/>
        <w:keepLines/>
        <w:numPr>
          <w:ilvl w:val="0"/>
          <w:numId w:val="26"/>
        </w:numPr>
        <w:tabs>
          <w:tab w:val="left" w:pos="1068"/>
        </w:tabs>
        <w:autoSpaceDN w:val="0"/>
        <w:ind w:left="1066" w:hanging="357"/>
        <w:jc w:val="both"/>
      </w:pPr>
      <w:r>
        <w:rPr>
          <w:rFonts w:ascii="Arial Narrow" w:hAnsi="Arial Narrow" w:cs="Arial"/>
          <w:b/>
          <w:bCs/>
          <w:sz w:val="24"/>
          <w:szCs w:val="24"/>
        </w:rPr>
        <w:t>Megaturbinas Arinaga, S.A.</w:t>
      </w:r>
    </w:p>
    <w:p w14:paraId="383A2628" w14:textId="77777777" w:rsidR="00615A1B" w:rsidRPr="00AC4909" w:rsidRDefault="00615A1B" w:rsidP="00615A1B">
      <w:pPr>
        <w:keepNext/>
        <w:keepLines/>
        <w:ind w:left="1066"/>
        <w:jc w:val="both"/>
        <w:rPr>
          <w:rFonts w:ascii="Arial Narrow" w:hAnsi="Arial Narrow" w:cs="Arial"/>
          <w:bCs/>
          <w:sz w:val="24"/>
          <w:szCs w:val="24"/>
        </w:rPr>
      </w:pPr>
      <w:r>
        <w:rPr>
          <w:rFonts w:ascii="Arial Narrow" w:hAnsi="Arial Narrow" w:cs="Arial"/>
          <w:bCs/>
          <w:sz w:val="24"/>
          <w:szCs w:val="24"/>
        </w:rPr>
        <w:t xml:space="preserve">Es una sociedad cuya actividad se centra en la promoción de grandes turbinas eólicas, con componente de I+D, en la explanada de la ampliación del Muelle de Arinaga. En Megaturbinas Arinaga, S.A., el ITC tiene una participación del 33,33%, al igual que la </w:t>
      </w:r>
      <w:r w:rsidRPr="00C64D2F">
        <w:rPr>
          <w:rFonts w:ascii="Arial Narrow" w:hAnsi="Arial Narrow"/>
          <w:szCs w:val="22"/>
        </w:rPr>
        <w:t>Fundación Canaria Puertos de Las Palmas</w:t>
      </w:r>
      <w:r>
        <w:rPr>
          <w:rFonts w:ascii="Arial Narrow" w:hAnsi="Arial Narrow" w:cs="Arial"/>
          <w:bCs/>
          <w:sz w:val="24"/>
          <w:szCs w:val="24"/>
        </w:rPr>
        <w:t xml:space="preserve">, y la Sociedad de Promoción Económica de Gran Canaria. </w:t>
      </w:r>
      <w:r w:rsidRPr="00AC4909">
        <w:rPr>
          <w:rFonts w:ascii="Arial Narrow" w:hAnsi="Arial Narrow" w:cs="Arial"/>
          <w:bCs/>
          <w:sz w:val="24"/>
          <w:szCs w:val="24"/>
        </w:rPr>
        <w:t>Al cierre del ejercicio 2019 ha habido beneficios.</w:t>
      </w:r>
    </w:p>
    <w:p w14:paraId="29D6901E" w14:textId="77777777" w:rsidR="00615A1B" w:rsidRDefault="00615A1B" w:rsidP="00615A1B">
      <w:pPr>
        <w:keepNext/>
        <w:keepLines/>
        <w:ind w:left="1066"/>
        <w:jc w:val="both"/>
        <w:rPr>
          <w:rFonts w:ascii="Arial Narrow" w:hAnsi="Arial Narrow" w:cs="Arial"/>
          <w:bCs/>
          <w:sz w:val="24"/>
          <w:szCs w:val="24"/>
        </w:rPr>
      </w:pPr>
    </w:p>
    <w:p w14:paraId="2763A298" w14:textId="77777777" w:rsidR="00615A1B" w:rsidRPr="00AC4909" w:rsidRDefault="00615A1B" w:rsidP="00615A1B">
      <w:pPr>
        <w:keepNext/>
        <w:keepLines/>
        <w:ind w:left="1066"/>
        <w:jc w:val="both"/>
        <w:rPr>
          <w:rFonts w:ascii="Arial Narrow" w:hAnsi="Arial Narrow" w:cs="Arial"/>
          <w:bCs/>
          <w:sz w:val="24"/>
          <w:szCs w:val="24"/>
        </w:rPr>
      </w:pPr>
      <w:r>
        <w:rPr>
          <w:rFonts w:ascii="Arial Narrow" w:hAnsi="Arial Narrow" w:cs="Arial"/>
          <w:bCs/>
          <w:sz w:val="24"/>
          <w:szCs w:val="24"/>
        </w:rPr>
        <w:t xml:space="preserve">En 2019 continúa </w:t>
      </w:r>
      <w:r w:rsidRPr="00AC4909">
        <w:rPr>
          <w:rFonts w:ascii="Arial Narrow" w:hAnsi="Arial Narrow" w:cs="Arial"/>
          <w:bCs/>
          <w:sz w:val="24"/>
          <w:szCs w:val="24"/>
        </w:rPr>
        <w:t>vigente el contrato de cesión parcial de uso de la concesión demanial y transmisión de PLA con Servicios Energéticos Arinaga, S.A.U., sociedad del grupo Siemens-Gamesa, firmado el 5 de marzo de 2015 y se han continuado con las actuaciones dirigidas a disponer de todas las autorizaciones administrativas necesarias para iniciar las obras de ejecución de la segunda posición existente en la concesión demanial, que está previsto ceder su uso a la MANCOMUNIDAD INTERMUNICIPAL DEL SURESTE DE GRAN CANARIA. El proyecto ya sido aprobado por la APLP y queda pendiente la autorización administrativa que debe conceder la DG Energía.</w:t>
      </w:r>
    </w:p>
    <w:p w14:paraId="346176F0" w14:textId="77777777" w:rsidR="00615A1B" w:rsidRDefault="00615A1B" w:rsidP="00615A1B">
      <w:pPr>
        <w:ind w:left="1066"/>
        <w:jc w:val="both"/>
        <w:rPr>
          <w:rFonts w:ascii="Arial Narrow" w:hAnsi="Arial Narrow" w:cs="Arial"/>
          <w:bCs/>
          <w:sz w:val="24"/>
          <w:szCs w:val="24"/>
        </w:rPr>
      </w:pPr>
    </w:p>
    <w:p w14:paraId="1A1CA73D" w14:textId="77777777" w:rsidR="00615A1B" w:rsidRDefault="00615A1B" w:rsidP="009C5E01">
      <w:pPr>
        <w:keepNext/>
        <w:keepLines/>
        <w:numPr>
          <w:ilvl w:val="0"/>
          <w:numId w:val="26"/>
        </w:numPr>
        <w:tabs>
          <w:tab w:val="left" w:pos="1068"/>
        </w:tabs>
        <w:autoSpaceDN w:val="0"/>
        <w:ind w:left="1066" w:hanging="357"/>
        <w:jc w:val="both"/>
        <w:rPr>
          <w:rFonts w:ascii="Arial Narrow" w:hAnsi="Arial Narrow" w:cs="Arial"/>
          <w:b/>
          <w:bCs/>
          <w:sz w:val="24"/>
          <w:szCs w:val="24"/>
        </w:rPr>
      </w:pPr>
      <w:r>
        <w:rPr>
          <w:rFonts w:ascii="Arial Narrow" w:hAnsi="Arial Narrow" w:cs="Arial"/>
          <w:b/>
          <w:bCs/>
          <w:sz w:val="24"/>
          <w:szCs w:val="24"/>
        </w:rPr>
        <w:t>Gorona del Viento El Hierro, S.A.</w:t>
      </w:r>
    </w:p>
    <w:p w14:paraId="58487EAA" w14:textId="77777777" w:rsidR="00615A1B" w:rsidRDefault="00615A1B" w:rsidP="00615A1B">
      <w:pPr>
        <w:keepNext/>
        <w:keepLines/>
        <w:ind w:left="1066"/>
        <w:jc w:val="both"/>
        <w:rPr>
          <w:rFonts w:ascii="Arial Narrow" w:hAnsi="Arial Narrow" w:cs="Arial"/>
          <w:bCs/>
          <w:sz w:val="24"/>
          <w:szCs w:val="24"/>
        </w:rPr>
      </w:pPr>
      <w:r>
        <w:rPr>
          <w:rFonts w:ascii="Arial Narrow" w:hAnsi="Arial Narrow" w:cs="Arial"/>
          <w:bCs/>
          <w:sz w:val="24"/>
          <w:szCs w:val="24"/>
        </w:rPr>
        <w:t>Su objeto social es el análisis, desarrollo, promoción, construcción operación y mantenimiento de la central hidroeólica de producción de energía eléctrica en El Hierro, mediante la utilización de la diversidad de energías renovables existentes, y su posterior entrega a la compañía distribuidora para el suministro final a todos los habitantes de la isla de El Hierro. Tras la ampliación de capital suscrita por el Cabildo de El Hierro, y por el Gobierno de Canarias; cuenta con cuatro accionistas: el Cabildo de El Hierro (65,82%), Unión Eléctrica de Canarias S.A.U. (23,21%), el Gobierno de Canarias (3,23%), y el propio ITC (7,74%). La central hidroeólica se encuentra en explotación.</w:t>
      </w:r>
    </w:p>
    <w:p w14:paraId="70301FBD" w14:textId="77777777" w:rsidR="00615A1B" w:rsidRPr="00B36EC8" w:rsidRDefault="00615A1B" w:rsidP="00615A1B">
      <w:pPr>
        <w:keepNext/>
        <w:keepLines/>
        <w:ind w:left="1066"/>
        <w:jc w:val="both"/>
        <w:rPr>
          <w:rFonts w:ascii="Arial Narrow" w:hAnsi="Arial Narrow" w:cs="Arial"/>
          <w:bCs/>
          <w:sz w:val="24"/>
          <w:szCs w:val="24"/>
        </w:rPr>
      </w:pPr>
    </w:p>
    <w:p w14:paraId="013E89A7" w14:textId="77777777" w:rsidR="00615A1B" w:rsidRDefault="00615A1B" w:rsidP="00615A1B">
      <w:pPr>
        <w:keepNext/>
        <w:keepLines/>
        <w:jc w:val="both"/>
        <w:rPr>
          <w:rFonts w:ascii="Arial Narrow" w:hAnsi="Arial Narrow" w:cs="Arial"/>
          <w:b/>
          <w:sz w:val="24"/>
          <w:szCs w:val="24"/>
        </w:rPr>
      </w:pPr>
    </w:p>
    <w:p w14:paraId="57338609" w14:textId="77777777" w:rsidR="00615A1B" w:rsidRPr="007F3210" w:rsidRDefault="00615A1B" w:rsidP="00615A1B">
      <w:pPr>
        <w:keepNext/>
        <w:keepLines/>
        <w:jc w:val="both"/>
        <w:rPr>
          <w:rFonts w:ascii="Arial Narrow" w:hAnsi="Arial Narrow" w:cs="Arial"/>
          <w:b/>
          <w:sz w:val="24"/>
          <w:szCs w:val="24"/>
        </w:rPr>
      </w:pPr>
      <w:r w:rsidRPr="007F3210">
        <w:rPr>
          <w:rFonts w:ascii="Arial Narrow" w:hAnsi="Arial Narrow" w:cs="Arial"/>
          <w:b/>
          <w:sz w:val="24"/>
          <w:szCs w:val="24"/>
        </w:rPr>
        <w:t>5.</w:t>
      </w:r>
      <w:r>
        <w:rPr>
          <w:rFonts w:ascii="Arial Narrow" w:hAnsi="Arial Narrow" w:cs="Arial"/>
          <w:b/>
          <w:sz w:val="24"/>
          <w:szCs w:val="24"/>
        </w:rPr>
        <w:t>4</w:t>
      </w:r>
      <w:r w:rsidRPr="007F3210">
        <w:rPr>
          <w:rFonts w:ascii="Arial Narrow" w:hAnsi="Arial Narrow" w:cs="Arial"/>
          <w:b/>
          <w:sz w:val="24"/>
          <w:szCs w:val="24"/>
        </w:rPr>
        <w:t>.- Uso de instrumentos financieros</w:t>
      </w:r>
    </w:p>
    <w:p w14:paraId="6EA9F437" w14:textId="77777777" w:rsidR="00615A1B" w:rsidRDefault="00615A1B" w:rsidP="00615A1B">
      <w:pPr>
        <w:pStyle w:val="NormalWeb"/>
        <w:spacing w:before="0" w:beforeAutospacing="0" w:after="240" w:afterAutospacing="0"/>
        <w:jc w:val="both"/>
        <w:rPr>
          <w:rFonts w:ascii="Arial Narrow" w:hAnsi="Arial Narrow" w:cs="Arial"/>
        </w:rPr>
      </w:pPr>
    </w:p>
    <w:p w14:paraId="090ACB55" w14:textId="77777777" w:rsidR="00615A1B" w:rsidRDefault="00615A1B" w:rsidP="00615A1B">
      <w:pPr>
        <w:pStyle w:val="NormalWeb"/>
        <w:spacing w:before="0" w:beforeAutospacing="0" w:after="240" w:afterAutospacing="0"/>
        <w:jc w:val="both"/>
        <w:rPr>
          <w:rFonts w:ascii="Arial Narrow" w:hAnsi="Arial Narrow" w:cs="Arial"/>
        </w:rPr>
      </w:pPr>
      <w:r w:rsidRPr="00B36EC8">
        <w:rPr>
          <w:rFonts w:ascii="Arial Narrow" w:hAnsi="Arial Narrow" w:cs="Arial"/>
        </w:rPr>
        <w:t xml:space="preserve">Durante el ejercicio </w:t>
      </w:r>
      <w:r w:rsidRPr="004A4F4D">
        <w:rPr>
          <w:rFonts w:ascii="Arial Narrow" w:hAnsi="Arial Narrow" w:cs="Arial"/>
        </w:rPr>
        <w:t>201</w:t>
      </w:r>
      <w:r>
        <w:rPr>
          <w:rFonts w:ascii="Arial Narrow" w:hAnsi="Arial Narrow" w:cs="Arial"/>
        </w:rPr>
        <w:t>9</w:t>
      </w:r>
      <w:r w:rsidRPr="004A4F4D">
        <w:rPr>
          <w:rFonts w:ascii="Arial Narrow" w:hAnsi="Arial Narrow" w:cs="Arial"/>
        </w:rPr>
        <w:t xml:space="preserve"> </w:t>
      </w:r>
      <w:r w:rsidRPr="00B36EC8">
        <w:rPr>
          <w:rFonts w:ascii="Arial Narrow" w:hAnsi="Arial Narrow" w:cs="Arial"/>
        </w:rPr>
        <w:t>no se han contratado ningún instrumento financiero derivado.</w:t>
      </w:r>
      <w:r>
        <w:rPr>
          <w:rFonts w:ascii="Arial Narrow" w:hAnsi="Arial Narrow" w:cs="Arial"/>
        </w:rPr>
        <w:t xml:space="preserve"> Si bien, en 2020 se consiguió una ayuda con el </w:t>
      </w:r>
      <w:r w:rsidRPr="007F77CC">
        <w:rPr>
          <w:rFonts w:ascii="Arial Narrow" w:hAnsi="Arial Narrow" w:cs="Arial"/>
        </w:rPr>
        <w:t>CENTRO PARA EL DESARROLLO TECNOLÓGICO INDUSTRIAL, EPE-CDTI ID-20190450 (Ayuda subvención, parte reembolsable)</w:t>
      </w:r>
      <w:r>
        <w:rPr>
          <w:rFonts w:ascii="Arial Narrow" w:hAnsi="Arial Narrow" w:cs="Arial"/>
        </w:rPr>
        <w:t xml:space="preserve">, para el desarrollo del proyecto NANOVÉRTEBRA, la cual consiste en una parte reembolsable mediante préstamo por importe de </w:t>
      </w:r>
      <w:r w:rsidRPr="00BA2A61">
        <w:rPr>
          <w:rFonts w:ascii="Arial Narrow" w:hAnsi="Arial Narrow" w:cs="Arial"/>
        </w:rPr>
        <w:t>40</w:t>
      </w:r>
      <w:r>
        <w:rPr>
          <w:rFonts w:ascii="Arial Narrow" w:hAnsi="Arial Narrow" w:cs="Arial"/>
        </w:rPr>
        <w:t>.</w:t>
      </w:r>
      <w:r w:rsidRPr="00BA2A61">
        <w:rPr>
          <w:rFonts w:ascii="Arial Narrow" w:hAnsi="Arial Narrow" w:cs="Arial"/>
        </w:rPr>
        <w:t>199,93</w:t>
      </w:r>
      <w:r>
        <w:rPr>
          <w:rFonts w:ascii="Arial Narrow" w:hAnsi="Arial Narrow" w:cs="Arial"/>
        </w:rPr>
        <w:t xml:space="preserve"> euros, para lo que se pidió la previa autorización y no computa como endeudamiento dentro del Sector Público.</w:t>
      </w:r>
    </w:p>
    <w:p w14:paraId="7E273E56" w14:textId="77777777" w:rsidR="00615A1B" w:rsidRDefault="00615A1B" w:rsidP="00615A1B">
      <w:pPr>
        <w:rPr>
          <w:rFonts w:ascii="Arial Narrow" w:hAnsi="Arial Narrow" w:cs="Arial"/>
          <w:sz w:val="24"/>
          <w:szCs w:val="24"/>
          <w:lang w:eastAsia="es-ES"/>
        </w:rPr>
      </w:pPr>
      <w:r>
        <w:rPr>
          <w:rFonts w:ascii="Arial Narrow" w:hAnsi="Arial Narrow" w:cs="Arial"/>
        </w:rPr>
        <w:br w:type="page"/>
      </w:r>
    </w:p>
    <w:p w14:paraId="1376A49C" w14:textId="77777777" w:rsidR="00615A1B" w:rsidRPr="00850B72" w:rsidRDefault="00615A1B" w:rsidP="00615A1B">
      <w:pPr>
        <w:rPr>
          <w:rFonts w:ascii="Arial Narrow" w:hAnsi="Arial Narrow" w:cs="Arial"/>
          <w:b/>
          <w:strike/>
          <w:color w:val="0070C0"/>
          <w:sz w:val="24"/>
          <w:szCs w:val="24"/>
          <w:highlight w:val="yellow"/>
          <w:u w:val="single"/>
        </w:rPr>
      </w:pPr>
    </w:p>
    <w:p w14:paraId="4995A8AC" w14:textId="77777777" w:rsidR="00615A1B" w:rsidRPr="00EB2DB5" w:rsidRDefault="00615A1B" w:rsidP="00615A1B">
      <w:pPr>
        <w:jc w:val="center"/>
        <w:rPr>
          <w:rFonts w:ascii="Arial Narrow" w:hAnsi="Arial Narrow" w:cs="Arial"/>
          <w:b/>
          <w:sz w:val="24"/>
          <w:szCs w:val="24"/>
        </w:rPr>
      </w:pPr>
      <w:r w:rsidRPr="00EB2DB5">
        <w:rPr>
          <w:rFonts w:ascii="Arial Narrow" w:hAnsi="Arial Narrow" w:cs="Arial"/>
          <w:b/>
          <w:sz w:val="24"/>
          <w:szCs w:val="24"/>
        </w:rPr>
        <w:t>FORMULACIÓN DEL INFORME DE GESTION</w:t>
      </w:r>
    </w:p>
    <w:p w14:paraId="0D74AA93" w14:textId="77777777" w:rsidR="00615A1B" w:rsidRPr="00EB2DB5" w:rsidRDefault="00615A1B" w:rsidP="00615A1B">
      <w:pPr>
        <w:tabs>
          <w:tab w:val="left" w:pos="567"/>
          <w:tab w:val="decimal" w:pos="7371"/>
          <w:tab w:val="decimal" w:pos="8505"/>
        </w:tabs>
        <w:rPr>
          <w:rFonts w:ascii="Arial Narrow" w:hAnsi="Arial Narrow" w:cs="Arial"/>
          <w:sz w:val="24"/>
          <w:szCs w:val="24"/>
        </w:rPr>
      </w:pPr>
    </w:p>
    <w:p w14:paraId="4FC085F2" w14:textId="7C8E593D" w:rsidR="00615A1B" w:rsidRPr="00EB2DB5" w:rsidRDefault="00615A1B" w:rsidP="00615A1B">
      <w:pPr>
        <w:tabs>
          <w:tab w:val="left" w:pos="567"/>
          <w:tab w:val="decimal" w:pos="7371"/>
          <w:tab w:val="decimal" w:pos="8505"/>
        </w:tabs>
        <w:jc w:val="both"/>
        <w:rPr>
          <w:rFonts w:ascii="Arial Narrow" w:hAnsi="Arial Narrow" w:cs="Arial"/>
          <w:sz w:val="24"/>
          <w:szCs w:val="24"/>
        </w:rPr>
      </w:pPr>
      <w:r w:rsidRPr="00EB2DB5">
        <w:rPr>
          <w:rFonts w:ascii="Arial Narrow" w:hAnsi="Arial Narrow" w:cs="Arial"/>
          <w:spacing w:val="-2"/>
          <w:sz w:val="24"/>
          <w:szCs w:val="24"/>
        </w:rPr>
        <w:t xml:space="preserve">El Consejo de Administración del </w:t>
      </w:r>
      <w:r w:rsidRPr="00EB2DB5">
        <w:rPr>
          <w:rFonts w:ascii="Arial Narrow" w:hAnsi="Arial Narrow" w:cs="Arial"/>
          <w:b/>
          <w:spacing w:val="-2"/>
          <w:sz w:val="24"/>
          <w:szCs w:val="24"/>
        </w:rPr>
        <w:t>Instituto Tecnológico de Canarias, S.A.</w:t>
      </w:r>
      <w:r w:rsidRPr="00EB2DB5">
        <w:rPr>
          <w:rFonts w:ascii="Arial Narrow" w:hAnsi="Arial Narrow" w:cs="Arial"/>
          <w:spacing w:val="-2"/>
          <w:sz w:val="24"/>
          <w:szCs w:val="24"/>
        </w:rPr>
        <w:t xml:space="preserve">, </w:t>
      </w:r>
      <w:r w:rsidRPr="00EB2DB5">
        <w:rPr>
          <w:rFonts w:ascii="Arial Narrow" w:hAnsi="Arial Narrow" w:cs="Arial"/>
          <w:sz w:val="24"/>
          <w:szCs w:val="24"/>
        </w:rPr>
        <w:t xml:space="preserve">en </w:t>
      </w:r>
      <w:r w:rsidRPr="001F038C">
        <w:rPr>
          <w:rFonts w:ascii="Arial Narrow" w:hAnsi="Arial Narrow" w:cs="Arial"/>
          <w:sz w:val="24"/>
          <w:szCs w:val="24"/>
        </w:rPr>
        <w:t xml:space="preserve">fecha </w:t>
      </w:r>
      <w:r w:rsidR="001F038C">
        <w:rPr>
          <w:rFonts w:ascii="Arial Narrow" w:hAnsi="Arial Narrow" w:cs="Arial"/>
          <w:sz w:val="24"/>
          <w:szCs w:val="24"/>
        </w:rPr>
        <w:t>15</w:t>
      </w:r>
      <w:r w:rsidRPr="001F038C">
        <w:rPr>
          <w:rFonts w:ascii="Arial Narrow" w:hAnsi="Arial Narrow" w:cs="Arial"/>
          <w:sz w:val="24"/>
          <w:szCs w:val="24"/>
        </w:rPr>
        <w:t xml:space="preserve"> de </w:t>
      </w:r>
      <w:r w:rsidR="001F038C">
        <w:rPr>
          <w:rFonts w:ascii="Arial Narrow" w:hAnsi="Arial Narrow" w:cs="Arial"/>
          <w:sz w:val="24"/>
          <w:szCs w:val="24"/>
        </w:rPr>
        <w:t>mayo</w:t>
      </w:r>
      <w:r w:rsidRPr="001F038C">
        <w:rPr>
          <w:rFonts w:ascii="Arial Narrow" w:hAnsi="Arial Narrow" w:cs="Arial"/>
          <w:sz w:val="24"/>
          <w:szCs w:val="24"/>
        </w:rPr>
        <w:t xml:space="preserve"> de 2020, y en cumplimiento de los requisitos establecidos</w:t>
      </w:r>
      <w:r w:rsidRPr="00EB2DB5">
        <w:rPr>
          <w:rFonts w:ascii="Arial Narrow" w:hAnsi="Arial Narrow" w:cs="Arial"/>
          <w:sz w:val="24"/>
          <w:szCs w:val="24"/>
        </w:rPr>
        <w:t xml:space="preserve"> en el artículo 253 de la Ley de Sociedades de Capital y del artículo 37 del Código de Comercio, proceden a formular el Informe de Gestión del ejercicio anual terminado el 31 de diciembre de 201</w:t>
      </w:r>
      <w:r>
        <w:rPr>
          <w:rFonts w:ascii="Arial Narrow" w:hAnsi="Arial Narrow" w:cs="Arial"/>
          <w:sz w:val="24"/>
          <w:szCs w:val="24"/>
        </w:rPr>
        <w:t>9</w:t>
      </w:r>
      <w:r w:rsidRPr="00EB2DB5">
        <w:rPr>
          <w:rFonts w:ascii="Arial Narrow" w:hAnsi="Arial Narrow" w:cs="Arial"/>
          <w:sz w:val="24"/>
          <w:szCs w:val="24"/>
        </w:rPr>
        <w:t xml:space="preserve"> que se compone de las adjuntas hojas número 1 a 2</w:t>
      </w:r>
      <w:r>
        <w:rPr>
          <w:rFonts w:ascii="Arial Narrow" w:hAnsi="Arial Narrow" w:cs="Arial"/>
          <w:sz w:val="24"/>
          <w:szCs w:val="24"/>
        </w:rPr>
        <w:t>8</w:t>
      </w:r>
      <w:r w:rsidRPr="00EB2DB5">
        <w:rPr>
          <w:rFonts w:ascii="Arial Narrow" w:hAnsi="Arial Narrow" w:cs="Arial"/>
          <w:sz w:val="24"/>
          <w:szCs w:val="24"/>
        </w:rPr>
        <w:t>.</w:t>
      </w:r>
    </w:p>
    <w:p w14:paraId="27DF65C3" w14:textId="77777777" w:rsidR="00615A1B" w:rsidRPr="00EB2DB5" w:rsidRDefault="00615A1B" w:rsidP="00615A1B">
      <w:pPr>
        <w:tabs>
          <w:tab w:val="left" w:pos="567"/>
          <w:tab w:val="decimal" w:pos="7371"/>
          <w:tab w:val="decimal" w:pos="8505"/>
        </w:tabs>
        <w:jc w:val="both"/>
        <w:rPr>
          <w:rFonts w:ascii="Arial Narrow" w:hAnsi="Arial Narrow" w:cs="Arial"/>
          <w:spacing w:val="-2"/>
          <w:sz w:val="24"/>
          <w:szCs w:val="24"/>
        </w:rPr>
      </w:pPr>
    </w:p>
    <w:tbl>
      <w:tblPr>
        <w:tblW w:w="0" w:type="auto"/>
        <w:tblLayout w:type="fixed"/>
        <w:tblCellMar>
          <w:left w:w="70" w:type="dxa"/>
          <w:right w:w="70" w:type="dxa"/>
        </w:tblCellMar>
        <w:tblLook w:val="0000" w:firstRow="0" w:lastRow="0" w:firstColumn="0" w:lastColumn="0" w:noHBand="0" w:noVBand="0"/>
      </w:tblPr>
      <w:tblGrid>
        <w:gridCol w:w="4464"/>
        <w:gridCol w:w="4464"/>
      </w:tblGrid>
      <w:tr w:rsidR="00615A1B" w:rsidRPr="00221FD0" w14:paraId="1D2E010D" w14:textId="77777777" w:rsidTr="00242CD2">
        <w:tc>
          <w:tcPr>
            <w:tcW w:w="4464" w:type="dxa"/>
          </w:tcPr>
          <w:p w14:paraId="404FC34E"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4F045C87"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755E9509"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48886CFC" w14:textId="77777777" w:rsidR="00615A1B" w:rsidRDefault="00615A1B" w:rsidP="00242CD2">
            <w:pPr>
              <w:tabs>
                <w:tab w:val="left" w:pos="567"/>
                <w:tab w:val="decimal" w:pos="7230"/>
                <w:tab w:val="decimal" w:pos="8505"/>
              </w:tabs>
              <w:jc w:val="center"/>
              <w:rPr>
                <w:rFonts w:ascii="Arial Narrow" w:hAnsi="Arial Narrow" w:cs="Arial"/>
                <w:sz w:val="24"/>
                <w:szCs w:val="24"/>
              </w:rPr>
            </w:pPr>
          </w:p>
          <w:p w14:paraId="257EC232" w14:textId="77777777" w:rsidR="00CC68C1" w:rsidRPr="00156457" w:rsidRDefault="00CC68C1" w:rsidP="00242CD2">
            <w:pPr>
              <w:tabs>
                <w:tab w:val="left" w:pos="567"/>
                <w:tab w:val="decimal" w:pos="7230"/>
                <w:tab w:val="decimal" w:pos="8505"/>
              </w:tabs>
              <w:jc w:val="center"/>
              <w:rPr>
                <w:rFonts w:ascii="Arial Narrow" w:hAnsi="Arial Narrow" w:cs="Arial"/>
                <w:sz w:val="24"/>
                <w:szCs w:val="24"/>
              </w:rPr>
            </w:pPr>
          </w:p>
          <w:p w14:paraId="34C9DCFC" w14:textId="77777777" w:rsidR="00615A1B" w:rsidRPr="00221FD0" w:rsidRDefault="00615A1B" w:rsidP="00242CD2">
            <w:pPr>
              <w:tabs>
                <w:tab w:val="left" w:pos="567"/>
                <w:tab w:val="decimal" w:pos="7230"/>
                <w:tab w:val="decimal" w:pos="8505"/>
              </w:tabs>
              <w:rPr>
                <w:rFonts w:ascii="Arial Narrow" w:hAnsi="Arial Narrow" w:cs="Arial"/>
                <w:sz w:val="24"/>
                <w:szCs w:val="24"/>
                <w:lang w:val="pt-PT"/>
              </w:rPr>
            </w:pPr>
            <w:r w:rsidRPr="00221FD0">
              <w:rPr>
                <w:rFonts w:ascii="Arial Narrow" w:hAnsi="Arial Narrow" w:cs="Arial"/>
                <w:sz w:val="24"/>
                <w:szCs w:val="24"/>
                <w:lang w:val="pt-PT"/>
              </w:rPr>
              <w:t>___________________________________</w:t>
            </w:r>
          </w:p>
          <w:p w14:paraId="3F2F766E"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r>
              <w:rPr>
                <w:rFonts w:ascii="Arial Narrow" w:hAnsi="Arial Narrow" w:cs="Arial"/>
                <w:sz w:val="24"/>
                <w:szCs w:val="24"/>
              </w:rPr>
              <w:t>Dña. Elena Máñez Rodríguez</w:t>
            </w:r>
            <w:r w:rsidRPr="00221FD0">
              <w:rPr>
                <w:rFonts w:ascii="Arial Narrow" w:hAnsi="Arial Narrow" w:cs="Arial"/>
                <w:sz w:val="24"/>
                <w:szCs w:val="24"/>
              </w:rPr>
              <w:t xml:space="preserve"> </w:t>
            </w:r>
          </w:p>
          <w:p w14:paraId="1ADF2D5C" w14:textId="77777777" w:rsidR="00615A1B" w:rsidRPr="00221FD0" w:rsidRDefault="00615A1B" w:rsidP="00242CD2">
            <w:pPr>
              <w:tabs>
                <w:tab w:val="left" w:pos="567"/>
                <w:tab w:val="decimal" w:pos="7230"/>
                <w:tab w:val="decimal" w:pos="8505"/>
              </w:tabs>
              <w:jc w:val="center"/>
              <w:rPr>
                <w:rFonts w:ascii="Arial Narrow" w:hAnsi="Arial Narrow" w:cs="Arial"/>
                <w:sz w:val="24"/>
                <w:szCs w:val="24"/>
                <w:lang w:val="pt-PT"/>
              </w:rPr>
            </w:pPr>
            <w:r w:rsidRPr="00221FD0">
              <w:rPr>
                <w:rFonts w:ascii="Arial Narrow" w:hAnsi="Arial Narrow" w:cs="Arial"/>
                <w:sz w:val="24"/>
                <w:szCs w:val="24"/>
                <w:lang w:val="pt-PT"/>
              </w:rPr>
              <w:t>President</w:t>
            </w:r>
            <w:r>
              <w:rPr>
                <w:rFonts w:ascii="Arial Narrow" w:hAnsi="Arial Narrow" w:cs="Arial"/>
                <w:sz w:val="24"/>
                <w:szCs w:val="24"/>
                <w:lang w:val="pt-PT"/>
              </w:rPr>
              <w:t>a</w:t>
            </w:r>
          </w:p>
        </w:tc>
        <w:tc>
          <w:tcPr>
            <w:tcW w:w="4464" w:type="dxa"/>
          </w:tcPr>
          <w:p w14:paraId="7EDBDC43" w14:textId="77777777" w:rsidR="00615A1B" w:rsidRPr="00221FD0" w:rsidRDefault="00615A1B" w:rsidP="00242CD2">
            <w:pPr>
              <w:tabs>
                <w:tab w:val="left" w:pos="567"/>
                <w:tab w:val="decimal" w:pos="7230"/>
                <w:tab w:val="decimal" w:pos="8505"/>
              </w:tabs>
              <w:jc w:val="center"/>
              <w:rPr>
                <w:rFonts w:ascii="Arial Narrow" w:hAnsi="Arial Narrow" w:cs="Arial"/>
                <w:sz w:val="24"/>
                <w:szCs w:val="24"/>
                <w:lang w:val="pt-PT"/>
              </w:rPr>
            </w:pPr>
          </w:p>
          <w:p w14:paraId="539DFF3C" w14:textId="77777777" w:rsidR="00615A1B" w:rsidRPr="00221FD0" w:rsidRDefault="00615A1B" w:rsidP="00242CD2">
            <w:pPr>
              <w:tabs>
                <w:tab w:val="left" w:pos="567"/>
                <w:tab w:val="decimal" w:pos="7230"/>
                <w:tab w:val="decimal" w:pos="8505"/>
              </w:tabs>
              <w:jc w:val="center"/>
              <w:rPr>
                <w:rFonts w:ascii="Arial Narrow" w:hAnsi="Arial Narrow" w:cs="Arial"/>
                <w:sz w:val="24"/>
                <w:szCs w:val="24"/>
                <w:lang w:val="pt-PT"/>
              </w:rPr>
            </w:pPr>
          </w:p>
          <w:p w14:paraId="6F55753D" w14:textId="77777777" w:rsidR="00615A1B" w:rsidRPr="00221FD0" w:rsidRDefault="00615A1B" w:rsidP="00242CD2">
            <w:pPr>
              <w:tabs>
                <w:tab w:val="left" w:pos="567"/>
                <w:tab w:val="decimal" w:pos="7230"/>
                <w:tab w:val="decimal" w:pos="8505"/>
              </w:tabs>
              <w:jc w:val="center"/>
              <w:rPr>
                <w:rFonts w:ascii="Arial Narrow" w:hAnsi="Arial Narrow" w:cs="Arial"/>
                <w:sz w:val="24"/>
                <w:szCs w:val="24"/>
                <w:lang w:val="pt-PT"/>
              </w:rPr>
            </w:pPr>
          </w:p>
          <w:p w14:paraId="3C7F9A33" w14:textId="77777777" w:rsidR="00615A1B" w:rsidRDefault="00615A1B" w:rsidP="00242CD2">
            <w:pPr>
              <w:tabs>
                <w:tab w:val="left" w:pos="567"/>
                <w:tab w:val="decimal" w:pos="7230"/>
                <w:tab w:val="decimal" w:pos="8505"/>
              </w:tabs>
              <w:jc w:val="center"/>
              <w:rPr>
                <w:rFonts w:ascii="Arial Narrow" w:hAnsi="Arial Narrow" w:cs="Arial"/>
                <w:sz w:val="24"/>
                <w:szCs w:val="24"/>
                <w:lang w:val="pt-PT"/>
              </w:rPr>
            </w:pPr>
          </w:p>
          <w:p w14:paraId="0AECB070" w14:textId="77777777" w:rsidR="00CC68C1" w:rsidRPr="00221FD0" w:rsidRDefault="00CC68C1" w:rsidP="00242CD2">
            <w:pPr>
              <w:tabs>
                <w:tab w:val="left" w:pos="567"/>
                <w:tab w:val="decimal" w:pos="7230"/>
                <w:tab w:val="decimal" w:pos="8505"/>
              </w:tabs>
              <w:jc w:val="center"/>
              <w:rPr>
                <w:rFonts w:ascii="Arial Narrow" w:hAnsi="Arial Narrow" w:cs="Arial"/>
                <w:sz w:val="24"/>
                <w:szCs w:val="24"/>
                <w:lang w:val="pt-PT"/>
              </w:rPr>
            </w:pPr>
          </w:p>
          <w:p w14:paraId="064B65E1" w14:textId="77777777" w:rsidR="00615A1B" w:rsidRPr="00221FD0" w:rsidRDefault="00615A1B" w:rsidP="00242CD2">
            <w:pPr>
              <w:tabs>
                <w:tab w:val="left" w:pos="567"/>
                <w:tab w:val="decimal" w:pos="7230"/>
                <w:tab w:val="decimal" w:pos="8505"/>
              </w:tabs>
              <w:rPr>
                <w:rFonts w:ascii="Arial Narrow" w:hAnsi="Arial Narrow" w:cs="Arial"/>
                <w:sz w:val="24"/>
                <w:szCs w:val="24"/>
              </w:rPr>
            </w:pPr>
            <w:r w:rsidRPr="00221FD0">
              <w:rPr>
                <w:rFonts w:ascii="Arial Narrow" w:hAnsi="Arial Narrow" w:cs="Arial"/>
                <w:sz w:val="24"/>
                <w:szCs w:val="24"/>
              </w:rPr>
              <w:t>___________________________________</w:t>
            </w:r>
          </w:p>
          <w:p w14:paraId="159029EE" w14:textId="77777777" w:rsidR="00615A1B" w:rsidRDefault="00615A1B" w:rsidP="00242CD2">
            <w:pPr>
              <w:jc w:val="center"/>
              <w:rPr>
                <w:rFonts w:ascii="Arial Narrow" w:hAnsi="Arial Narrow" w:cs="Arial"/>
                <w:sz w:val="24"/>
                <w:szCs w:val="24"/>
              </w:rPr>
            </w:pPr>
            <w:r>
              <w:rPr>
                <w:rFonts w:ascii="Arial Narrow" w:hAnsi="Arial Narrow" w:cs="Arial"/>
                <w:sz w:val="24"/>
                <w:szCs w:val="24"/>
              </w:rPr>
              <w:t>D. Laureano Pérez Rodríguez</w:t>
            </w:r>
          </w:p>
          <w:p w14:paraId="56A543FC"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r w:rsidRPr="00221FD0">
              <w:rPr>
                <w:rFonts w:ascii="Arial Narrow" w:hAnsi="Arial Narrow" w:cs="Arial"/>
                <w:sz w:val="24"/>
                <w:szCs w:val="24"/>
              </w:rPr>
              <w:t>Consejero</w:t>
            </w:r>
            <w:r w:rsidRPr="00221FD0" w:rsidDel="00D07797">
              <w:rPr>
                <w:rFonts w:ascii="Arial Narrow" w:hAnsi="Arial Narrow" w:cs="Arial"/>
                <w:sz w:val="24"/>
                <w:szCs w:val="24"/>
              </w:rPr>
              <w:t xml:space="preserve"> </w:t>
            </w:r>
          </w:p>
        </w:tc>
      </w:tr>
      <w:tr w:rsidR="00615A1B" w:rsidRPr="00156457" w14:paraId="2C93805E" w14:textId="77777777" w:rsidTr="00242CD2">
        <w:tc>
          <w:tcPr>
            <w:tcW w:w="4464" w:type="dxa"/>
          </w:tcPr>
          <w:p w14:paraId="08EB15C9"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3DAF6D20"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0DFA4BCE"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563AD5E2"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2A2C13D9"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78023004" w14:textId="77777777" w:rsidR="00615A1B" w:rsidRPr="00221FD0" w:rsidRDefault="00615A1B" w:rsidP="00242CD2">
            <w:pPr>
              <w:tabs>
                <w:tab w:val="left" w:pos="567"/>
                <w:tab w:val="decimal" w:pos="7230"/>
                <w:tab w:val="decimal" w:pos="8505"/>
              </w:tabs>
              <w:rPr>
                <w:rFonts w:ascii="Arial Narrow" w:hAnsi="Arial Narrow" w:cs="Arial"/>
                <w:sz w:val="24"/>
                <w:szCs w:val="24"/>
              </w:rPr>
            </w:pPr>
            <w:r w:rsidRPr="00221FD0">
              <w:rPr>
                <w:rFonts w:ascii="Arial Narrow" w:hAnsi="Arial Narrow" w:cs="Arial"/>
                <w:sz w:val="24"/>
                <w:szCs w:val="24"/>
              </w:rPr>
              <w:t>___________________________________</w:t>
            </w:r>
          </w:p>
          <w:p w14:paraId="06F8EE89"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r>
              <w:rPr>
                <w:rFonts w:ascii="Arial Narrow" w:hAnsi="Arial Narrow" w:cs="Arial"/>
                <w:sz w:val="24"/>
                <w:szCs w:val="24"/>
              </w:rPr>
              <w:t>D. Gustavo Santana Martel</w:t>
            </w:r>
            <w:r w:rsidRPr="00221FD0" w:rsidDel="00D07797">
              <w:rPr>
                <w:rFonts w:ascii="Arial Narrow" w:hAnsi="Arial Narrow" w:cs="Arial"/>
                <w:sz w:val="24"/>
                <w:szCs w:val="24"/>
              </w:rPr>
              <w:t xml:space="preserve"> </w:t>
            </w:r>
          </w:p>
          <w:p w14:paraId="16E3B299"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r w:rsidRPr="00221FD0">
              <w:rPr>
                <w:rFonts w:ascii="Arial Narrow" w:hAnsi="Arial Narrow" w:cs="Arial"/>
                <w:sz w:val="24"/>
                <w:szCs w:val="24"/>
              </w:rPr>
              <w:t>Consejero</w:t>
            </w:r>
          </w:p>
        </w:tc>
        <w:tc>
          <w:tcPr>
            <w:tcW w:w="4464" w:type="dxa"/>
          </w:tcPr>
          <w:p w14:paraId="38474D3B"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226AAC5F" w14:textId="77777777" w:rsidR="00615A1B" w:rsidRDefault="00615A1B" w:rsidP="00242CD2">
            <w:pPr>
              <w:tabs>
                <w:tab w:val="left" w:pos="567"/>
                <w:tab w:val="decimal" w:pos="7230"/>
                <w:tab w:val="decimal" w:pos="8505"/>
              </w:tabs>
              <w:jc w:val="center"/>
              <w:rPr>
                <w:rFonts w:ascii="Arial Narrow" w:hAnsi="Arial Narrow" w:cs="Arial"/>
                <w:sz w:val="24"/>
                <w:szCs w:val="24"/>
              </w:rPr>
            </w:pPr>
          </w:p>
          <w:p w14:paraId="71638D7A"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133780C7"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535404B8"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5945EA0C" w14:textId="77777777" w:rsidR="00615A1B" w:rsidRPr="00221FD0" w:rsidRDefault="00615A1B" w:rsidP="00242CD2">
            <w:pPr>
              <w:tabs>
                <w:tab w:val="left" w:pos="567"/>
                <w:tab w:val="decimal" w:pos="7230"/>
                <w:tab w:val="decimal" w:pos="8505"/>
              </w:tabs>
              <w:rPr>
                <w:rFonts w:ascii="Arial Narrow" w:hAnsi="Arial Narrow" w:cs="Arial"/>
                <w:sz w:val="24"/>
                <w:szCs w:val="24"/>
              </w:rPr>
            </w:pPr>
            <w:r w:rsidRPr="00221FD0">
              <w:rPr>
                <w:rFonts w:ascii="Arial Narrow" w:hAnsi="Arial Narrow" w:cs="Arial"/>
                <w:sz w:val="24"/>
                <w:szCs w:val="24"/>
              </w:rPr>
              <w:t>___________________________________</w:t>
            </w:r>
          </w:p>
          <w:p w14:paraId="6A30BB14" w14:textId="77777777" w:rsidR="00615A1B" w:rsidRDefault="00615A1B" w:rsidP="00242CD2">
            <w:pPr>
              <w:tabs>
                <w:tab w:val="left" w:pos="567"/>
                <w:tab w:val="decimal" w:pos="7230"/>
                <w:tab w:val="decimal" w:pos="8505"/>
              </w:tabs>
              <w:jc w:val="center"/>
              <w:rPr>
                <w:rFonts w:ascii="Arial Narrow" w:hAnsi="Arial Narrow" w:cs="Arial"/>
                <w:sz w:val="24"/>
                <w:szCs w:val="24"/>
              </w:rPr>
            </w:pPr>
            <w:r w:rsidRPr="00221FD0">
              <w:rPr>
                <w:rFonts w:ascii="Arial Narrow" w:hAnsi="Arial Narrow" w:cs="Arial"/>
                <w:sz w:val="24"/>
                <w:szCs w:val="24"/>
              </w:rPr>
              <w:t>D</w:t>
            </w:r>
            <w:r>
              <w:rPr>
                <w:rFonts w:ascii="Arial Narrow" w:hAnsi="Arial Narrow" w:cs="Arial"/>
                <w:sz w:val="24"/>
                <w:szCs w:val="24"/>
              </w:rPr>
              <w:t xml:space="preserve">. </w:t>
            </w:r>
            <w:r w:rsidRPr="00221FD0">
              <w:rPr>
                <w:rFonts w:ascii="Arial Narrow" w:hAnsi="Arial Narrow" w:cs="Arial"/>
                <w:sz w:val="24"/>
                <w:szCs w:val="24"/>
              </w:rPr>
              <w:t xml:space="preserve">Justo Jesús </w:t>
            </w:r>
            <w:proofErr w:type="spellStart"/>
            <w:r w:rsidRPr="00221FD0">
              <w:rPr>
                <w:rFonts w:ascii="Arial Narrow" w:hAnsi="Arial Narrow" w:cs="Arial"/>
                <w:sz w:val="24"/>
                <w:szCs w:val="24"/>
              </w:rPr>
              <w:t>Artíles</w:t>
            </w:r>
            <w:proofErr w:type="spellEnd"/>
            <w:r w:rsidRPr="00221FD0">
              <w:rPr>
                <w:rFonts w:ascii="Arial Narrow" w:hAnsi="Arial Narrow" w:cs="Arial"/>
                <w:sz w:val="24"/>
                <w:szCs w:val="24"/>
              </w:rPr>
              <w:t xml:space="preserve"> Sánchez</w:t>
            </w:r>
          </w:p>
          <w:p w14:paraId="6A85DD9B"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r w:rsidRPr="00221FD0">
              <w:rPr>
                <w:rFonts w:ascii="Arial Narrow" w:hAnsi="Arial Narrow" w:cs="Arial"/>
                <w:sz w:val="24"/>
                <w:szCs w:val="24"/>
              </w:rPr>
              <w:t>Consejero</w:t>
            </w:r>
          </w:p>
        </w:tc>
      </w:tr>
      <w:tr w:rsidR="00615A1B" w:rsidRPr="00156457" w14:paraId="115509E1" w14:textId="77777777" w:rsidTr="00242CD2">
        <w:tc>
          <w:tcPr>
            <w:tcW w:w="4464" w:type="dxa"/>
          </w:tcPr>
          <w:p w14:paraId="31B04FB2"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53EE2652"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7240FCA4"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42290C26"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3BC3EF49"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66BFA96C" w14:textId="77777777" w:rsidR="00615A1B" w:rsidRPr="00156457" w:rsidRDefault="00615A1B" w:rsidP="00242CD2">
            <w:pPr>
              <w:tabs>
                <w:tab w:val="left" w:pos="567"/>
                <w:tab w:val="decimal" w:pos="7230"/>
                <w:tab w:val="decimal" w:pos="8505"/>
              </w:tabs>
              <w:rPr>
                <w:rFonts w:ascii="Arial Narrow" w:hAnsi="Arial Narrow" w:cs="Arial"/>
                <w:sz w:val="24"/>
                <w:szCs w:val="24"/>
              </w:rPr>
            </w:pPr>
            <w:r w:rsidRPr="00156457">
              <w:rPr>
                <w:rFonts w:ascii="Arial Narrow" w:hAnsi="Arial Narrow" w:cs="Arial"/>
                <w:sz w:val="24"/>
                <w:szCs w:val="24"/>
              </w:rPr>
              <w:t>___________________________________</w:t>
            </w:r>
          </w:p>
          <w:p w14:paraId="61D36F45" w14:textId="77777777" w:rsidR="00615A1B" w:rsidRDefault="00615A1B" w:rsidP="00242CD2">
            <w:pPr>
              <w:jc w:val="center"/>
              <w:rPr>
                <w:rFonts w:ascii="Arial Narrow" w:hAnsi="Arial Narrow" w:cs="Arial"/>
                <w:sz w:val="24"/>
                <w:szCs w:val="24"/>
              </w:rPr>
            </w:pPr>
            <w:r>
              <w:rPr>
                <w:rFonts w:ascii="Arial Narrow" w:hAnsi="Arial Narrow" w:cs="Arial"/>
                <w:sz w:val="24"/>
                <w:szCs w:val="24"/>
              </w:rPr>
              <w:t>D. Antonio Aparicio Juan</w:t>
            </w:r>
          </w:p>
          <w:p w14:paraId="07609E82"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r w:rsidRPr="00156457">
              <w:rPr>
                <w:rFonts w:ascii="Arial Narrow" w:hAnsi="Arial Narrow" w:cs="Arial"/>
                <w:sz w:val="24"/>
                <w:szCs w:val="24"/>
              </w:rPr>
              <w:t>Consejero</w:t>
            </w:r>
          </w:p>
        </w:tc>
        <w:tc>
          <w:tcPr>
            <w:tcW w:w="4464" w:type="dxa"/>
          </w:tcPr>
          <w:p w14:paraId="20AD9F0B"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3FBB3D37"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0D28471E"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5D3CFF19"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08133A93"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p>
          <w:p w14:paraId="64BAE0BB" w14:textId="77777777" w:rsidR="00615A1B" w:rsidRPr="00156457" w:rsidRDefault="00615A1B" w:rsidP="00242CD2">
            <w:pPr>
              <w:tabs>
                <w:tab w:val="left" w:pos="567"/>
                <w:tab w:val="decimal" w:pos="7230"/>
                <w:tab w:val="decimal" w:pos="8505"/>
              </w:tabs>
              <w:rPr>
                <w:rFonts w:ascii="Arial Narrow" w:hAnsi="Arial Narrow" w:cs="Arial"/>
                <w:sz w:val="24"/>
                <w:szCs w:val="24"/>
              </w:rPr>
            </w:pPr>
            <w:r w:rsidRPr="00156457">
              <w:rPr>
                <w:rFonts w:ascii="Arial Narrow" w:hAnsi="Arial Narrow" w:cs="Arial"/>
                <w:sz w:val="24"/>
                <w:szCs w:val="24"/>
              </w:rPr>
              <w:t>___________________________________</w:t>
            </w:r>
          </w:p>
          <w:p w14:paraId="704C6323"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r>
              <w:rPr>
                <w:rFonts w:ascii="Arial Narrow" w:hAnsi="Arial Narrow" w:cs="Arial"/>
                <w:sz w:val="24"/>
                <w:szCs w:val="24"/>
              </w:rPr>
              <w:t>D. Miguel Ángel Pérez Hernández</w:t>
            </w:r>
            <w:r w:rsidRPr="00156457" w:rsidDel="0015236C">
              <w:rPr>
                <w:rFonts w:ascii="Arial Narrow" w:hAnsi="Arial Narrow" w:cs="Arial"/>
                <w:sz w:val="24"/>
                <w:szCs w:val="24"/>
              </w:rPr>
              <w:t xml:space="preserve"> </w:t>
            </w:r>
          </w:p>
          <w:p w14:paraId="3D84238F" w14:textId="77777777" w:rsidR="00615A1B" w:rsidRPr="00156457" w:rsidRDefault="00615A1B" w:rsidP="00242CD2">
            <w:pPr>
              <w:tabs>
                <w:tab w:val="left" w:pos="567"/>
                <w:tab w:val="decimal" w:pos="7230"/>
                <w:tab w:val="decimal" w:pos="8505"/>
              </w:tabs>
              <w:jc w:val="center"/>
              <w:rPr>
                <w:rFonts w:ascii="Arial Narrow" w:hAnsi="Arial Narrow" w:cs="Arial"/>
                <w:sz w:val="24"/>
                <w:szCs w:val="24"/>
              </w:rPr>
            </w:pPr>
            <w:r w:rsidRPr="00156457">
              <w:rPr>
                <w:rFonts w:ascii="Arial Narrow" w:hAnsi="Arial Narrow" w:cs="Arial"/>
                <w:sz w:val="24"/>
                <w:szCs w:val="24"/>
              </w:rPr>
              <w:t>Consejero</w:t>
            </w:r>
          </w:p>
        </w:tc>
      </w:tr>
      <w:tr w:rsidR="00615A1B" w:rsidRPr="00221FD0" w14:paraId="298CECA8" w14:textId="77777777" w:rsidTr="00242CD2">
        <w:trPr>
          <w:gridAfter w:val="1"/>
          <w:wAfter w:w="4464" w:type="dxa"/>
        </w:trPr>
        <w:tc>
          <w:tcPr>
            <w:tcW w:w="4464" w:type="dxa"/>
          </w:tcPr>
          <w:p w14:paraId="7D16F34A"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7480638D"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7C781A38"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2692DC3E"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6B1800C6"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p>
          <w:p w14:paraId="12E2AC5C" w14:textId="77777777" w:rsidR="00615A1B" w:rsidRPr="00221FD0" w:rsidRDefault="00615A1B" w:rsidP="00242CD2">
            <w:pPr>
              <w:tabs>
                <w:tab w:val="left" w:pos="567"/>
                <w:tab w:val="decimal" w:pos="7230"/>
                <w:tab w:val="decimal" w:pos="8505"/>
              </w:tabs>
              <w:rPr>
                <w:rFonts w:ascii="Arial Narrow" w:hAnsi="Arial Narrow" w:cs="Arial"/>
                <w:sz w:val="24"/>
                <w:szCs w:val="24"/>
              </w:rPr>
            </w:pPr>
            <w:r w:rsidRPr="00221FD0">
              <w:rPr>
                <w:rFonts w:ascii="Arial Narrow" w:hAnsi="Arial Narrow" w:cs="Arial"/>
                <w:sz w:val="24"/>
                <w:szCs w:val="24"/>
              </w:rPr>
              <w:t>___________________________________</w:t>
            </w:r>
          </w:p>
          <w:p w14:paraId="1CFB05CA" w14:textId="77777777" w:rsidR="00615A1B" w:rsidRDefault="00615A1B" w:rsidP="00242CD2">
            <w:pPr>
              <w:jc w:val="center"/>
              <w:rPr>
                <w:rFonts w:ascii="Arial Narrow" w:hAnsi="Arial Narrow" w:cs="Arial"/>
                <w:sz w:val="24"/>
                <w:szCs w:val="24"/>
              </w:rPr>
            </w:pPr>
            <w:r>
              <w:rPr>
                <w:rFonts w:ascii="Arial Narrow" w:hAnsi="Arial Narrow" w:cs="Arial"/>
                <w:sz w:val="24"/>
                <w:szCs w:val="24"/>
              </w:rPr>
              <w:t xml:space="preserve">D. José Julián </w:t>
            </w:r>
            <w:proofErr w:type="spellStart"/>
            <w:r>
              <w:rPr>
                <w:rFonts w:ascii="Arial Narrow" w:hAnsi="Arial Narrow" w:cs="Arial"/>
                <w:sz w:val="24"/>
                <w:szCs w:val="24"/>
              </w:rPr>
              <w:t>Isturitz</w:t>
            </w:r>
            <w:proofErr w:type="spellEnd"/>
            <w:r>
              <w:rPr>
                <w:rFonts w:ascii="Arial Narrow" w:hAnsi="Arial Narrow" w:cs="Arial"/>
                <w:sz w:val="24"/>
                <w:szCs w:val="24"/>
              </w:rPr>
              <w:t xml:space="preserve"> Pérez</w:t>
            </w:r>
          </w:p>
          <w:p w14:paraId="6519CAFB" w14:textId="77777777" w:rsidR="00615A1B" w:rsidRPr="00221FD0" w:rsidRDefault="00615A1B" w:rsidP="00242CD2">
            <w:pPr>
              <w:tabs>
                <w:tab w:val="left" w:pos="567"/>
                <w:tab w:val="decimal" w:pos="7230"/>
                <w:tab w:val="decimal" w:pos="8505"/>
              </w:tabs>
              <w:jc w:val="center"/>
              <w:rPr>
                <w:rFonts w:ascii="Arial Narrow" w:hAnsi="Arial Narrow" w:cs="Arial"/>
                <w:sz w:val="24"/>
                <w:szCs w:val="24"/>
              </w:rPr>
            </w:pPr>
            <w:r w:rsidRPr="00221FD0">
              <w:rPr>
                <w:rFonts w:ascii="Arial Narrow" w:hAnsi="Arial Narrow" w:cs="Arial"/>
                <w:sz w:val="24"/>
                <w:szCs w:val="24"/>
              </w:rPr>
              <w:t>Consejero</w:t>
            </w:r>
          </w:p>
        </w:tc>
      </w:tr>
    </w:tbl>
    <w:p w14:paraId="1E5FAAF8" w14:textId="77777777" w:rsidR="00615A1B" w:rsidRPr="00BC3252" w:rsidRDefault="00615A1B" w:rsidP="00615A1B">
      <w:pPr>
        <w:pStyle w:val="NormalWeb"/>
        <w:keepNext/>
        <w:keepLines/>
        <w:spacing w:before="0" w:beforeAutospacing="0" w:after="0" w:afterAutospacing="0"/>
        <w:jc w:val="both"/>
        <w:rPr>
          <w:rFonts w:ascii="Arial Narrow" w:hAnsi="Arial Narrow" w:cs="Arial"/>
          <w:strike/>
          <w:color w:val="0070C0"/>
        </w:rPr>
      </w:pPr>
    </w:p>
    <w:p w14:paraId="703D761E" w14:textId="00E9498C" w:rsidR="00615A1B" w:rsidRDefault="00615A1B" w:rsidP="0033179D">
      <w:pPr>
        <w:keepNext/>
        <w:keepLines/>
        <w:jc w:val="center"/>
        <w:rPr>
          <w:rFonts w:ascii="Arial" w:hAnsi="Arial" w:cs="Arial"/>
          <w:b/>
          <w:szCs w:val="22"/>
        </w:rPr>
      </w:pPr>
    </w:p>
    <w:sectPr w:rsidR="00615A1B" w:rsidSect="007B2213">
      <w:footerReference w:type="default" r:id="rId56"/>
      <w:pgSz w:w="11907" w:h="16839" w:code="9"/>
      <w:pgMar w:top="1021" w:right="1134" w:bottom="1134" w:left="1701" w:header="1134" w:footer="567" w:gutter="0"/>
      <w:pgNumType w:start="1"/>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4613" w16cex:dateUtc="2020-03-27T08:29:00Z"/>
  <w16cex:commentExtensible w16cex:durableId="2228464D" w16cex:dateUtc="2020-03-27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BC7E1" w16cid:durableId="22284613"/>
  <w16cid:commentId w16cid:paraId="328FE9EA" w16cid:durableId="222846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0D56" w14:textId="77777777" w:rsidR="006F4440" w:rsidRDefault="006F4440">
      <w:r>
        <w:separator/>
      </w:r>
    </w:p>
  </w:endnote>
  <w:endnote w:type="continuationSeparator" w:id="0">
    <w:p w14:paraId="5850C196" w14:textId="77777777" w:rsidR="006F4440" w:rsidRDefault="006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G Omega (W1)">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92A1" w14:textId="5836905C" w:rsidR="006F4440" w:rsidRPr="00BF227B" w:rsidRDefault="006F4440">
    <w:pPr>
      <w:pStyle w:val="Piedepgina"/>
      <w:jc w:val="right"/>
      <w:rPr>
        <w:rFonts w:ascii="Arial Narrow" w:hAnsi="Arial Narrow"/>
      </w:rPr>
    </w:pPr>
    <w:r w:rsidRPr="00BF227B">
      <w:rPr>
        <w:rFonts w:ascii="Arial Narrow" w:hAnsi="Arial Narrow"/>
        <w:lang w:val="es-ES"/>
      </w:rPr>
      <w:t xml:space="preserve">Página </w:t>
    </w:r>
    <w:r w:rsidRPr="00BF227B">
      <w:rPr>
        <w:rFonts w:ascii="Arial Narrow" w:hAnsi="Arial Narrow"/>
      </w:rPr>
      <w:fldChar w:fldCharType="begin"/>
    </w:r>
    <w:r w:rsidRPr="00BF227B">
      <w:rPr>
        <w:rFonts w:ascii="Arial Narrow" w:hAnsi="Arial Narrow"/>
      </w:rPr>
      <w:instrText>PAGE  \* Arabic</w:instrText>
    </w:r>
    <w:r w:rsidRPr="00BF227B">
      <w:rPr>
        <w:rFonts w:ascii="Arial Narrow" w:hAnsi="Arial Narrow"/>
      </w:rPr>
      <w:fldChar w:fldCharType="separate"/>
    </w:r>
    <w:r w:rsidR="00EE0624">
      <w:rPr>
        <w:rFonts w:ascii="Arial Narrow" w:hAnsi="Arial Narrow"/>
        <w:noProof/>
      </w:rPr>
      <w:t>56</w:t>
    </w:r>
    <w:r w:rsidRPr="00BF227B">
      <w:rPr>
        <w:rFonts w:ascii="Arial Narrow" w:hAnsi="Arial Narrow"/>
      </w:rPr>
      <w:fldChar w:fldCharType="end"/>
    </w:r>
  </w:p>
  <w:p w14:paraId="047EC44D" w14:textId="77777777" w:rsidR="006F4440" w:rsidRDefault="006F44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73F4" w14:textId="00AF7AA0" w:rsidR="006F4440" w:rsidRDefault="006F44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84FA" w14:textId="7E416640" w:rsidR="006F4440" w:rsidRPr="009C5E01" w:rsidRDefault="006F4440">
    <w:pPr>
      <w:pStyle w:val="Piedepgina"/>
      <w:jc w:val="right"/>
      <w:rPr>
        <w:rFonts w:ascii="Arial Narrow" w:hAnsi="Arial Narrow"/>
      </w:rPr>
    </w:pPr>
    <w:r w:rsidRPr="009C5E01">
      <w:rPr>
        <w:rFonts w:ascii="Arial Narrow" w:hAnsi="Arial Narrow"/>
        <w:lang w:val="es-ES"/>
      </w:rPr>
      <w:t xml:space="preserve">Página </w:t>
    </w:r>
    <w:r w:rsidRPr="009C5E01">
      <w:rPr>
        <w:rFonts w:ascii="Arial Narrow" w:hAnsi="Arial Narrow"/>
      </w:rPr>
      <w:fldChar w:fldCharType="begin"/>
    </w:r>
    <w:r w:rsidRPr="009C5E01">
      <w:rPr>
        <w:rFonts w:ascii="Arial Narrow" w:hAnsi="Arial Narrow"/>
      </w:rPr>
      <w:instrText>PAGE  \* Arabic</w:instrText>
    </w:r>
    <w:r w:rsidRPr="009C5E01">
      <w:rPr>
        <w:rFonts w:ascii="Arial Narrow" w:hAnsi="Arial Narrow"/>
      </w:rPr>
      <w:fldChar w:fldCharType="separate"/>
    </w:r>
    <w:r w:rsidR="00EE0624">
      <w:rPr>
        <w:rFonts w:ascii="Arial Narrow" w:hAnsi="Arial Narrow"/>
        <w:noProof/>
      </w:rPr>
      <w:t>21</w:t>
    </w:r>
    <w:r w:rsidRPr="009C5E01">
      <w:rPr>
        <w:rFonts w:ascii="Arial Narrow" w:hAnsi="Arial Narrow"/>
      </w:rPr>
      <w:fldChar w:fldCharType="end"/>
    </w:r>
  </w:p>
  <w:p w14:paraId="5E329EB5" w14:textId="77777777" w:rsidR="006F4440" w:rsidRDefault="006F4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A578" w14:textId="77777777" w:rsidR="006F4440" w:rsidRDefault="006F4440">
      <w:r>
        <w:separator/>
      </w:r>
    </w:p>
  </w:footnote>
  <w:footnote w:type="continuationSeparator" w:id="0">
    <w:p w14:paraId="31E4A77C" w14:textId="77777777" w:rsidR="006F4440" w:rsidRDefault="006F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9" w:type="dxa"/>
      <w:tblLayout w:type="fixed"/>
      <w:tblCellMar>
        <w:left w:w="0" w:type="dxa"/>
        <w:right w:w="0" w:type="dxa"/>
      </w:tblCellMar>
      <w:tblLook w:val="0000" w:firstRow="0" w:lastRow="0" w:firstColumn="0" w:lastColumn="0" w:noHBand="0" w:noVBand="0"/>
    </w:tblPr>
    <w:tblGrid>
      <w:gridCol w:w="3828"/>
      <w:gridCol w:w="2693"/>
      <w:gridCol w:w="2138"/>
    </w:tblGrid>
    <w:tr w:rsidR="006F4440" w:rsidRPr="00B13B7E" w14:paraId="78A77414" w14:textId="77777777" w:rsidTr="00344831">
      <w:tc>
        <w:tcPr>
          <w:tcW w:w="3828" w:type="dxa"/>
        </w:tcPr>
        <w:p w14:paraId="2D9922A2" w14:textId="77777777" w:rsidR="006F4440" w:rsidRDefault="006F4440" w:rsidP="00344831">
          <w:pPr>
            <w:pStyle w:val="BDONormal"/>
          </w:pPr>
        </w:p>
      </w:tc>
      <w:tc>
        <w:tcPr>
          <w:tcW w:w="2693" w:type="dxa"/>
        </w:tcPr>
        <w:p w14:paraId="66D27B37" w14:textId="77777777" w:rsidR="006F4440" w:rsidRDefault="006F4440" w:rsidP="00344831">
          <w:pPr>
            <w:pStyle w:val="BDOAddressBold"/>
          </w:pPr>
        </w:p>
      </w:tc>
      <w:tc>
        <w:tcPr>
          <w:tcW w:w="2138" w:type="dxa"/>
        </w:tcPr>
        <w:p w14:paraId="33CDC912" w14:textId="77777777" w:rsidR="006F4440" w:rsidRPr="00F677E8" w:rsidRDefault="006F4440" w:rsidP="00344831">
          <w:pPr>
            <w:pStyle w:val="BDOAddress"/>
            <w:rPr>
              <w:lang w:val="es-ES"/>
            </w:rPr>
          </w:pPr>
        </w:p>
      </w:tc>
    </w:tr>
  </w:tbl>
  <w:p w14:paraId="4B1D1A7A" w14:textId="77777777" w:rsidR="006F4440" w:rsidRDefault="006F44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CF93" w14:textId="77777777" w:rsidR="006F4440" w:rsidRDefault="006F4440" w:rsidP="00B14F1D">
    <w:pPr>
      <w:tabs>
        <w:tab w:val="right" w:pos="9072"/>
      </w:tabs>
      <w:rPr>
        <w:rFonts w:ascii="Arial Narrow" w:hAnsi="Arial Narrow"/>
        <w:i/>
        <w:sz w:val="18"/>
        <w:szCs w:val="18"/>
      </w:rPr>
    </w:pPr>
    <w:r>
      <w:rPr>
        <w:noProof/>
        <w:lang w:val="es-ES" w:eastAsia="es-ES"/>
      </w:rPr>
      <w:drawing>
        <wp:inline distT="0" distB="0" distL="0" distR="0" wp14:anchorId="54B782F7" wp14:editId="1F282FC6">
          <wp:extent cx="5536361" cy="793122"/>
          <wp:effectExtent l="19050" t="0" r="7189"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36431" cy="793132"/>
                  </a:xfrm>
                  <a:prstGeom prst="rect">
                    <a:avLst/>
                  </a:prstGeom>
                  <a:noFill/>
                </pic:spPr>
              </pic:pic>
            </a:graphicData>
          </a:graphic>
        </wp:inline>
      </w:drawing>
    </w:r>
  </w:p>
  <w:p w14:paraId="1C4EFD64" w14:textId="77777777" w:rsidR="006F4440" w:rsidRPr="005D7D01" w:rsidRDefault="006F4440" w:rsidP="005C15F4">
    <w:pPr>
      <w:pStyle w:val="Encabezado"/>
      <w:jc w:val="center"/>
      <w:rPr>
        <w:rStyle w:val="Nmerodepgi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D73"/>
    <w:multiLevelType w:val="hybridMultilevel"/>
    <w:tmpl w:val="409026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2" w15:restartNumberingAfterBreak="0">
    <w:nsid w:val="0EAC1F8A"/>
    <w:multiLevelType w:val="multilevel"/>
    <w:tmpl w:val="37587DA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B60594"/>
    <w:multiLevelType w:val="multilevel"/>
    <w:tmpl w:val="02F0F144"/>
    <w:lvl w:ilvl="0">
      <w:start w:val="1"/>
      <w:numFmt w:val="decimal"/>
      <w:pStyle w:val="Listaconnmeros"/>
      <w:lvlText w:val="%1"/>
      <w:lvlJc w:val="left"/>
      <w:pPr>
        <w:tabs>
          <w:tab w:val="num" w:pos="595"/>
        </w:tabs>
        <w:ind w:left="595" w:hanging="595"/>
      </w:pPr>
    </w:lvl>
    <w:lvl w:ilvl="1">
      <w:start w:val="1"/>
      <w:numFmt w:val="decimal"/>
      <w:pStyle w:val="Listaconnmeros2"/>
      <w:lvlText w:val="%2"/>
      <w:lvlJc w:val="left"/>
      <w:pPr>
        <w:tabs>
          <w:tab w:val="num" w:pos="1191"/>
        </w:tabs>
        <w:ind w:left="1191" w:hanging="595"/>
      </w:pPr>
    </w:lvl>
    <w:lvl w:ilvl="2">
      <w:start w:val="1"/>
      <w:numFmt w:val="decimal"/>
      <w:pStyle w:val="Listaconnmeros3"/>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4" w15:restartNumberingAfterBreak="0">
    <w:nsid w:val="13BC4035"/>
    <w:multiLevelType w:val="hybridMultilevel"/>
    <w:tmpl w:val="E84C3D5A"/>
    <w:lvl w:ilvl="0" w:tplc="D66EBD7E">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F36622"/>
    <w:multiLevelType w:val="hybridMultilevel"/>
    <w:tmpl w:val="138A0732"/>
    <w:lvl w:ilvl="0" w:tplc="4A6EAB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81549"/>
    <w:multiLevelType w:val="hybridMultilevel"/>
    <w:tmpl w:val="87A0A078"/>
    <w:lvl w:ilvl="0" w:tplc="E134258E">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221C3"/>
    <w:multiLevelType w:val="hybridMultilevel"/>
    <w:tmpl w:val="04126260"/>
    <w:lvl w:ilvl="0" w:tplc="EA487A2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0C3D20"/>
    <w:multiLevelType w:val="hybridMultilevel"/>
    <w:tmpl w:val="44EA25DC"/>
    <w:lvl w:ilvl="0" w:tplc="CAC0BC6C">
      <w:start w:val="1"/>
      <w:numFmt w:val="decimal"/>
      <w:lvlText w:val="%1)"/>
      <w:lvlJc w:val="left"/>
      <w:pPr>
        <w:tabs>
          <w:tab w:val="num" w:pos="720"/>
        </w:tabs>
        <w:ind w:left="720" w:hanging="360"/>
      </w:pPr>
      <w:rPr>
        <w:rFonts w:ascii="Arial Narrow" w:hAnsi="Arial Narrow" w:cs="Arial" w:hint="default"/>
        <w:b/>
        <w:i w:val="0"/>
        <w:sz w:val="20"/>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0" w15:restartNumberingAfterBreak="0">
    <w:nsid w:val="394079C2"/>
    <w:multiLevelType w:val="multilevel"/>
    <w:tmpl w:val="D8468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ADB2674"/>
    <w:multiLevelType w:val="multilevel"/>
    <w:tmpl w:val="AFDE51D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E767F7"/>
    <w:multiLevelType w:val="multilevel"/>
    <w:tmpl w:val="605AE3E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606454"/>
    <w:multiLevelType w:val="multilevel"/>
    <w:tmpl w:val="84F089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AF3C87"/>
    <w:multiLevelType w:val="hybridMultilevel"/>
    <w:tmpl w:val="9CDADE52"/>
    <w:lvl w:ilvl="0" w:tplc="B7D4EDA0">
      <w:start w:val="1"/>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F42768"/>
    <w:multiLevelType w:val="hybridMultilevel"/>
    <w:tmpl w:val="31804C56"/>
    <w:lvl w:ilvl="0" w:tplc="0C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360"/>
        </w:tabs>
        <w:ind w:left="36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F2A5335"/>
    <w:multiLevelType w:val="hybridMultilevel"/>
    <w:tmpl w:val="A464F7F0"/>
    <w:lvl w:ilvl="0" w:tplc="CB065296">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AF5D34"/>
    <w:multiLevelType w:val="multilevel"/>
    <w:tmpl w:val="CA748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5D330C"/>
    <w:multiLevelType w:val="hybridMultilevel"/>
    <w:tmpl w:val="1C147EF2"/>
    <w:lvl w:ilvl="0" w:tplc="EA82180E">
      <w:start w:val="1"/>
      <w:numFmt w:val="decimal"/>
      <w:lvlText w:val="Nota %1. "/>
      <w:lvlJc w:val="left"/>
      <w:pPr>
        <w:tabs>
          <w:tab w:val="num" w:pos="360"/>
        </w:tabs>
        <w:ind w:left="360" w:hanging="360"/>
      </w:pPr>
      <w:rPr>
        <w:rFonts w:ascii="Arial Narrow" w:hAnsi="Arial Narrow" w:cs="Arial" w:hint="default"/>
        <w:b/>
        <w:i w:val="0"/>
        <w:sz w:val="24"/>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0C0A000F">
      <w:start w:val="1"/>
      <w:numFmt w:val="decimal"/>
      <w:lvlText w:val="%4."/>
      <w:lvlJc w:val="left"/>
      <w:pPr>
        <w:tabs>
          <w:tab w:val="num" w:pos="2880"/>
        </w:tabs>
        <w:ind w:left="2880" w:hanging="360"/>
      </w:pPr>
      <w:rPr>
        <w:rFonts w:hint="default"/>
        <w:b/>
        <w:i w:val="0"/>
        <w:sz w:val="20"/>
        <w:szCs w:val="20"/>
      </w:rPr>
    </w:lvl>
    <w:lvl w:ilvl="4" w:tplc="4344E2CC">
      <w:start w:val="1"/>
      <w:numFmt w:val="lowerLetter"/>
      <w:lvlText w:val="%5)"/>
      <w:lvlJc w:val="left"/>
      <w:pPr>
        <w:tabs>
          <w:tab w:val="num" w:pos="3600"/>
        </w:tabs>
        <w:ind w:left="3600" w:hanging="360"/>
      </w:pPr>
      <w:rPr>
        <w:rFonts w:ascii="Arial" w:hAnsi="Arial" w:hint="default"/>
        <w:b w:val="0"/>
        <w:i w:val="0"/>
        <w:sz w:val="22"/>
        <w:szCs w:val="22"/>
        <w:u w:val="none"/>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0" w15:restartNumberingAfterBreak="0">
    <w:nsid w:val="6581452E"/>
    <w:multiLevelType w:val="hybridMultilevel"/>
    <w:tmpl w:val="ECD44978"/>
    <w:lvl w:ilvl="0" w:tplc="D54A0736">
      <w:start w:val="619"/>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FF2B0C"/>
    <w:multiLevelType w:val="multilevel"/>
    <w:tmpl w:val="44549DC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15:restartNumberingAfterBreak="0">
    <w:nsid w:val="6643577D"/>
    <w:multiLevelType w:val="hybridMultilevel"/>
    <w:tmpl w:val="D7C64EAA"/>
    <w:lvl w:ilvl="0" w:tplc="79DECF56">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910D2C"/>
    <w:multiLevelType w:val="multilevel"/>
    <w:tmpl w:val="0840F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AD4297"/>
    <w:multiLevelType w:val="hybridMultilevel"/>
    <w:tmpl w:val="D7C64EAA"/>
    <w:lvl w:ilvl="0" w:tplc="79DECF56">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9410AF"/>
    <w:multiLevelType w:val="hybridMultilevel"/>
    <w:tmpl w:val="7584C1A2"/>
    <w:lvl w:ilvl="0" w:tplc="5142B032">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F936F9"/>
    <w:multiLevelType w:val="hybridMultilevel"/>
    <w:tmpl w:val="B830945C"/>
    <w:lvl w:ilvl="0" w:tplc="F3A25296">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9"/>
  </w:num>
  <w:num w:numId="4">
    <w:abstractNumId w:val="18"/>
  </w:num>
  <w:num w:numId="5">
    <w:abstractNumId w:val="26"/>
  </w:num>
  <w:num w:numId="6">
    <w:abstractNumId w:val="15"/>
  </w:num>
  <w:num w:numId="7">
    <w:abstractNumId w:val="7"/>
  </w:num>
  <w:num w:numId="8">
    <w:abstractNumId w:val="25"/>
  </w:num>
  <w:num w:numId="9">
    <w:abstractNumId w:val="6"/>
  </w:num>
  <w:num w:numId="10">
    <w:abstractNumId w:val="16"/>
  </w:num>
  <w:num w:numId="11">
    <w:abstractNumId w:val="24"/>
  </w:num>
  <w:num w:numId="12">
    <w:abstractNumId w:val="5"/>
  </w:num>
  <w:num w:numId="13">
    <w:abstractNumId w:val="4"/>
  </w:num>
  <w:num w:numId="14">
    <w:abstractNumId w:val="8"/>
  </w:num>
  <w:num w:numId="15">
    <w:abstractNumId w:val="23"/>
  </w:num>
  <w:num w:numId="16">
    <w:abstractNumId w:val="13"/>
  </w:num>
  <w:num w:numId="17">
    <w:abstractNumId w:val="11"/>
  </w:num>
  <w:num w:numId="18">
    <w:abstractNumId w:val="0"/>
  </w:num>
  <w:num w:numId="19">
    <w:abstractNumId w:val="2"/>
  </w:num>
  <w:num w:numId="20">
    <w:abstractNumId w:val="22"/>
  </w:num>
  <w:num w:numId="21">
    <w:abstractNumId w:val="19"/>
  </w:num>
  <w:num w:numId="22">
    <w:abstractNumId w:val="14"/>
  </w:num>
  <w:num w:numId="23">
    <w:abstractNumId w:val="20"/>
  </w:num>
  <w:num w:numId="24">
    <w:abstractNumId w:val="10"/>
  </w:num>
  <w:num w:numId="25">
    <w:abstractNumId w:val="17"/>
  </w:num>
  <w:num w:numId="26">
    <w:abstractNumId w:val="2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0" w:nlCheck="1" w:checkStyle="1"/>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E0"/>
    <w:rsid w:val="00001E83"/>
    <w:rsid w:val="00002009"/>
    <w:rsid w:val="000020EE"/>
    <w:rsid w:val="00003636"/>
    <w:rsid w:val="00003964"/>
    <w:rsid w:val="000039A7"/>
    <w:rsid w:val="00004080"/>
    <w:rsid w:val="000041EA"/>
    <w:rsid w:val="00004863"/>
    <w:rsid w:val="00004882"/>
    <w:rsid w:val="0000521C"/>
    <w:rsid w:val="00005AE8"/>
    <w:rsid w:val="00006273"/>
    <w:rsid w:val="00007313"/>
    <w:rsid w:val="00007778"/>
    <w:rsid w:val="00007C4B"/>
    <w:rsid w:val="000106CC"/>
    <w:rsid w:val="00011175"/>
    <w:rsid w:val="000112DB"/>
    <w:rsid w:val="000129EA"/>
    <w:rsid w:val="00013EB9"/>
    <w:rsid w:val="000167A8"/>
    <w:rsid w:val="00016933"/>
    <w:rsid w:val="00016AC7"/>
    <w:rsid w:val="00016B43"/>
    <w:rsid w:val="00016E2D"/>
    <w:rsid w:val="000173EF"/>
    <w:rsid w:val="00017706"/>
    <w:rsid w:val="00017C3D"/>
    <w:rsid w:val="00017E49"/>
    <w:rsid w:val="00020012"/>
    <w:rsid w:val="000206BA"/>
    <w:rsid w:val="00021197"/>
    <w:rsid w:val="00021201"/>
    <w:rsid w:val="00021FD9"/>
    <w:rsid w:val="00023186"/>
    <w:rsid w:val="00023D31"/>
    <w:rsid w:val="00023D63"/>
    <w:rsid w:val="00023E3C"/>
    <w:rsid w:val="00024E1E"/>
    <w:rsid w:val="00025093"/>
    <w:rsid w:val="00025496"/>
    <w:rsid w:val="00025A91"/>
    <w:rsid w:val="00025AD7"/>
    <w:rsid w:val="00030084"/>
    <w:rsid w:val="000310C2"/>
    <w:rsid w:val="0003201B"/>
    <w:rsid w:val="00032181"/>
    <w:rsid w:val="000323C0"/>
    <w:rsid w:val="00032FE1"/>
    <w:rsid w:val="00033317"/>
    <w:rsid w:val="0003345D"/>
    <w:rsid w:val="000334E2"/>
    <w:rsid w:val="0003402C"/>
    <w:rsid w:val="00034620"/>
    <w:rsid w:val="00034811"/>
    <w:rsid w:val="000350D1"/>
    <w:rsid w:val="0003594A"/>
    <w:rsid w:val="00035A4C"/>
    <w:rsid w:val="00035FA0"/>
    <w:rsid w:val="0003670B"/>
    <w:rsid w:val="00036CE6"/>
    <w:rsid w:val="00036E38"/>
    <w:rsid w:val="00037CF9"/>
    <w:rsid w:val="00041577"/>
    <w:rsid w:val="0004214C"/>
    <w:rsid w:val="0004255F"/>
    <w:rsid w:val="0004288E"/>
    <w:rsid w:val="000429FD"/>
    <w:rsid w:val="0004390C"/>
    <w:rsid w:val="00043B1C"/>
    <w:rsid w:val="00043CBE"/>
    <w:rsid w:val="00044081"/>
    <w:rsid w:val="0004474A"/>
    <w:rsid w:val="000447FC"/>
    <w:rsid w:val="000455E3"/>
    <w:rsid w:val="00045D00"/>
    <w:rsid w:val="00045ECA"/>
    <w:rsid w:val="00046921"/>
    <w:rsid w:val="00046979"/>
    <w:rsid w:val="00047B4E"/>
    <w:rsid w:val="0005299F"/>
    <w:rsid w:val="00052AAF"/>
    <w:rsid w:val="00052FC8"/>
    <w:rsid w:val="000530D5"/>
    <w:rsid w:val="00053560"/>
    <w:rsid w:val="00054320"/>
    <w:rsid w:val="00054F4C"/>
    <w:rsid w:val="000551C2"/>
    <w:rsid w:val="00055325"/>
    <w:rsid w:val="00055423"/>
    <w:rsid w:val="00056E0B"/>
    <w:rsid w:val="000572D8"/>
    <w:rsid w:val="00057B0F"/>
    <w:rsid w:val="000600E6"/>
    <w:rsid w:val="00061C9A"/>
    <w:rsid w:val="00063840"/>
    <w:rsid w:val="000652BE"/>
    <w:rsid w:val="00065FDB"/>
    <w:rsid w:val="00067815"/>
    <w:rsid w:val="00067A3F"/>
    <w:rsid w:val="00070578"/>
    <w:rsid w:val="000705AC"/>
    <w:rsid w:val="00071519"/>
    <w:rsid w:val="00071F5B"/>
    <w:rsid w:val="0007249F"/>
    <w:rsid w:val="000727E0"/>
    <w:rsid w:val="0007299E"/>
    <w:rsid w:val="00072D01"/>
    <w:rsid w:val="000740F2"/>
    <w:rsid w:val="00074379"/>
    <w:rsid w:val="000748E4"/>
    <w:rsid w:val="00074AD0"/>
    <w:rsid w:val="00075251"/>
    <w:rsid w:val="00075D6C"/>
    <w:rsid w:val="00076355"/>
    <w:rsid w:val="0007649F"/>
    <w:rsid w:val="00076715"/>
    <w:rsid w:val="00076A67"/>
    <w:rsid w:val="00076F6F"/>
    <w:rsid w:val="00077462"/>
    <w:rsid w:val="0007766C"/>
    <w:rsid w:val="000778FC"/>
    <w:rsid w:val="00077ADC"/>
    <w:rsid w:val="000807E7"/>
    <w:rsid w:val="00080814"/>
    <w:rsid w:val="00080B76"/>
    <w:rsid w:val="00080D7B"/>
    <w:rsid w:val="0008151E"/>
    <w:rsid w:val="0008159B"/>
    <w:rsid w:val="00081B4E"/>
    <w:rsid w:val="000829DC"/>
    <w:rsid w:val="0008335D"/>
    <w:rsid w:val="00083D53"/>
    <w:rsid w:val="000845AC"/>
    <w:rsid w:val="00084A3B"/>
    <w:rsid w:val="00084AA8"/>
    <w:rsid w:val="00084B25"/>
    <w:rsid w:val="00084D5E"/>
    <w:rsid w:val="000851CF"/>
    <w:rsid w:val="000855B5"/>
    <w:rsid w:val="000859B1"/>
    <w:rsid w:val="00085C08"/>
    <w:rsid w:val="00087148"/>
    <w:rsid w:val="000873B8"/>
    <w:rsid w:val="00090843"/>
    <w:rsid w:val="00091072"/>
    <w:rsid w:val="00091258"/>
    <w:rsid w:val="000919E6"/>
    <w:rsid w:val="00092339"/>
    <w:rsid w:val="0009337A"/>
    <w:rsid w:val="000936CB"/>
    <w:rsid w:val="00093DCF"/>
    <w:rsid w:val="00094323"/>
    <w:rsid w:val="0009565B"/>
    <w:rsid w:val="00095AA4"/>
    <w:rsid w:val="00095E8A"/>
    <w:rsid w:val="00096A8F"/>
    <w:rsid w:val="000973AC"/>
    <w:rsid w:val="0009782C"/>
    <w:rsid w:val="000A006F"/>
    <w:rsid w:val="000A0B44"/>
    <w:rsid w:val="000A116E"/>
    <w:rsid w:val="000A2701"/>
    <w:rsid w:val="000A30DF"/>
    <w:rsid w:val="000A404D"/>
    <w:rsid w:val="000A446C"/>
    <w:rsid w:val="000A4BDD"/>
    <w:rsid w:val="000A4CAB"/>
    <w:rsid w:val="000A56E0"/>
    <w:rsid w:val="000A58B4"/>
    <w:rsid w:val="000A647A"/>
    <w:rsid w:val="000A64DC"/>
    <w:rsid w:val="000A65EF"/>
    <w:rsid w:val="000A661C"/>
    <w:rsid w:val="000A6B7B"/>
    <w:rsid w:val="000A7B77"/>
    <w:rsid w:val="000B0615"/>
    <w:rsid w:val="000B07DF"/>
    <w:rsid w:val="000B1829"/>
    <w:rsid w:val="000B1DA7"/>
    <w:rsid w:val="000B2051"/>
    <w:rsid w:val="000B26E8"/>
    <w:rsid w:val="000B2FC7"/>
    <w:rsid w:val="000B30CE"/>
    <w:rsid w:val="000B3141"/>
    <w:rsid w:val="000B3402"/>
    <w:rsid w:val="000B39B1"/>
    <w:rsid w:val="000B39EA"/>
    <w:rsid w:val="000B467C"/>
    <w:rsid w:val="000B4C78"/>
    <w:rsid w:val="000B4CE4"/>
    <w:rsid w:val="000B4FFE"/>
    <w:rsid w:val="000B5D48"/>
    <w:rsid w:val="000B66C9"/>
    <w:rsid w:val="000B688E"/>
    <w:rsid w:val="000B71AA"/>
    <w:rsid w:val="000B7BC2"/>
    <w:rsid w:val="000B7D4F"/>
    <w:rsid w:val="000C11D6"/>
    <w:rsid w:val="000C179C"/>
    <w:rsid w:val="000C1C12"/>
    <w:rsid w:val="000C1DEC"/>
    <w:rsid w:val="000C1E01"/>
    <w:rsid w:val="000C2DED"/>
    <w:rsid w:val="000C37A0"/>
    <w:rsid w:val="000C553B"/>
    <w:rsid w:val="000C5E0E"/>
    <w:rsid w:val="000C5F1A"/>
    <w:rsid w:val="000C5F98"/>
    <w:rsid w:val="000C65BB"/>
    <w:rsid w:val="000C6925"/>
    <w:rsid w:val="000C6F08"/>
    <w:rsid w:val="000C71E7"/>
    <w:rsid w:val="000C730C"/>
    <w:rsid w:val="000C7C27"/>
    <w:rsid w:val="000C7FBE"/>
    <w:rsid w:val="000D0144"/>
    <w:rsid w:val="000D0512"/>
    <w:rsid w:val="000D0B3F"/>
    <w:rsid w:val="000D0E3B"/>
    <w:rsid w:val="000D1677"/>
    <w:rsid w:val="000D1ACD"/>
    <w:rsid w:val="000D1DCA"/>
    <w:rsid w:val="000D1E74"/>
    <w:rsid w:val="000D227A"/>
    <w:rsid w:val="000D2A2C"/>
    <w:rsid w:val="000D2BBC"/>
    <w:rsid w:val="000D2E6D"/>
    <w:rsid w:val="000D2FC0"/>
    <w:rsid w:val="000D2FFE"/>
    <w:rsid w:val="000D362D"/>
    <w:rsid w:val="000D3C22"/>
    <w:rsid w:val="000D4780"/>
    <w:rsid w:val="000D4C1E"/>
    <w:rsid w:val="000D4E66"/>
    <w:rsid w:val="000D5653"/>
    <w:rsid w:val="000D5C82"/>
    <w:rsid w:val="000D5F91"/>
    <w:rsid w:val="000D627D"/>
    <w:rsid w:val="000D69F0"/>
    <w:rsid w:val="000D6E40"/>
    <w:rsid w:val="000D6FC2"/>
    <w:rsid w:val="000D718D"/>
    <w:rsid w:val="000D7465"/>
    <w:rsid w:val="000D78CF"/>
    <w:rsid w:val="000D7AF0"/>
    <w:rsid w:val="000E00D5"/>
    <w:rsid w:val="000E0260"/>
    <w:rsid w:val="000E10B5"/>
    <w:rsid w:val="000E16D1"/>
    <w:rsid w:val="000E2861"/>
    <w:rsid w:val="000E2BE5"/>
    <w:rsid w:val="000E2ED2"/>
    <w:rsid w:val="000E2F1B"/>
    <w:rsid w:val="000E37AC"/>
    <w:rsid w:val="000E3840"/>
    <w:rsid w:val="000E3A24"/>
    <w:rsid w:val="000E3F85"/>
    <w:rsid w:val="000E456E"/>
    <w:rsid w:val="000E4634"/>
    <w:rsid w:val="000E493A"/>
    <w:rsid w:val="000E4AD3"/>
    <w:rsid w:val="000E4E85"/>
    <w:rsid w:val="000E4F80"/>
    <w:rsid w:val="000E52F4"/>
    <w:rsid w:val="000E58A4"/>
    <w:rsid w:val="000E5F6D"/>
    <w:rsid w:val="000E6C23"/>
    <w:rsid w:val="000E7485"/>
    <w:rsid w:val="000E7A9E"/>
    <w:rsid w:val="000E7DB0"/>
    <w:rsid w:val="000E7FE0"/>
    <w:rsid w:val="000F02CB"/>
    <w:rsid w:val="000F06EC"/>
    <w:rsid w:val="000F0CD2"/>
    <w:rsid w:val="000F0E87"/>
    <w:rsid w:val="000F1127"/>
    <w:rsid w:val="000F1778"/>
    <w:rsid w:val="000F1DB5"/>
    <w:rsid w:val="000F1DD5"/>
    <w:rsid w:val="000F2108"/>
    <w:rsid w:val="000F2EB6"/>
    <w:rsid w:val="000F2EF0"/>
    <w:rsid w:val="000F4352"/>
    <w:rsid w:val="000F476A"/>
    <w:rsid w:val="000F513B"/>
    <w:rsid w:val="000F58F6"/>
    <w:rsid w:val="000F5E3D"/>
    <w:rsid w:val="000F5FB3"/>
    <w:rsid w:val="000F6B2B"/>
    <w:rsid w:val="000F6D30"/>
    <w:rsid w:val="000F7686"/>
    <w:rsid w:val="000F7A08"/>
    <w:rsid w:val="000F7CB5"/>
    <w:rsid w:val="000F7FB1"/>
    <w:rsid w:val="00100242"/>
    <w:rsid w:val="00100277"/>
    <w:rsid w:val="00100CDB"/>
    <w:rsid w:val="00100F05"/>
    <w:rsid w:val="00100FC3"/>
    <w:rsid w:val="0010109E"/>
    <w:rsid w:val="00101901"/>
    <w:rsid w:val="00101CB0"/>
    <w:rsid w:val="00101D2D"/>
    <w:rsid w:val="001023AD"/>
    <w:rsid w:val="001023E9"/>
    <w:rsid w:val="00103B8E"/>
    <w:rsid w:val="0010411D"/>
    <w:rsid w:val="001045DE"/>
    <w:rsid w:val="00104FF8"/>
    <w:rsid w:val="001062FF"/>
    <w:rsid w:val="00106379"/>
    <w:rsid w:val="00106954"/>
    <w:rsid w:val="00106A07"/>
    <w:rsid w:val="00106E87"/>
    <w:rsid w:val="0010731E"/>
    <w:rsid w:val="00107623"/>
    <w:rsid w:val="00107653"/>
    <w:rsid w:val="00107D67"/>
    <w:rsid w:val="00110185"/>
    <w:rsid w:val="001101AF"/>
    <w:rsid w:val="00110829"/>
    <w:rsid w:val="0011112D"/>
    <w:rsid w:val="00111289"/>
    <w:rsid w:val="001113D1"/>
    <w:rsid w:val="00111449"/>
    <w:rsid w:val="001133AC"/>
    <w:rsid w:val="001141D8"/>
    <w:rsid w:val="00114BFF"/>
    <w:rsid w:val="00114C77"/>
    <w:rsid w:val="00114DEA"/>
    <w:rsid w:val="0011507F"/>
    <w:rsid w:val="001152C8"/>
    <w:rsid w:val="0011535F"/>
    <w:rsid w:val="00115773"/>
    <w:rsid w:val="0011580F"/>
    <w:rsid w:val="001158E9"/>
    <w:rsid w:val="00115B5C"/>
    <w:rsid w:val="001174A2"/>
    <w:rsid w:val="001177F4"/>
    <w:rsid w:val="00120392"/>
    <w:rsid w:val="001207A3"/>
    <w:rsid w:val="001210E5"/>
    <w:rsid w:val="00121A77"/>
    <w:rsid w:val="001226A0"/>
    <w:rsid w:val="00122D9B"/>
    <w:rsid w:val="00123BBF"/>
    <w:rsid w:val="00123CAE"/>
    <w:rsid w:val="001245EF"/>
    <w:rsid w:val="00124F11"/>
    <w:rsid w:val="0012662D"/>
    <w:rsid w:val="00126AF2"/>
    <w:rsid w:val="00126C8E"/>
    <w:rsid w:val="001300C7"/>
    <w:rsid w:val="00130A40"/>
    <w:rsid w:val="0013185A"/>
    <w:rsid w:val="00132E27"/>
    <w:rsid w:val="00132E92"/>
    <w:rsid w:val="00133217"/>
    <w:rsid w:val="00133394"/>
    <w:rsid w:val="00134167"/>
    <w:rsid w:val="00134880"/>
    <w:rsid w:val="00134E70"/>
    <w:rsid w:val="0013544C"/>
    <w:rsid w:val="00135486"/>
    <w:rsid w:val="00135758"/>
    <w:rsid w:val="00135937"/>
    <w:rsid w:val="001360F6"/>
    <w:rsid w:val="0013617E"/>
    <w:rsid w:val="00136581"/>
    <w:rsid w:val="00136800"/>
    <w:rsid w:val="00136F37"/>
    <w:rsid w:val="00137276"/>
    <w:rsid w:val="0013746A"/>
    <w:rsid w:val="00137559"/>
    <w:rsid w:val="001379C7"/>
    <w:rsid w:val="00137D2A"/>
    <w:rsid w:val="00140AEA"/>
    <w:rsid w:val="0014247F"/>
    <w:rsid w:val="00142811"/>
    <w:rsid w:val="00143A34"/>
    <w:rsid w:val="00144481"/>
    <w:rsid w:val="00144C75"/>
    <w:rsid w:val="001450A3"/>
    <w:rsid w:val="00145340"/>
    <w:rsid w:val="0014546F"/>
    <w:rsid w:val="001468E8"/>
    <w:rsid w:val="001478DB"/>
    <w:rsid w:val="00150150"/>
    <w:rsid w:val="001501EA"/>
    <w:rsid w:val="0015025A"/>
    <w:rsid w:val="00150AF3"/>
    <w:rsid w:val="00150C40"/>
    <w:rsid w:val="00150E0E"/>
    <w:rsid w:val="00150FFE"/>
    <w:rsid w:val="00151606"/>
    <w:rsid w:val="0015200E"/>
    <w:rsid w:val="00153DD5"/>
    <w:rsid w:val="00153F1B"/>
    <w:rsid w:val="0015408A"/>
    <w:rsid w:val="00154367"/>
    <w:rsid w:val="001544F7"/>
    <w:rsid w:val="001551D9"/>
    <w:rsid w:val="00156166"/>
    <w:rsid w:val="00156194"/>
    <w:rsid w:val="00156310"/>
    <w:rsid w:val="00156445"/>
    <w:rsid w:val="00156457"/>
    <w:rsid w:val="001567E9"/>
    <w:rsid w:val="001579AD"/>
    <w:rsid w:val="00157A67"/>
    <w:rsid w:val="00157C3C"/>
    <w:rsid w:val="001601B8"/>
    <w:rsid w:val="001601EA"/>
    <w:rsid w:val="0016021A"/>
    <w:rsid w:val="00160261"/>
    <w:rsid w:val="001607C3"/>
    <w:rsid w:val="00160B13"/>
    <w:rsid w:val="0016140C"/>
    <w:rsid w:val="00161D3B"/>
    <w:rsid w:val="00163875"/>
    <w:rsid w:val="00163C37"/>
    <w:rsid w:val="00164B40"/>
    <w:rsid w:val="00164F2D"/>
    <w:rsid w:val="00165DDB"/>
    <w:rsid w:val="001665DA"/>
    <w:rsid w:val="00167111"/>
    <w:rsid w:val="00171114"/>
    <w:rsid w:val="0017284E"/>
    <w:rsid w:val="00173880"/>
    <w:rsid w:val="00174B51"/>
    <w:rsid w:val="0017509E"/>
    <w:rsid w:val="00175621"/>
    <w:rsid w:val="00175840"/>
    <w:rsid w:val="00176429"/>
    <w:rsid w:val="001766CD"/>
    <w:rsid w:val="00180E6F"/>
    <w:rsid w:val="00181A33"/>
    <w:rsid w:val="00181B1B"/>
    <w:rsid w:val="00181D96"/>
    <w:rsid w:val="00182571"/>
    <w:rsid w:val="00182B30"/>
    <w:rsid w:val="00182FFE"/>
    <w:rsid w:val="00183061"/>
    <w:rsid w:val="00183A3A"/>
    <w:rsid w:val="00183C29"/>
    <w:rsid w:val="00183F35"/>
    <w:rsid w:val="001840C8"/>
    <w:rsid w:val="00185419"/>
    <w:rsid w:val="00185E10"/>
    <w:rsid w:val="00185EE8"/>
    <w:rsid w:val="0018682E"/>
    <w:rsid w:val="00186AB9"/>
    <w:rsid w:val="00186AEC"/>
    <w:rsid w:val="00186CF6"/>
    <w:rsid w:val="00187452"/>
    <w:rsid w:val="00187996"/>
    <w:rsid w:val="00190342"/>
    <w:rsid w:val="00190C24"/>
    <w:rsid w:val="001914F0"/>
    <w:rsid w:val="001921B3"/>
    <w:rsid w:val="001922F4"/>
    <w:rsid w:val="001923C3"/>
    <w:rsid w:val="0019245F"/>
    <w:rsid w:val="001929E2"/>
    <w:rsid w:val="00192A02"/>
    <w:rsid w:val="00192F46"/>
    <w:rsid w:val="00193168"/>
    <w:rsid w:val="00193256"/>
    <w:rsid w:val="00193D44"/>
    <w:rsid w:val="0019459C"/>
    <w:rsid w:val="00195ABC"/>
    <w:rsid w:val="00195C73"/>
    <w:rsid w:val="00195DA7"/>
    <w:rsid w:val="00195DAC"/>
    <w:rsid w:val="001969B4"/>
    <w:rsid w:val="00197881"/>
    <w:rsid w:val="00197A85"/>
    <w:rsid w:val="001A0366"/>
    <w:rsid w:val="001A08C2"/>
    <w:rsid w:val="001A16C6"/>
    <w:rsid w:val="001A1F9B"/>
    <w:rsid w:val="001A22B0"/>
    <w:rsid w:val="001A2F49"/>
    <w:rsid w:val="001A31F8"/>
    <w:rsid w:val="001A321F"/>
    <w:rsid w:val="001A339F"/>
    <w:rsid w:val="001A3483"/>
    <w:rsid w:val="001A3941"/>
    <w:rsid w:val="001A43A6"/>
    <w:rsid w:val="001A45DB"/>
    <w:rsid w:val="001A4B69"/>
    <w:rsid w:val="001A54E0"/>
    <w:rsid w:val="001A5975"/>
    <w:rsid w:val="001A600F"/>
    <w:rsid w:val="001A7542"/>
    <w:rsid w:val="001A7ADA"/>
    <w:rsid w:val="001B058C"/>
    <w:rsid w:val="001B1A90"/>
    <w:rsid w:val="001B1D16"/>
    <w:rsid w:val="001B2453"/>
    <w:rsid w:val="001B29C2"/>
    <w:rsid w:val="001B2DFA"/>
    <w:rsid w:val="001B2F31"/>
    <w:rsid w:val="001B2FFD"/>
    <w:rsid w:val="001B4FAB"/>
    <w:rsid w:val="001B50C2"/>
    <w:rsid w:val="001B5CE4"/>
    <w:rsid w:val="001B6060"/>
    <w:rsid w:val="001B7280"/>
    <w:rsid w:val="001C197E"/>
    <w:rsid w:val="001C2C16"/>
    <w:rsid w:val="001C3323"/>
    <w:rsid w:val="001C3367"/>
    <w:rsid w:val="001C41EA"/>
    <w:rsid w:val="001C4672"/>
    <w:rsid w:val="001C5A4F"/>
    <w:rsid w:val="001C623B"/>
    <w:rsid w:val="001C64C6"/>
    <w:rsid w:val="001C6EAA"/>
    <w:rsid w:val="001C755A"/>
    <w:rsid w:val="001C783D"/>
    <w:rsid w:val="001C7913"/>
    <w:rsid w:val="001D0591"/>
    <w:rsid w:val="001D05AA"/>
    <w:rsid w:val="001D0DAF"/>
    <w:rsid w:val="001D142E"/>
    <w:rsid w:val="001D1A5E"/>
    <w:rsid w:val="001D1A7B"/>
    <w:rsid w:val="001D1E0E"/>
    <w:rsid w:val="001D2628"/>
    <w:rsid w:val="001D2743"/>
    <w:rsid w:val="001D2762"/>
    <w:rsid w:val="001D2937"/>
    <w:rsid w:val="001D2B07"/>
    <w:rsid w:val="001D3A2B"/>
    <w:rsid w:val="001D3B07"/>
    <w:rsid w:val="001D40A4"/>
    <w:rsid w:val="001D4A49"/>
    <w:rsid w:val="001D540B"/>
    <w:rsid w:val="001D67CA"/>
    <w:rsid w:val="001D69BE"/>
    <w:rsid w:val="001D6BD7"/>
    <w:rsid w:val="001D6D27"/>
    <w:rsid w:val="001D6F43"/>
    <w:rsid w:val="001D70B8"/>
    <w:rsid w:val="001D7259"/>
    <w:rsid w:val="001E00E7"/>
    <w:rsid w:val="001E1243"/>
    <w:rsid w:val="001E12C1"/>
    <w:rsid w:val="001E1693"/>
    <w:rsid w:val="001E222D"/>
    <w:rsid w:val="001E2309"/>
    <w:rsid w:val="001E2BB3"/>
    <w:rsid w:val="001E3D5C"/>
    <w:rsid w:val="001E3D7D"/>
    <w:rsid w:val="001E49EF"/>
    <w:rsid w:val="001E4B07"/>
    <w:rsid w:val="001E512D"/>
    <w:rsid w:val="001E56F3"/>
    <w:rsid w:val="001E67C6"/>
    <w:rsid w:val="001F038C"/>
    <w:rsid w:val="001F082B"/>
    <w:rsid w:val="001F1553"/>
    <w:rsid w:val="001F1BA7"/>
    <w:rsid w:val="001F25D3"/>
    <w:rsid w:val="001F39CF"/>
    <w:rsid w:val="001F401C"/>
    <w:rsid w:val="001F4A01"/>
    <w:rsid w:val="001F56A2"/>
    <w:rsid w:val="001F5A61"/>
    <w:rsid w:val="001F69A2"/>
    <w:rsid w:val="001F74B8"/>
    <w:rsid w:val="001F78A3"/>
    <w:rsid w:val="00200BB1"/>
    <w:rsid w:val="002017FC"/>
    <w:rsid w:val="0020189A"/>
    <w:rsid w:val="002020E9"/>
    <w:rsid w:val="00202569"/>
    <w:rsid w:val="002025AF"/>
    <w:rsid w:val="002037B4"/>
    <w:rsid w:val="00203AE9"/>
    <w:rsid w:val="002045F4"/>
    <w:rsid w:val="00204C68"/>
    <w:rsid w:val="00204DA3"/>
    <w:rsid w:val="002054C3"/>
    <w:rsid w:val="0020584D"/>
    <w:rsid w:val="00205EC2"/>
    <w:rsid w:val="00205FBD"/>
    <w:rsid w:val="002063B9"/>
    <w:rsid w:val="00206BB2"/>
    <w:rsid w:val="00206D6A"/>
    <w:rsid w:val="00206DCB"/>
    <w:rsid w:val="0020719B"/>
    <w:rsid w:val="002077FC"/>
    <w:rsid w:val="0020789F"/>
    <w:rsid w:val="002105B7"/>
    <w:rsid w:val="0021076A"/>
    <w:rsid w:val="0021114E"/>
    <w:rsid w:val="0021207C"/>
    <w:rsid w:val="002124A6"/>
    <w:rsid w:val="002124B8"/>
    <w:rsid w:val="00212790"/>
    <w:rsid w:val="002129A4"/>
    <w:rsid w:val="002134B6"/>
    <w:rsid w:val="00213838"/>
    <w:rsid w:val="0021491A"/>
    <w:rsid w:val="00214B47"/>
    <w:rsid w:val="00215742"/>
    <w:rsid w:val="00216625"/>
    <w:rsid w:val="002168BC"/>
    <w:rsid w:val="002177A1"/>
    <w:rsid w:val="00220280"/>
    <w:rsid w:val="00220BBB"/>
    <w:rsid w:val="00220E8B"/>
    <w:rsid w:val="00221282"/>
    <w:rsid w:val="00221963"/>
    <w:rsid w:val="002219C4"/>
    <w:rsid w:val="00222A9C"/>
    <w:rsid w:val="00222C71"/>
    <w:rsid w:val="002242FC"/>
    <w:rsid w:val="00224919"/>
    <w:rsid w:val="00225AE0"/>
    <w:rsid w:val="00225C21"/>
    <w:rsid w:val="0022619C"/>
    <w:rsid w:val="002261B7"/>
    <w:rsid w:val="00226A7D"/>
    <w:rsid w:val="00226DC1"/>
    <w:rsid w:val="0022702C"/>
    <w:rsid w:val="002272EC"/>
    <w:rsid w:val="00227B5D"/>
    <w:rsid w:val="002301C1"/>
    <w:rsid w:val="0023057D"/>
    <w:rsid w:val="00230768"/>
    <w:rsid w:val="00230948"/>
    <w:rsid w:val="00230C8C"/>
    <w:rsid w:val="0023126E"/>
    <w:rsid w:val="0023159B"/>
    <w:rsid w:val="00231945"/>
    <w:rsid w:val="00232026"/>
    <w:rsid w:val="00232EA0"/>
    <w:rsid w:val="002333E2"/>
    <w:rsid w:val="0023357E"/>
    <w:rsid w:val="00234064"/>
    <w:rsid w:val="0023464C"/>
    <w:rsid w:val="00234D47"/>
    <w:rsid w:val="00235469"/>
    <w:rsid w:val="00235A01"/>
    <w:rsid w:val="00235C48"/>
    <w:rsid w:val="0023674D"/>
    <w:rsid w:val="0023728B"/>
    <w:rsid w:val="00237932"/>
    <w:rsid w:val="00237C97"/>
    <w:rsid w:val="002407DE"/>
    <w:rsid w:val="002407E0"/>
    <w:rsid w:val="0024080D"/>
    <w:rsid w:val="0024094B"/>
    <w:rsid w:val="00240BA1"/>
    <w:rsid w:val="00240CE2"/>
    <w:rsid w:val="00241BBB"/>
    <w:rsid w:val="00241E05"/>
    <w:rsid w:val="00242CD2"/>
    <w:rsid w:val="002448D1"/>
    <w:rsid w:val="002454E3"/>
    <w:rsid w:val="002459BB"/>
    <w:rsid w:val="00246341"/>
    <w:rsid w:val="00247B49"/>
    <w:rsid w:val="00250033"/>
    <w:rsid w:val="002502CE"/>
    <w:rsid w:val="0025063E"/>
    <w:rsid w:val="002508E6"/>
    <w:rsid w:val="00250F01"/>
    <w:rsid w:val="002515B4"/>
    <w:rsid w:val="002529D4"/>
    <w:rsid w:val="00253194"/>
    <w:rsid w:val="00253427"/>
    <w:rsid w:val="00253F13"/>
    <w:rsid w:val="002541FA"/>
    <w:rsid w:val="00254374"/>
    <w:rsid w:val="00254800"/>
    <w:rsid w:val="00254808"/>
    <w:rsid w:val="00254AF6"/>
    <w:rsid w:val="00255BA1"/>
    <w:rsid w:val="0025633D"/>
    <w:rsid w:val="00256ACC"/>
    <w:rsid w:val="00256C3F"/>
    <w:rsid w:val="00256D52"/>
    <w:rsid w:val="00256F5E"/>
    <w:rsid w:val="00257F57"/>
    <w:rsid w:val="00260BFE"/>
    <w:rsid w:val="002612A4"/>
    <w:rsid w:val="00261515"/>
    <w:rsid w:val="0026185B"/>
    <w:rsid w:val="00262497"/>
    <w:rsid w:val="0026262A"/>
    <w:rsid w:val="00262680"/>
    <w:rsid w:val="00262FDD"/>
    <w:rsid w:val="0026318D"/>
    <w:rsid w:val="002632C8"/>
    <w:rsid w:val="00263C5E"/>
    <w:rsid w:val="00263D7A"/>
    <w:rsid w:val="00263F73"/>
    <w:rsid w:val="002646B6"/>
    <w:rsid w:val="00264C9B"/>
    <w:rsid w:val="002650AE"/>
    <w:rsid w:val="002651F0"/>
    <w:rsid w:val="00265577"/>
    <w:rsid w:val="002655B8"/>
    <w:rsid w:val="00265703"/>
    <w:rsid w:val="00266123"/>
    <w:rsid w:val="002662CC"/>
    <w:rsid w:val="00266C29"/>
    <w:rsid w:val="00267F0C"/>
    <w:rsid w:val="002703C2"/>
    <w:rsid w:val="0027041F"/>
    <w:rsid w:val="00270AB5"/>
    <w:rsid w:val="0027188A"/>
    <w:rsid w:val="0027197B"/>
    <w:rsid w:val="00271A75"/>
    <w:rsid w:val="00272202"/>
    <w:rsid w:val="0027233B"/>
    <w:rsid w:val="00272358"/>
    <w:rsid w:val="00272975"/>
    <w:rsid w:val="00272BE9"/>
    <w:rsid w:val="002731FA"/>
    <w:rsid w:val="002736C9"/>
    <w:rsid w:val="0027398A"/>
    <w:rsid w:val="0027462B"/>
    <w:rsid w:val="00275397"/>
    <w:rsid w:val="0027752A"/>
    <w:rsid w:val="00277C75"/>
    <w:rsid w:val="00280141"/>
    <w:rsid w:val="002803AE"/>
    <w:rsid w:val="00282A32"/>
    <w:rsid w:val="00283E05"/>
    <w:rsid w:val="00283F84"/>
    <w:rsid w:val="0028462F"/>
    <w:rsid w:val="00284C84"/>
    <w:rsid w:val="00284EAA"/>
    <w:rsid w:val="00284F8B"/>
    <w:rsid w:val="002853F4"/>
    <w:rsid w:val="00285410"/>
    <w:rsid w:val="00285DCF"/>
    <w:rsid w:val="0028681C"/>
    <w:rsid w:val="00286A9B"/>
    <w:rsid w:val="00286B7D"/>
    <w:rsid w:val="00286BA2"/>
    <w:rsid w:val="00286CFA"/>
    <w:rsid w:val="00286D11"/>
    <w:rsid w:val="0028713D"/>
    <w:rsid w:val="002871C4"/>
    <w:rsid w:val="0028791D"/>
    <w:rsid w:val="002879A3"/>
    <w:rsid w:val="00287C1C"/>
    <w:rsid w:val="00290660"/>
    <w:rsid w:val="00290BDF"/>
    <w:rsid w:val="002911F4"/>
    <w:rsid w:val="00292308"/>
    <w:rsid w:val="002925BE"/>
    <w:rsid w:val="002925F0"/>
    <w:rsid w:val="002926B4"/>
    <w:rsid w:val="0029292F"/>
    <w:rsid w:val="00292E1A"/>
    <w:rsid w:val="0029374A"/>
    <w:rsid w:val="00293953"/>
    <w:rsid w:val="00293CA6"/>
    <w:rsid w:val="00293EB8"/>
    <w:rsid w:val="00293F9A"/>
    <w:rsid w:val="00294035"/>
    <w:rsid w:val="002945D9"/>
    <w:rsid w:val="00295CDA"/>
    <w:rsid w:val="00296255"/>
    <w:rsid w:val="002968A1"/>
    <w:rsid w:val="002969F6"/>
    <w:rsid w:val="00296B77"/>
    <w:rsid w:val="00297816"/>
    <w:rsid w:val="0029781B"/>
    <w:rsid w:val="00297ABF"/>
    <w:rsid w:val="00297C67"/>
    <w:rsid w:val="002A0B7C"/>
    <w:rsid w:val="002A15C3"/>
    <w:rsid w:val="002A1BAE"/>
    <w:rsid w:val="002A205F"/>
    <w:rsid w:val="002A238D"/>
    <w:rsid w:val="002A2AAF"/>
    <w:rsid w:val="002A3BD2"/>
    <w:rsid w:val="002A48A9"/>
    <w:rsid w:val="002A786F"/>
    <w:rsid w:val="002B0103"/>
    <w:rsid w:val="002B0E07"/>
    <w:rsid w:val="002B1E34"/>
    <w:rsid w:val="002B2330"/>
    <w:rsid w:val="002B2851"/>
    <w:rsid w:val="002B42C1"/>
    <w:rsid w:val="002B461D"/>
    <w:rsid w:val="002B4BB6"/>
    <w:rsid w:val="002B4CE4"/>
    <w:rsid w:val="002B5D89"/>
    <w:rsid w:val="002B6C86"/>
    <w:rsid w:val="002B6E1F"/>
    <w:rsid w:val="002B78D8"/>
    <w:rsid w:val="002C0FF0"/>
    <w:rsid w:val="002C1702"/>
    <w:rsid w:val="002C195B"/>
    <w:rsid w:val="002C3063"/>
    <w:rsid w:val="002C4CA9"/>
    <w:rsid w:val="002C5246"/>
    <w:rsid w:val="002C538A"/>
    <w:rsid w:val="002C5795"/>
    <w:rsid w:val="002C610A"/>
    <w:rsid w:val="002C61F6"/>
    <w:rsid w:val="002C6E02"/>
    <w:rsid w:val="002C77CE"/>
    <w:rsid w:val="002C7B2A"/>
    <w:rsid w:val="002D09A0"/>
    <w:rsid w:val="002D191F"/>
    <w:rsid w:val="002D248D"/>
    <w:rsid w:val="002D27C7"/>
    <w:rsid w:val="002D29E0"/>
    <w:rsid w:val="002D2EA8"/>
    <w:rsid w:val="002D38A4"/>
    <w:rsid w:val="002D3D0C"/>
    <w:rsid w:val="002D4163"/>
    <w:rsid w:val="002D4A7E"/>
    <w:rsid w:val="002D5088"/>
    <w:rsid w:val="002D556D"/>
    <w:rsid w:val="002D5645"/>
    <w:rsid w:val="002D64AD"/>
    <w:rsid w:val="002D6602"/>
    <w:rsid w:val="002D6EB9"/>
    <w:rsid w:val="002D7AA3"/>
    <w:rsid w:val="002D7ECC"/>
    <w:rsid w:val="002D7FB2"/>
    <w:rsid w:val="002E0A70"/>
    <w:rsid w:val="002E164B"/>
    <w:rsid w:val="002E205A"/>
    <w:rsid w:val="002E316B"/>
    <w:rsid w:val="002E3818"/>
    <w:rsid w:val="002E498D"/>
    <w:rsid w:val="002E49BA"/>
    <w:rsid w:val="002E502B"/>
    <w:rsid w:val="002E55AF"/>
    <w:rsid w:val="002E5EE1"/>
    <w:rsid w:val="002E6176"/>
    <w:rsid w:val="002E61A3"/>
    <w:rsid w:val="002E7046"/>
    <w:rsid w:val="002E7356"/>
    <w:rsid w:val="002E7452"/>
    <w:rsid w:val="002E778B"/>
    <w:rsid w:val="002E7C88"/>
    <w:rsid w:val="002F0561"/>
    <w:rsid w:val="002F0910"/>
    <w:rsid w:val="002F0FFA"/>
    <w:rsid w:val="002F1201"/>
    <w:rsid w:val="002F1836"/>
    <w:rsid w:val="002F19F9"/>
    <w:rsid w:val="002F1AC4"/>
    <w:rsid w:val="002F24F6"/>
    <w:rsid w:val="002F2A49"/>
    <w:rsid w:val="002F2FDC"/>
    <w:rsid w:val="002F3734"/>
    <w:rsid w:val="002F422A"/>
    <w:rsid w:val="002F4330"/>
    <w:rsid w:val="002F4A22"/>
    <w:rsid w:val="002F57C2"/>
    <w:rsid w:val="002F5800"/>
    <w:rsid w:val="002F60B1"/>
    <w:rsid w:val="002F68AF"/>
    <w:rsid w:val="002F6960"/>
    <w:rsid w:val="002F6D49"/>
    <w:rsid w:val="002F6DA7"/>
    <w:rsid w:val="003007AD"/>
    <w:rsid w:val="003012D7"/>
    <w:rsid w:val="003015EE"/>
    <w:rsid w:val="003018CB"/>
    <w:rsid w:val="00301AFA"/>
    <w:rsid w:val="00301B5C"/>
    <w:rsid w:val="00301C8A"/>
    <w:rsid w:val="00301F53"/>
    <w:rsid w:val="00302062"/>
    <w:rsid w:val="003027F4"/>
    <w:rsid w:val="00302DD5"/>
    <w:rsid w:val="00303274"/>
    <w:rsid w:val="00305DC3"/>
    <w:rsid w:val="003062ED"/>
    <w:rsid w:val="0030678B"/>
    <w:rsid w:val="00307A8F"/>
    <w:rsid w:val="00307A9F"/>
    <w:rsid w:val="003100FD"/>
    <w:rsid w:val="0031179F"/>
    <w:rsid w:val="00312819"/>
    <w:rsid w:val="00314359"/>
    <w:rsid w:val="0031442C"/>
    <w:rsid w:val="0031631C"/>
    <w:rsid w:val="0031635A"/>
    <w:rsid w:val="003163EF"/>
    <w:rsid w:val="0031741B"/>
    <w:rsid w:val="00317ACC"/>
    <w:rsid w:val="00317DF8"/>
    <w:rsid w:val="003208F0"/>
    <w:rsid w:val="003209DA"/>
    <w:rsid w:val="0032109E"/>
    <w:rsid w:val="0032161A"/>
    <w:rsid w:val="00322558"/>
    <w:rsid w:val="00322C74"/>
    <w:rsid w:val="00323A9D"/>
    <w:rsid w:val="003243E8"/>
    <w:rsid w:val="00324863"/>
    <w:rsid w:val="0032487D"/>
    <w:rsid w:val="00324D49"/>
    <w:rsid w:val="00324FF7"/>
    <w:rsid w:val="00325DCB"/>
    <w:rsid w:val="00325E81"/>
    <w:rsid w:val="003261F3"/>
    <w:rsid w:val="003270AC"/>
    <w:rsid w:val="00327C41"/>
    <w:rsid w:val="00330241"/>
    <w:rsid w:val="00330248"/>
    <w:rsid w:val="0033033D"/>
    <w:rsid w:val="00330485"/>
    <w:rsid w:val="00330F6D"/>
    <w:rsid w:val="00331408"/>
    <w:rsid w:val="0033179D"/>
    <w:rsid w:val="003317FA"/>
    <w:rsid w:val="00331ACA"/>
    <w:rsid w:val="00332716"/>
    <w:rsid w:val="003328DC"/>
    <w:rsid w:val="00332E44"/>
    <w:rsid w:val="0033333B"/>
    <w:rsid w:val="00334380"/>
    <w:rsid w:val="003343E1"/>
    <w:rsid w:val="003348A8"/>
    <w:rsid w:val="00334D97"/>
    <w:rsid w:val="00334EA9"/>
    <w:rsid w:val="00335B01"/>
    <w:rsid w:val="00335F60"/>
    <w:rsid w:val="00336941"/>
    <w:rsid w:val="0033713B"/>
    <w:rsid w:val="003373CD"/>
    <w:rsid w:val="00337488"/>
    <w:rsid w:val="00337880"/>
    <w:rsid w:val="00341395"/>
    <w:rsid w:val="0034181B"/>
    <w:rsid w:val="0034219C"/>
    <w:rsid w:val="00342FF8"/>
    <w:rsid w:val="003430D1"/>
    <w:rsid w:val="0034382F"/>
    <w:rsid w:val="00343E3A"/>
    <w:rsid w:val="00343E88"/>
    <w:rsid w:val="003440B9"/>
    <w:rsid w:val="003441E4"/>
    <w:rsid w:val="0034482F"/>
    <w:rsid w:val="00344831"/>
    <w:rsid w:val="0034490B"/>
    <w:rsid w:val="00344AFD"/>
    <w:rsid w:val="003455C5"/>
    <w:rsid w:val="00345DE7"/>
    <w:rsid w:val="00345DF6"/>
    <w:rsid w:val="003465F4"/>
    <w:rsid w:val="00346A55"/>
    <w:rsid w:val="003471D4"/>
    <w:rsid w:val="00351085"/>
    <w:rsid w:val="00351551"/>
    <w:rsid w:val="003520C5"/>
    <w:rsid w:val="0035276F"/>
    <w:rsid w:val="00352A3B"/>
    <w:rsid w:val="0035379F"/>
    <w:rsid w:val="0035407C"/>
    <w:rsid w:val="003543E4"/>
    <w:rsid w:val="00355548"/>
    <w:rsid w:val="00355A71"/>
    <w:rsid w:val="00355AC9"/>
    <w:rsid w:val="00355BA4"/>
    <w:rsid w:val="0035629B"/>
    <w:rsid w:val="003569CE"/>
    <w:rsid w:val="00356DC0"/>
    <w:rsid w:val="00356DD7"/>
    <w:rsid w:val="00356E67"/>
    <w:rsid w:val="00357414"/>
    <w:rsid w:val="00357930"/>
    <w:rsid w:val="00360544"/>
    <w:rsid w:val="00360AEB"/>
    <w:rsid w:val="00360C3D"/>
    <w:rsid w:val="00360EA4"/>
    <w:rsid w:val="003626E3"/>
    <w:rsid w:val="00362D08"/>
    <w:rsid w:val="00362D79"/>
    <w:rsid w:val="0036325F"/>
    <w:rsid w:val="00365E3A"/>
    <w:rsid w:val="0036615D"/>
    <w:rsid w:val="003701D9"/>
    <w:rsid w:val="0037049A"/>
    <w:rsid w:val="00371D12"/>
    <w:rsid w:val="0037289A"/>
    <w:rsid w:val="00372C18"/>
    <w:rsid w:val="003736BE"/>
    <w:rsid w:val="00373B2C"/>
    <w:rsid w:val="00373B80"/>
    <w:rsid w:val="00374E17"/>
    <w:rsid w:val="00375670"/>
    <w:rsid w:val="00376C3C"/>
    <w:rsid w:val="00376F58"/>
    <w:rsid w:val="00377869"/>
    <w:rsid w:val="00377B42"/>
    <w:rsid w:val="00377D18"/>
    <w:rsid w:val="00377D22"/>
    <w:rsid w:val="0038032A"/>
    <w:rsid w:val="00380CA4"/>
    <w:rsid w:val="00381073"/>
    <w:rsid w:val="0038118C"/>
    <w:rsid w:val="0038160B"/>
    <w:rsid w:val="003819DC"/>
    <w:rsid w:val="00384281"/>
    <w:rsid w:val="00385C16"/>
    <w:rsid w:val="003861C6"/>
    <w:rsid w:val="00387148"/>
    <w:rsid w:val="00387338"/>
    <w:rsid w:val="00387667"/>
    <w:rsid w:val="00387981"/>
    <w:rsid w:val="00387F35"/>
    <w:rsid w:val="003904F3"/>
    <w:rsid w:val="00390891"/>
    <w:rsid w:val="00390D25"/>
    <w:rsid w:val="00391161"/>
    <w:rsid w:val="0039190C"/>
    <w:rsid w:val="00391BAE"/>
    <w:rsid w:val="00391CE8"/>
    <w:rsid w:val="00392725"/>
    <w:rsid w:val="003935E1"/>
    <w:rsid w:val="00393AC9"/>
    <w:rsid w:val="00394B0C"/>
    <w:rsid w:val="00394BC2"/>
    <w:rsid w:val="003951D2"/>
    <w:rsid w:val="003956DA"/>
    <w:rsid w:val="0039593A"/>
    <w:rsid w:val="00395E4D"/>
    <w:rsid w:val="0039607B"/>
    <w:rsid w:val="003960FE"/>
    <w:rsid w:val="00396C2D"/>
    <w:rsid w:val="0039752B"/>
    <w:rsid w:val="003A0090"/>
    <w:rsid w:val="003A01D5"/>
    <w:rsid w:val="003A0645"/>
    <w:rsid w:val="003A1219"/>
    <w:rsid w:val="003A17D8"/>
    <w:rsid w:val="003A204E"/>
    <w:rsid w:val="003A208C"/>
    <w:rsid w:val="003A233C"/>
    <w:rsid w:val="003A2A1E"/>
    <w:rsid w:val="003A2C00"/>
    <w:rsid w:val="003A3106"/>
    <w:rsid w:val="003A3148"/>
    <w:rsid w:val="003A464B"/>
    <w:rsid w:val="003A5334"/>
    <w:rsid w:val="003A59A2"/>
    <w:rsid w:val="003A5DB5"/>
    <w:rsid w:val="003A630F"/>
    <w:rsid w:val="003A6CC5"/>
    <w:rsid w:val="003A6DE3"/>
    <w:rsid w:val="003A7DEC"/>
    <w:rsid w:val="003B0029"/>
    <w:rsid w:val="003B0334"/>
    <w:rsid w:val="003B1818"/>
    <w:rsid w:val="003B2491"/>
    <w:rsid w:val="003B2A3E"/>
    <w:rsid w:val="003B2EEB"/>
    <w:rsid w:val="003B2F68"/>
    <w:rsid w:val="003B3177"/>
    <w:rsid w:val="003B31C7"/>
    <w:rsid w:val="003B3391"/>
    <w:rsid w:val="003B3ED0"/>
    <w:rsid w:val="003B48E1"/>
    <w:rsid w:val="003B4A93"/>
    <w:rsid w:val="003B4B15"/>
    <w:rsid w:val="003B659B"/>
    <w:rsid w:val="003B6871"/>
    <w:rsid w:val="003B6944"/>
    <w:rsid w:val="003B6FCD"/>
    <w:rsid w:val="003B7709"/>
    <w:rsid w:val="003C01CA"/>
    <w:rsid w:val="003C09DC"/>
    <w:rsid w:val="003C1D8E"/>
    <w:rsid w:val="003C3503"/>
    <w:rsid w:val="003C3640"/>
    <w:rsid w:val="003C3766"/>
    <w:rsid w:val="003C3E2C"/>
    <w:rsid w:val="003C41EA"/>
    <w:rsid w:val="003C426F"/>
    <w:rsid w:val="003C45E7"/>
    <w:rsid w:val="003C483B"/>
    <w:rsid w:val="003C52E2"/>
    <w:rsid w:val="003C55CF"/>
    <w:rsid w:val="003C7703"/>
    <w:rsid w:val="003C7CE7"/>
    <w:rsid w:val="003D0891"/>
    <w:rsid w:val="003D09FB"/>
    <w:rsid w:val="003D0A6F"/>
    <w:rsid w:val="003D0CB8"/>
    <w:rsid w:val="003D13E6"/>
    <w:rsid w:val="003D1603"/>
    <w:rsid w:val="003D35C2"/>
    <w:rsid w:val="003D384C"/>
    <w:rsid w:val="003D3B94"/>
    <w:rsid w:val="003D4234"/>
    <w:rsid w:val="003D4491"/>
    <w:rsid w:val="003D4495"/>
    <w:rsid w:val="003D4792"/>
    <w:rsid w:val="003D4B2A"/>
    <w:rsid w:val="003D4B57"/>
    <w:rsid w:val="003D57B6"/>
    <w:rsid w:val="003D584C"/>
    <w:rsid w:val="003D5D11"/>
    <w:rsid w:val="003D6429"/>
    <w:rsid w:val="003D685B"/>
    <w:rsid w:val="003D7F84"/>
    <w:rsid w:val="003E0657"/>
    <w:rsid w:val="003E0972"/>
    <w:rsid w:val="003E0CDA"/>
    <w:rsid w:val="003E0D4D"/>
    <w:rsid w:val="003E0DF7"/>
    <w:rsid w:val="003E1140"/>
    <w:rsid w:val="003E1676"/>
    <w:rsid w:val="003E1C60"/>
    <w:rsid w:val="003E21A8"/>
    <w:rsid w:val="003E2481"/>
    <w:rsid w:val="003E4BB1"/>
    <w:rsid w:val="003E4BB5"/>
    <w:rsid w:val="003E5688"/>
    <w:rsid w:val="003E6493"/>
    <w:rsid w:val="003E6B35"/>
    <w:rsid w:val="003E6EDE"/>
    <w:rsid w:val="003E7867"/>
    <w:rsid w:val="003E7CDE"/>
    <w:rsid w:val="003E7D8C"/>
    <w:rsid w:val="003F0848"/>
    <w:rsid w:val="003F1AD4"/>
    <w:rsid w:val="003F227B"/>
    <w:rsid w:val="003F26D2"/>
    <w:rsid w:val="003F37CA"/>
    <w:rsid w:val="003F40BC"/>
    <w:rsid w:val="003F472D"/>
    <w:rsid w:val="003F49BF"/>
    <w:rsid w:val="003F4CC6"/>
    <w:rsid w:val="003F5254"/>
    <w:rsid w:val="003F5349"/>
    <w:rsid w:val="003F5B32"/>
    <w:rsid w:val="003F5CE2"/>
    <w:rsid w:val="003F68D4"/>
    <w:rsid w:val="003F6922"/>
    <w:rsid w:val="003F70E5"/>
    <w:rsid w:val="003F7305"/>
    <w:rsid w:val="00401648"/>
    <w:rsid w:val="0040198B"/>
    <w:rsid w:val="0040198D"/>
    <w:rsid w:val="00402035"/>
    <w:rsid w:val="00402370"/>
    <w:rsid w:val="00404027"/>
    <w:rsid w:val="0040413A"/>
    <w:rsid w:val="00404971"/>
    <w:rsid w:val="00404BA0"/>
    <w:rsid w:val="0040601C"/>
    <w:rsid w:val="004076B6"/>
    <w:rsid w:val="00407B57"/>
    <w:rsid w:val="00407E29"/>
    <w:rsid w:val="00410F35"/>
    <w:rsid w:val="00411E9F"/>
    <w:rsid w:val="00412AEE"/>
    <w:rsid w:val="00412E51"/>
    <w:rsid w:val="0041344B"/>
    <w:rsid w:val="004138AE"/>
    <w:rsid w:val="00413A9E"/>
    <w:rsid w:val="00413E71"/>
    <w:rsid w:val="004141DB"/>
    <w:rsid w:val="0041472A"/>
    <w:rsid w:val="0041489C"/>
    <w:rsid w:val="00414F10"/>
    <w:rsid w:val="00415074"/>
    <w:rsid w:val="004151A2"/>
    <w:rsid w:val="004151AB"/>
    <w:rsid w:val="00415B17"/>
    <w:rsid w:val="00415F98"/>
    <w:rsid w:val="0041690C"/>
    <w:rsid w:val="004173C9"/>
    <w:rsid w:val="004205F3"/>
    <w:rsid w:val="00420A4E"/>
    <w:rsid w:val="00420C37"/>
    <w:rsid w:val="004211B5"/>
    <w:rsid w:val="0042225E"/>
    <w:rsid w:val="004224A0"/>
    <w:rsid w:val="00423256"/>
    <w:rsid w:val="00423D92"/>
    <w:rsid w:val="00424351"/>
    <w:rsid w:val="0042474E"/>
    <w:rsid w:val="00424E17"/>
    <w:rsid w:val="004252F8"/>
    <w:rsid w:val="004253AD"/>
    <w:rsid w:val="00425688"/>
    <w:rsid w:val="0042579D"/>
    <w:rsid w:val="00426B12"/>
    <w:rsid w:val="0043002E"/>
    <w:rsid w:val="00430AE3"/>
    <w:rsid w:val="00431456"/>
    <w:rsid w:val="004318E3"/>
    <w:rsid w:val="00431C3A"/>
    <w:rsid w:val="00431C5B"/>
    <w:rsid w:val="00431E10"/>
    <w:rsid w:val="00431F86"/>
    <w:rsid w:val="0043273D"/>
    <w:rsid w:val="00432CE6"/>
    <w:rsid w:val="004334F6"/>
    <w:rsid w:val="00433C75"/>
    <w:rsid w:val="00435058"/>
    <w:rsid w:val="00435439"/>
    <w:rsid w:val="00436611"/>
    <w:rsid w:val="004372E9"/>
    <w:rsid w:val="0043758F"/>
    <w:rsid w:val="004376E7"/>
    <w:rsid w:val="00437A8C"/>
    <w:rsid w:val="00437E59"/>
    <w:rsid w:val="00441E12"/>
    <w:rsid w:val="00442AC9"/>
    <w:rsid w:val="004438DC"/>
    <w:rsid w:val="00443972"/>
    <w:rsid w:val="004439BC"/>
    <w:rsid w:val="00443A72"/>
    <w:rsid w:val="0044425F"/>
    <w:rsid w:val="004447F2"/>
    <w:rsid w:val="00444B67"/>
    <w:rsid w:val="00444C63"/>
    <w:rsid w:val="00445296"/>
    <w:rsid w:val="00445547"/>
    <w:rsid w:val="0044564B"/>
    <w:rsid w:val="00445CC0"/>
    <w:rsid w:val="00445E1F"/>
    <w:rsid w:val="00445F44"/>
    <w:rsid w:val="0044607B"/>
    <w:rsid w:val="004468D6"/>
    <w:rsid w:val="00446A50"/>
    <w:rsid w:val="00446B25"/>
    <w:rsid w:val="00446FFB"/>
    <w:rsid w:val="004478FC"/>
    <w:rsid w:val="00447C54"/>
    <w:rsid w:val="0045019E"/>
    <w:rsid w:val="00450ED2"/>
    <w:rsid w:val="00451131"/>
    <w:rsid w:val="0045126E"/>
    <w:rsid w:val="00451276"/>
    <w:rsid w:val="00451A73"/>
    <w:rsid w:val="00451F33"/>
    <w:rsid w:val="004522F0"/>
    <w:rsid w:val="00452A19"/>
    <w:rsid w:val="00452FE6"/>
    <w:rsid w:val="00453D2D"/>
    <w:rsid w:val="004549F7"/>
    <w:rsid w:val="00455002"/>
    <w:rsid w:val="00455438"/>
    <w:rsid w:val="00455FE6"/>
    <w:rsid w:val="004566D5"/>
    <w:rsid w:val="004570C0"/>
    <w:rsid w:val="00457385"/>
    <w:rsid w:val="004573B8"/>
    <w:rsid w:val="00460530"/>
    <w:rsid w:val="00460752"/>
    <w:rsid w:val="00460C82"/>
    <w:rsid w:val="00460D06"/>
    <w:rsid w:val="00461130"/>
    <w:rsid w:val="00461B91"/>
    <w:rsid w:val="00461EEB"/>
    <w:rsid w:val="0046269E"/>
    <w:rsid w:val="00462710"/>
    <w:rsid w:val="004629BB"/>
    <w:rsid w:val="00462BA8"/>
    <w:rsid w:val="00463415"/>
    <w:rsid w:val="004634FE"/>
    <w:rsid w:val="00463FC0"/>
    <w:rsid w:val="004640F6"/>
    <w:rsid w:val="00465D1C"/>
    <w:rsid w:val="00465DE0"/>
    <w:rsid w:val="00465EEF"/>
    <w:rsid w:val="0046649A"/>
    <w:rsid w:val="00466639"/>
    <w:rsid w:val="00466ED2"/>
    <w:rsid w:val="004670B8"/>
    <w:rsid w:val="004673BC"/>
    <w:rsid w:val="00467DF9"/>
    <w:rsid w:val="004707C7"/>
    <w:rsid w:val="00470C24"/>
    <w:rsid w:val="00470C94"/>
    <w:rsid w:val="004715D8"/>
    <w:rsid w:val="0047166A"/>
    <w:rsid w:val="0047201E"/>
    <w:rsid w:val="0047314C"/>
    <w:rsid w:val="00473549"/>
    <w:rsid w:val="004746B4"/>
    <w:rsid w:val="004757A7"/>
    <w:rsid w:val="0047585A"/>
    <w:rsid w:val="004820F4"/>
    <w:rsid w:val="00482866"/>
    <w:rsid w:val="00482D22"/>
    <w:rsid w:val="00482FB6"/>
    <w:rsid w:val="00483182"/>
    <w:rsid w:val="004834CB"/>
    <w:rsid w:val="00483837"/>
    <w:rsid w:val="00483C49"/>
    <w:rsid w:val="00484895"/>
    <w:rsid w:val="00484A04"/>
    <w:rsid w:val="004851C6"/>
    <w:rsid w:val="004869FC"/>
    <w:rsid w:val="004873B5"/>
    <w:rsid w:val="00487832"/>
    <w:rsid w:val="004909E9"/>
    <w:rsid w:val="00490C92"/>
    <w:rsid w:val="00490E90"/>
    <w:rsid w:val="00491081"/>
    <w:rsid w:val="004916ED"/>
    <w:rsid w:val="00491D51"/>
    <w:rsid w:val="00491E99"/>
    <w:rsid w:val="00493115"/>
    <w:rsid w:val="00493391"/>
    <w:rsid w:val="0049372B"/>
    <w:rsid w:val="00493E19"/>
    <w:rsid w:val="00494825"/>
    <w:rsid w:val="0049499F"/>
    <w:rsid w:val="00495101"/>
    <w:rsid w:val="00495911"/>
    <w:rsid w:val="00495FAD"/>
    <w:rsid w:val="004962AB"/>
    <w:rsid w:val="00496863"/>
    <w:rsid w:val="00496B0F"/>
    <w:rsid w:val="00496E15"/>
    <w:rsid w:val="004972A8"/>
    <w:rsid w:val="004974F7"/>
    <w:rsid w:val="00497582"/>
    <w:rsid w:val="00497E32"/>
    <w:rsid w:val="004A0268"/>
    <w:rsid w:val="004A0F70"/>
    <w:rsid w:val="004A1607"/>
    <w:rsid w:val="004A1877"/>
    <w:rsid w:val="004A1BDC"/>
    <w:rsid w:val="004A2688"/>
    <w:rsid w:val="004A3658"/>
    <w:rsid w:val="004A4840"/>
    <w:rsid w:val="004A4881"/>
    <w:rsid w:val="004A49C7"/>
    <w:rsid w:val="004A5F0E"/>
    <w:rsid w:val="004A61A9"/>
    <w:rsid w:val="004A70DA"/>
    <w:rsid w:val="004A7228"/>
    <w:rsid w:val="004A7754"/>
    <w:rsid w:val="004B020D"/>
    <w:rsid w:val="004B0D46"/>
    <w:rsid w:val="004B45F1"/>
    <w:rsid w:val="004B4D6D"/>
    <w:rsid w:val="004B5439"/>
    <w:rsid w:val="004B572C"/>
    <w:rsid w:val="004B67F0"/>
    <w:rsid w:val="004B6A7A"/>
    <w:rsid w:val="004B746D"/>
    <w:rsid w:val="004B7666"/>
    <w:rsid w:val="004B76DB"/>
    <w:rsid w:val="004B784D"/>
    <w:rsid w:val="004C013F"/>
    <w:rsid w:val="004C1926"/>
    <w:rsid w:val="004C278F"/>
    <w:rsid w:val="004C2BB8"/>
    <w:rsid w:val="004C2D24"/>
    <w:rsid w:val="004C2F6D"/>
    <w:rsid w:val="004C305B"/>
    <w:rsid w:val="004C3076"/>
    <w:rsid w:val="004C339B"/>
    <w:rsid w:val="004C353F"/>
    <w:rsid w:val="004C3795"/>
    <w:rsid w:val="004C43D5"/>
    <w:rsid w:val="004C46CC"/>
    <w:rsid w:val="004C51D6"/>
    <w:rsid w:val="004C56BF"/>
    <w:rsid w:val="004C5920"/>
    <w:rsid w:val="004C5D04"/>
    <w:rsid w:val="004C5EE7"/>
    <w:rsid w:val="004C6524"/>
    <w:rsid w:val="004C66FC"/>
    <w:rsid w:val="004C6DEE"/>
    <w:rsid w:val="004C76C2"/>
    <w:rsid w:val="004D0198"/>
    <w:rsid w:val="004D0276"/>
    <w:rsid w:val="004D0FE9"/>
    <w:rsid w:val="004D13D1"/>
    <w:rsid w:val="004D1804"/>
    <w:rsid w:val="004D1D15"/>
    <w:rsid w:val="004D1FED"/>
    <w:rsid w:val="004D21B1"/>
    <w:rsid w:val="004D259B"/>
    <w:rsid w:val="004D336A"/>
    <w:rsid w:val="004D343B"/>
    <w:rsid w:val="004D34F2"/>
    <w:rsid w:val="004D38B4"/>
    <w:rsid w:val="004D415F"/>
    <w:rsid w:val="004D41EF"/>
    <w:rsid w:val="004D4F81"/>
    <w:rsid w:val="004D5ACB"/>
    <w:rsid w:val="004D7495"/>
    <w:rsid w:val="004D7988"/>
    <w:rsid w:val="004D7A2E"/>
    <w:rsid w:val="004D7C73"/>
    <w:rsid w:val="004D7F23"/>
    <w:rsid w:val="004E0417"/>
    <w:rsid w:val="004E22D5"/>
    <w:rsid w:val="004E26E0"/>
    <w:rsid w:val="004E33A9"/>
    <w:rsid w:val="004E33C1"/>
    <w:rsid w:val="004E3DB9"/>
    <w:rsid w:val="004E4110"/>
    <w:rsid w:val="004E4814"/>
    <w:rsid w:val="004E4DD4"/>
    <w:rsid w:val="004E59B8"/>
    <w:rsid w:val="004E6087"/>
    <w:rsid w:val="004E6A57"/>
    <w:rsid w:val="004E72C4"/>
    <w:rsid w:val="004E7600"/>
    <w:rsid w:val="004E7BE4"/>
    <w:rsid w:val="004E7C03"/>
    <w:rsid w:val="004F0049"/>
    <w:rsid w:val="004F0AA5"/>
    <w:rsid w:val="004F0F1F"/>
    <w:rsid w:val="004F10A8"/>
    <w:rsid w:val="004F1231"/>
    <w:rsid w:val="004F1949"/>
    <w:rsid w:val="004F1EA6"/>
    <w:rsid w:val="004F20D1"/>
    <w:rsid w:val="004F21E1"/>
    <w:rsid w:val="004F221C"/>
    <w:rsid w:val="004F2233"/>
    <w:rsid w:val="004F23FF"/>
    <w:rsid w:val="004F259E"/>
    <w:rsid w:val="004F3515"/>
    <w:rsid w:val="004F37EE"/>
    <w:rsid w:val="004F3942"/>
    <w:rsid w:val="004F3965"/>
    <w:rsid w:val="004F3E9F"/>
    <w:rsid w:val="004F45B0"/>
    <w:rsid w:val="004F46A9"/>
    <w:rsid w:val="004F499E"/>
    <w:rsid w:val="004F52FD"/>
    <w:rsid w:val="004F5473"/>
    <w:rsid w:val="004F54D8"/>
    <w:rsid w:val="004F5B98"/>
    <w:rsid w:val="004F668E"/>
    <w:rsid w:val="004F731D"/>
    <w:rsid w:val="004F7536"/>
    <w:rsid w:val="004F7C77"/>
    <w:rsid w:val="004F7CF2"/>
    <w:rsid w:val="005005B6"/>
    <w:rsid w:val="005017BA"/>
    <w:rsid w:val="00501857"/>
    <w:rsid w:val="005019E3"/>
    <w:rsid w:val="00501E0C"/>
    <w:rsid w:val="00501E8D"/>
    <w:rsid w:val="00501FB7"/>
    <w:rsid w:val="005031BB"/>
    <w:rsid w:val="00504DD1"/>
    <w:rsid w:val="0050508A"/>
    <w:rsid w:val="005052F9"/>
    <w:rsid w:val="005054F1"/>
    <w:rsid w:val="00505CF8"/>
    <w:rsid w:val="00506091"/>
    <w:rsid w:val="005062FE"/>
    <w:rsid w:val="00506A13"/>
    <w:rsid w:val="00506A3C"/>
    <w:rsid w:val="00510031"/>
    <w:rsid w:val="00510B7B"/>
    <w:rsid w:val="00511E28"/>
    <w:rsid w:val="00512FAF"/>
    <w:rsid w:val="00515147"/>
    <w:rsid w:val="00515602"/>
    <w:rsid w:val="00515AAD"/>
    <w:rsid w:val="00515E26"/>
    <w:rsid w:val="00515F18"/>
    <w:rsid w:val="005162B5"/>
    <w:rsid w:val="005162BF"/>
    <w:rsid w:val="005168FB"/>
    <w:rsid w:val="00517179"/>
    <w:rsid w:val="0052059F"/>
    <w:rsid w:val="00520642"/>
    <w:rsid w:val="0052085F"/>
    <w:rsid w:val="00520CA9"/>
    <w:rsid w:val="00520EEE"/>
    <w:rsid w:val="0052121F"/>
    <w:rsid w:val="00521410"/>
    <w:rsid w:val="005230E0"/>
    <w:rsid w:val="00523CBD"/>
    <w:rsid w:val="00523CC9"/>
    <w:rsid w:val="00524102"/>
    <w:rsid w:val="0052438F"/>
    <w:rsid w:val="00524EBE"/>
    <w:rsid w:val="00525714"/>
    <w:rsid w:val="00525ABF"/>
    <w:rsid w:val="00525B3A"/>
    <w:rsid w:val="00525E07"/>
    <w:rsid w:val="00525E22"/>
    <w:rsid w:val="00526745"/>
    <w:rsid w:val="00527678"/>
    <w:rsid w:val="00527CE7"/>
    <w:rsid w:val="00527F6F"/>
    <w:rsid w:val="00530543"/>
    <w:rsid w:val="0053131F"/>
    <w:rsid w:val="00531336"/>
    <w:rsid w:val="00532629"/>
    <w:rsid w:val="00532AEB"/>
    <w:rsid w:val="0053413B"/>
    <w:rsid w:val="0053472C"/>
    <w:rsid w:val="005348D5"/>
    <w:rsid w:val="0053524B"/>
    <w:rsid w:val="005356CC"/>
    <w:rsid w:val="00535AED"/>
    <w:rsid w:val="00536C40"/>
    <w:rsid w:val="005374FE"/>
    <w:rsid w:val="00537D4B"/>
    <w:rsid w:val="005404C2"/>
    <w:rsid w:val="005404C4"/>
    <w:rsid w:val="0054088F"/>
    <w:rsid w:val="00540BAA"/>
    <w:rsid w:val="00540E17"/>
    <w:rsid w:val="00541D29"/>
    <w:rsid w:val="005425F3"/>
    <w:rsid w:val="0054375C"/>
    <w:rsid w:val="0054444C"/>
    <w:rsid w:val="00544998"/>
    <w:rsid w:val="00545764"/>
    <w:rsid w:val="005457E8"/>
    <w:rsid w:val="00545957"/>
    <w:rsid w:val="00547045"/>
    <w:rsid w:val="00547221"/>
    <w:rsid w:val="00547D06"/>
    <w:rsid w:val="00547D84"/>
    <w:rsid w:val="00550D15"/>
    <w:rsid w:val="005531B9"/>
    <w:rsid w:val="00553292"/>
    <w:rsid w:val="005537C9"/>
    <w:rsid w:val="00553B89"/>
    <w:rsid w:val="00553EE9"/>
    <w:rsid w:val="00553F0B"/>
    <w:rsid w:val="00554155"/>
    <w:rsid w:val="005544E2"/>
    <w:rsid w:val="005551EA"/>
    <w:rsid w:val="00555E61"/>
    <w:rsid w:val="00555F18"/>
    <w:rsid w:val="00556459"/>
    <w:rsid w:val="00556636"/>
    <w:rsid w:val="00557507"/>
    <w:rsid w:val="00560748"/>
    <w:rsid w:val="00561B49"/>
    <w:rsid w:val="00561B8D"/>
    <w:rsid w:val="00562014"/>
    <w:rsid w:val="005621F4"/>
    <w:rsid w:val="0056259A"/>
    <w:rsid w:val="00563540"/>
    <w:rsid w:val="005637FB"/>
    <w:rsid w:val="00563E7A"/>
    <w:rsid w:val="005641E2"/>
    <w:rsid w:val="0056687B"/>
    <w:rsid w:val="00566CC8"/>
    <w:rsid w:val="00566DED"/>
    <w:rsid w:val="00566FCA"/>
    <w:rsid w:val="0056702C"/>
    <w:rsid w:val="00567E7B"/>
    <w:rsid w:val="005700F8"/>
    <w:rsid w:val="00570EE4"/>
    <w:rsid w:val="00571283"/>
    <w:rsid w:val="00573488"/>
    <w:rsid w:val="00573BBD"/>
    <w:rsid w:val="00576496"/>
    <w:rsid w:val="0057658C"/>
    <w:rsid w:val="00576BA4"/>
    <w:rsid w:val="00577FE1"/>
    <w:rsid w:val="0058034B"/>
    <w:rsid w:val="00580638"/>
    <w:rsid w:val="00580C30"/>
    <w:rsid w:val="00580EBB"/>
    <w:rsid w:val="00580F5A"/>
    <w:rsid w:val="005813EF"/>
    <w:rsid w:val="0058162E"/>
    <w:rsid w:val="005819F0"/>
    <w:rsid w:val="00582C9E"/>
    <w:rsid w:val="005836F3"/>
    <w:rsid w:val="005844B5"/>
    <w:rsid w:val="00584B31"/>
    <w:rsid w:val="00584CB1"/>
    <w:rsid w:val="00584D66"/>
    <w:rsid w:val="00586035"/>
    <w:rsid w:val="00586037"/>
    <w:rsid w:val="00586D28"/>
    <w:rsid w:val="00586D67"/>
    <w:rsid w:val="00586E2D"/>
    <w:rsid w:val="00587EEE"/>
    <w:rsid w:val="00587F95"/>
    <w:rsid w:val="005900E0"/>
    <w:rsid w:val="0059013E"/>
    <w:rsid w:val="00590C82"/>
    <w:rsid w:val="00590F50"/>
    <w:rsid w:val="0059156D"/>
    <w:rsid w:val="00591BBC"/>
    <w:rsid w:val="00591E76"/>
    <w:rsid w:val="005927B8"/>
    <w:rsid w:val="00592C4C"/>
    <w:rsid w:val="0059421A"/>
    <w:rsid w:val="00594764"/>
    <w:rsid w:val="00594AD7"/>
    <w:rsid w:val="00595535"/>
    <w:rsid w:val="00595567"/>
    <w:rsid w:val="00595A02"/>
    <w:rsid w:val="00595C4E"/>
    <w:rsid w:val="00595E77"/>
    <w:rsid w:val="005968BC"/>
    <w:rsid w:val="00596B62"/>
    <w:rsid w:val="00596CD8"/>
    <w:rsid w:val="00597FD7"/>
    <w:rsid w:val="005A0322"/>
    <w:rsid w:val="005A072E"/>
    <w:rsid w:val="005A0858"/>
    <w:rsid w:val="005A1178"/>
    <w:rsid w:val="005A17F6"/>
    <w:rsid w:val="005A196E"/>
    <w:rsid w:val="005A1D60"/>
    <w:rsid w:val="005A1F4C"/>
    <w:rsid w:val="005A3944"/>
    <w:rsid w:val="005A5A2E"/>
    <w:rsid w:val="005A5E6D"/>
    <w:rsid w:val="005A5E81"/>
    <w:rsid w:val="005A650A"/>
    <w:rsid w:val="005A72C4"/>
    <w:rsid w:val="005A73F1"/>
    <w:rsid w:val="005B082D"/>
    <w:rsid w:val="005B0F35"/>
    <w:rsid w:val="005B1674"/>
    <w:rsid w:val="005B23D0"/>
    <w:rsid w:val="005B2925"/>
    <w:rsid w:val="005B37D1"/>
    <w:rsid w:val="005B3F76"/>
    <w:rsid w:val="005B3FCF"/>
    <w:rsid w:val="005B433A"/>
    <w:rsid w:val="005B449F"/>
    <w:rsid w:val="005B499F"/>
    <w:rsid w:val="005B59B1"/>
    <w:rsid w:val="005B625E"/>
    <w:rsid w:val="005B63BD"/>
    <w:rsid w:val="005B6DB6"/>
    <w:rsid w:val="005B7A1F"/>
    <w:rsid w:val="005B7E94"/>
    <w:rsid w:val="005C04FF"/>
    <w:rsid w:val="005C0BAB"/>
    <w:rsid w:val="005C1126"/>
    <w:rsid w:val="005C14EA"/>
    <w:rsid w:val="005C15F4"/>
    <w:rsid w:val="005C1A53"/>
    <w:rsid w:val="005C1CE3"/>
    <w:rsid w:val="005C1EBA"/>
    <w:rsid w:val="005C2108"/>
    <w:rsid w:val="005C21DB"/>
    <w:rsid w:val="005C2C3C"/>
    <w:rsid w:val="005C2F0B"/>
    <w:rsid w:val="005C36F2"/>
    <w:rsid w:val="005C3EDD"/>
    <w:rsid w:val="005C4B91"/>
    <w:rsid w:val="005C4C3A"/>
    <w:rsid w:val="005C5BD5"/>
    <w:rsid w:val="005C6532"/>
    <w:rsid w:val="005C6859"/>
    <w:rsid w:val="005C7F62"/>
    <w:rsid w:val="005D034C"/>
    <w:rsid w:val="005D078F"/>
    <w:rsid w:val="005D0C4A"/>
    <w:rsid w:val="005D0CED"/>
    <w:rsid w:val="005D0E01"/>
    <w:rsid w:val="005D13D7"/>
    <w:rsid w:val="005D19AD"/>
    <w:rsid w:val="005D1B6A"/>
    <w:rsid w:val="005D20E8"/>
    <w:rsid w:val="005D2202"/>
    <w:rsid w:val="005D2237"/>
    <w:rsid w:val="005D249D"/>
    <w:rsid w:val="005D34F2"/>
    <w:rsid w:val="005D4E78"/>
    <w:rsid w:val="005D5031"/>
    <w:rsid w:val="005D55E3"/>
    <w:rsid w:val="005D63E6"/>
    <w:rsid w:val="005D69B9"/>
    <w:rsid w:val="005D6B13"/>
    <w:rsid w:val="005D767A"/>
    <w:rsid w:val="005D7D01"/>
    <w:rsid w:val="005D7DEF"/>
    <w:rsid w:val="005E0B76"/>
    <w:rsid w:val="005E1432"/>
    <w:rsid w:val="005E1753"/>
    <w:rsid w:val="005E1F21"/>
    <w:rsid w:val="005E239D"/>
    <w:rsid w:val="005E2436"/>
    <w:rsid w:val="005E2741"/>
    <w:rsid w:val="005E3DDF"/>
    <w:rsid w:val="005E3E0E"/>
    <w:rsid w:val="005E413B"/>
    <w:rsid w:val="005E46B7"/>
    <w:rsid w:val="005E548A"/>
    <w:rsid w:val="005E55C6"/>
    <w:rsid w:val="005E58AF"/>
    <w:rsid w:val="005E6DBF"/>
    <w:rsid w:val="005E76B9"/>
    <w:rsid w:val="005E7E9A"/>
    <w:rsid w:val="005F0EF1"/>
    <w:rsid w:val="005F13DD"/>
    <w:rsid w:val="005F17BF"/>
    <w:rsid w:val="005F2041"/>
    <w:rsid w:val="005F26AF"/>
    <w:rsid w:val="005F33E7"/>
    <w:rsid w:val="005F452A"/>
    <w:rsid w:val="005F4EC6"/>
    <w:rsid w:val="005F5022"/>
    <w:rsid w:val="005F5529"/>
    <w:rsid w:val="005F59F3"/>
    <w:rsid w:val="005F5C48"/>
    <w:rsid w:val="005F5EE7"/>
    <w:rsid w:val="005F6329"/>
    <w:rsid w:val="005F665F"/>
    <w:rsid w:val="005F70FF"/>
    <w:rsid w:val="005F7E81"/>
    <w:rsid w:val="006003B8"/>
    <w:rsid w:val="00600852"/>
    <w:rsid w:val="00600EFD"/>
    <w:rsid w:val="00600FAA"/>
    <w:rsid w:val="00601C6D"/>
    <w:rsid w:val="00602AAF"/>
    <w:rsid w:val="00603F42"/>
    <w:rsid w:val="00603F8E"/>
    <w:rsid w:val="0060522F"/>
    <w:rsid w:val="006052CE"/>
    <w:rsid w:val="006062F1"/>
    <w:rsid w:val="006068FA"/>
    <w:rsid w:val="00606CF8"/>
    <w:rsid w:val="00606D5E"/>
    <w:rsid w:val="00606DCB"/>
    <w:rsid w:val="00606E17"/>
    <w:rsid w:val="006075E0"/>
    <w:rsid w:val="0060781B"/>
    <w:rsid w:val="006078FB"/>
    <w:rsid w:val="0061075C"/>
    <w:rsid w:val="00610DAA"/>
    <w:rsid w:val="00611DAF"/>
    <w:rsid w:val="00611DF1"/>
    <w:rsid w:val="00612009"/>
    <w:rsid w:val="00612551"/>
    <w:rsid w:val="00612EBF"/>
    <w:rsid w:val="006137B2"/>
    <w:rsid w:val="00613A5D"/>
    <w:rsid w:val="00613A6C"/>
    <w:rsid w:val="00614034"/>
    <w:rsid w:val="00614DAC"/>
    <w:rsid w:val="00614DF8"/>
    <w:rsid w:val="00615464"/>
    <w:rsid w:val="00615A1B"/>
    <w:rsid w:val="00615D65"/>
    <w:rsid w:val="006168B5"/>
    <w:rsid w:val="00617D5F"/>
    <w:rsid w:val="00620D40"/>
    <w:rsid w:val="006213AC"/>
    <w:rsid w:val="006213DF"/>
    <w:rsid w:val="00621656"/>
    <w:rsid w:val="006221A3"/>
    <w:rsid w:val="00622C41"/>
    <w:rsid w:val="00622E14"/>
    <w:rsid w:val="00622F0D"/>
    <w:rsid w:val="0062349A"/>
    <w:rsid w:val="0062375A"/>
    <w:rsid w:val="00624077"/>
    <w:rsid w:val="0062427D"/>
    <w:rsid w:val="00625833"/>
    <w:rsid w:val="00625922"/>
    <w:rsid w:val="00625972"/>
    <w:rsid w:val="00625A75"/>
    <w:rsid w:val="00625EE9"/>
    <w:rsid w:val="00626214"/>
    <w:rsid w:val="00627661"/>
    <w:rsid w:val="00630197"/>
    <w:rsid w:val="006303D2"/>
    <w:rsid w:val="00630414"/>
    <w:rsid w:val="0063187B"/>
    <w:rsid w:val="00631C70"/>
    <w:rsid w:val="00632120"/>
    <w:rsid w:val="006334C7"/>
    <w:rsid w:val="0063383E"/>
    <w:rsid w:val="00633A40"/>
    <w:rsid w:val="00635286"/>
    <w:rsid w:val="00635351"/>
    <w:rsid w:val="006353EF"/>
    <w:rsid w:val="00635611"/>
    <w:rsid w:val="00635CAE"/>
    <w:rsid w:val="00635EF0"/>
    <w:rsid w:val="006364D6"/>
    <w:rsid w:val="00636781"/>
    <w:rsid w:val="00640817"/>
    <w:rsid w:val="00641706"/>
    <w:rsid w:val="00641C77"/>
    <w:rsid w:val="00641ECA"/>
    <w:rsid w:val="00642D90"/>
    <w:rsid w:val="00643C90"/>
    <w:rsid w:val="00644958"/>
    <w:rsid w:val="00644BA8"/>
    <w:rsid w:val="00645BA4"/>
    <w:rsid w:val="00646826"/>
    <w:rsid w:val="0064692F"/>
    <w:rsid w:val="00646BAF"/>
    <w:rsid w:val="006476E8"/>
    <w:rsid w:val="00647A3D"/>
    <w:rsid w:val="00647AE0"/>
    <w:rsid w:val="00647DD0"/>
    <w:rsid w:val="00647FEA"/>
    <w:rsid w:val="00650143"/>
    <w:rsid w:val="00650930"/>
    <w:rsid w:val="00651814"/>
    <w:rsid w:val="00651E5C"/>
    <w:rsid w:val="00652E33"/>
    <w:rsid w:val="00653711"/>
    <w:rsid w:val="00653E78"/>
    <w:rsid w:val="006543C6"/>
    <w:rsid w:val="00655E2F"/>
    <w:rsid w:val="006566EA"/>
    <w:rsid w:val="00656AC3"/>
    <w:rsid w:val="00657388"/>
    <w:rsid w:val="00657506"/>
    <w:rsid w:val="00657E3E"/>
    <w:rsid w:val="00660191"/>
    <w:rsid w:val="0066081D"/>
    <w:rsid w:val="006613E4"/>
    <w:rsid w:val="006615C9"/>
    <w:rsid w:val="006619FA"/>
    <w:rsid w:val="00661AE8"/>
    <w:rsid w:val="00661ECE"/>
    <w:rsid w:val="00661F27"/>
    <w:rsid w:val="0066233F"/>
    <w:rsid w:val="00663B1A"/>
    <w:rsid w:val="00663CC7"/>
    <w:rsid w:val="0066430C"/>
    <w:rsid w:val="006654EB"/>
    <w:rsid w:val="00665710"/>
    <w:rsid w:val="00665CFB"/>
    <w:rsid w:val="00665DB4"/>
    <w:rsid w:val="0066610D"/>
    <w:rsid w:val="006668F9"/>
    <w:rsid w:val="00666918"/>
    <w:rsid w:val="00666B58"/>
    <w:rsid w:val="00666E79"/>
    <w:rsid w:val="006679AE"/>
    <w:rsid w:val="00667BCE"/>
    <w:rsid w:val="00667ED6"/>
    <w:rsid w:val="00670161"/>
    <w:rsid w:val="00670B36"/>
    <w:rsid w:val="00670D21"/>
    <w:rsid w:val="00670F15"/>
    <w:rsid w:val="00671B18"/>
    <w:rsid w:val="00671FD9"/>
    <w:rsid w:val="00672BFB"/>
    <w:rsid w:val="006731A3"/>
    <w:rsid w:val="006733DB"/>
    <w:rsid w:val="0067365A"/>
    <w:rsid w:val="00673D5D"/>
    <w:rsid w:val="006740F5"/>
    <w:rsid w:val="0067518F"/>
    <w:rsid w:val="006759E1"/>
    <w:rsid w:val="00675B47"/>
    <w:rsid w:val="00675C6B"/>
    <w:rsid w:val="00676342"/>
    <w:rsid w:val="00676700"/>
    <w:rsid w:val="00677216"/>
    <w:rsid w:val="00677667"/>
    <w:rsid w:val="006779F0"/>
    <w:rsid w:val="00677B6E"/>
    <w:rsid w:val="00680C14"/>
    <w:rsid w:val="00681AEC"/>
    <w:rsid w:val="00681ECD"/>
    <w:rsid w:val="0068201E"/>
    <w:rsid w:val="006820BA"/>
    <w:rsid w:val="006826F5"/>
    <w:rsid w:val="0068271E"/>
    <w:rsid w:val="00682A78"/>
    <w:rsid w:val="00683796"/>
    <w:rsid w:val="00684396"/>
    <w:rsid w:val="0068453C"/>
    <w:rsid w:val="00684C19"/>
    <w:rsid w:val="00686EC3"/>
    <w:rsid w:val="00687AF7"/>
    <w:rsid w:val="00690A64"/>
    <w:rsid w:val="00690C10"/>
    <w:rsid w:val="00692420"/>
    <w:rsid w:val="00692843"/>
    <w:rsid w:val="00695216"/>
    <w:rsid w:val="00695865"/>
    <w:rsid w:val="0069598F"/>
    <w:rsid w:val="00695D60"/>
    <w:rsid w:val="00695F32"/>
    <w:rsid w:val="00697668"/>
    <w:rsid w:val="00697785"/>
    <w:rsid w:val="006979CF"/>
    <w:rsid w:val="006A0052"/>
    <w:rsid w:val="006A024C"/>
    <w:rsid w:val="006A048F"/>
    <w:rsid w:val="006A089A"/>
    <w:rsid w:val="006A0A2D"/>
    <w:rsid w:val="006A13AC"/>
    <w:rsid w:val="006A190D"/>
    <w:rsid w:val="006A261B"/>
    <w:rsid w:val="006A3178"/>
    <w:rsid w:val="006A3A25"/>
    <w:rsid w:val="006A4837"/>
    <w:rsid w:val="006A4C8F"/>
    <w:rsid w:val="006A4FC6"/>
    <w:rsid w:val="006A5E76"/>
    <w:rsid w:val="006A6629"/>
    <w:rsid w:val="006A68A5"/>
    <w:rsid w:val="006A730F"/>
    <w:rsid w:val="006A7776"/>
    <w:rsid w:val="006B08FC"/>
    <w:rsid w:val="006B09C3"/>
    <w:rsid w:val="006B0DED"/>
    <w:rsid w:val="006B17F4"/>
    <w:rsid w:val="006B29A3"/>
    <w:rsid w:val="006B2CD4"/>
    <w:rsid w:val="006B34C9"/>
    <w:rsid w:val="006B42C0"/>
    <w:rsid w:val="006B4878"/>
    <w:rsid w:val="006B4F1C"/>
    <w:rsid w:val="006B52F8"/>
    <w:rsid w:val="006B54B5"/>
    <w:rsid w:val="006B5C9F"/>
    <w:rsid w:val="006B67AE"/>
    <w:rsid w:val="006B713E"/>
    <w:rsid w:val="006B7412"/>
    <w:rsid w:val="006C0123"/>
    <w:rsid w:val="006C0707"/>
    <w:rsid w:val="006C09AA"/>
    <w:rsid w:val="006C0B91"/>
    <w:rsid w:val="006C0E7E"/>
    <w:rsid w:val="006C1A49"/>
    <w:rsid w:val="006C2BCE"/>
    <w:rsid w:val="006C2CB8"/>
    <w:rsid w:val="006C2D6D"/>
    <w:rsid w:val="006C2EAA"/>
    <w:rsid w:val="006C3002"/>
    <w:rsid w:val="006C33F2"/>
    <w:rsid w:val="006C3C38"/>
    <w:rsid w:val="006C3E12"/>
    <w:rsid w:val="006C4476"/>
    <w:rsid w:val="006C5528"/>
    <w:rsid w:val="006C576B"/>
    <w:rsid w:val="006C5FF4"/>
    <w:rsid w:val="006C6021"/>
    <w:rsid w:val="006C63DB"/>
    <w:rsid w:val="006C79FB"/>
    <w:rsid w:val="006C7AB9"/>
    <w:rsid w:val="006C7DEF"/>
    <w:rsid w:val="006D016B"/>
    <w:rsid w:val="006D0770"/>
    <w:rsid w:val="006D0DB1"/>
    <w:rsid w:val="006D10AB"/>
    <w:rsid w:val="006D1653"/>
    <w:rsid w:val="006D1A86"/>
    <w:rsid w:val="006D1BE7"/>
    <w:rsid w:val="006D1FF2"/>
    <w:rsid w:val="006D26F2"/>
    <w:rsid w:val="006D2E93"/>
    <w:rsid w:val="006D3480"/>
    <w:rsid w:val="006D3979"/>
    <w:rsid w:val="006D4891"/>
    <w:rsid w:val="006D4EBA"/>
    <w:rsid w:val="006D55DA"/>
    <w:rsid w:val="006D56A6"/>
    <w:rsid w:val="006D56AF"/>
    <w:rsid w:val="006D5731"/>
    <w:rsid w:val="006D5CDA"/>
    <w:rsid w:val="006D5FE6"/>
    <w:rsid w:val="006D6B16"/>
    <w:rsid w:val="006E125F"/>
    <w:rsid w:val="006E14E7"/>
    <w:rsid w:val="006E16CE"/>
    <w:rsid w:val="006E1809"/>
    <w:rsid w:val="006E2255"/>
    <w:rsid w:val="006E238C"/>
    <w:rsid w:val="006E3361"/>
    <w:rsid w:val="006E4247"/>
    <w:rsid w:val="006E428C"/>
    <w:rsid w:val="006E46CF"/>
    <w:rsid w:val="006E48C5"/>
    <w:rsid w:val="006E4B30"/>
    <w:rsid w:val="006E6B74"/>
    <w:rsid w:val="006E70F9"/>
    <w:rsid w:val="006E792D"/>
    <w:rsid w:val="006E7D9C"/>
    <w:rsid w:val="006F1105"/>
    <w:rsid w:val="006F1CD8"/>
    <w:rsid w:val="006F1F5C"/>
    <w:rsid w:val="006F214E"/>
    <w:rsid w:val="006F2922"/>
    <w:rsid w:val="006F2FBB"/>
    <w:rsid w:val="006F40CC"/>
    <w:rsid w:val="006F40EF"/>
    <w:rsid w:val="006F4440"/>
    <w:rsid w:val="006F4820"/>
    <w:rsid w:val="006F685A"/>
    <w:rsid w:val="006F6D89"/>
    <w:rsid w:val="007000BA"/>
    <w:rsid w:val="007001F2"/>
    <w:rsid w:val="0070080D"/>
    <w:rsid w:val="0070089E"/>
    <w:rsid w:val="00701A6F"/>
    <w:rsid w:val="0070226B"/>
    <w:rsid w:val="00702BC7"/>
    <w:rsid w:val="00703C4C"/>
    <w:rsid w:val="00703D49"/>
    <w:rsid w:val="00703FAF"/>
    <w:rsid w:val="00704050"/>
    <w:rsid w:val="00704536"/>
    <w:rsid w:val="007059AF"/>
    <w:rsid w:val="00706C08"/>
    <w:rsid w:val="007078A9"/>
    <w:rsid w:val="007100E7"/>
    <w:rsid w:val="00710399"/>
    <w:rsid w:val="007104C5"/>
    <w:rsid w:val="00710AEB"/>
    <w:rsid w:val="00711596"/>
    <w:rsid w:val="0071196B"/>
    <w:rsid w:val="00711D5F"/>
    <w:rsid w:val="00711EB6"/>
    <w:rsid w:val="00711EF7"/>
    <w:rsid w:val="00711FAF"/>
    <w:rsid w:val="0071218B"/>
    <w:rsid w:val="00712863"/>
    <w:rsid w:val="00712E87"/>
    <w:rsid w:val="0071437B"/>
    <w:rsid w:val="007156E2"/>
    <w:rsid w:val="007159A7"/>
    <w:rsid w:val="00716024"/>
    <w:rsid w:val="007167CD"/>
    <w:rsid w:val="00716E39"/>
    <w:rsid w:val="007171A1"/>
    <w:rsid w:val="00717D1C"/>
    <w:rsid w:val="00717DF5"/>
    <w:rsid w:val="007207C1"/>
    <w:rsid w:val="00720A23"/>
    <w:rsid w:val="00720E17"/>
    <w:rsid w:val="0072138C"/>
    <w:rsid w:val="007215D1"/>
    <w:rsid w:val="00721984"/>
    <w:rsid w:val="00721D84"/>
    <w:rsid w:val="00722168"/>
    <w:rsid w:val="00722186"/>
    <w:rsid w:val="007227DD"/>
    <w:rsid w:val="00723049"/>
    <w:rsid w:val="007239D4"/>
    <w:rsid w:val="00723E2F"/>
    <w:rsid w:val="0072440C"/>
    <w:rsid w:val="007245C8"/>
    <w:rsid w:val="00725BD7"/>
    <w:rsid w:val="00725D4B"/>
    <w:rsid w:val="0072640E"/>
    <w:rsid w:val="00726721"/>
    <w:rsid w:val="007269EC"/>
    <w:rsid w:val="00727628"/>
    <w:rsid w:val="00727750"/>
    <w:rsid w:val="007277FD"/>
    <w:rsid w:val="007301A0"/>
    <w:rsid w:val="0073084E"/>
    <w:rsid w:val="00730D2D"/>
    <w:rsid w:val="00730D68"/>
    <w:rsid w:val="00730F28"/>
    <w:rsid w:val="0073129D"/>
    <w:rsid w:val="007317FD"/>
    <w:rsid w:val="00731C9D"/>
    <w:rsid w:val="00732BC3"/>
    <w:rsid w:val="00732C38"/>
    <w:rsid w:val="00732C6D"/>
    <w:rsid w:val="0073388B"/>
    <w:rsid w:val="00733A60"/>
    <w:rsid w:val="00734B54"/>
    <w:rsid w:val="0073584C"/>
    <w:rsid w:val="007358F3"/>
    <w:rsid w:val="00735C54"/>
    <w:rsid w:val="00735EB2"/>
    <w:rsid w:val="00736A8C"/>
    <w:rsid w:val="007372F2"/>
    <w:rsid w:val="00740345"/>
    <w:rsid w:val="00740549"/>
    <w:rsid w:val="0074066F"/>
    <w:rsid w:val="00740970"/>
    <w:rsid w:val="007410E2"/>
    <w:rsid w:val="007418E0"/>
    <w:rsid w:val="00741BF2"/>
    <w:rsid w:val="00741C4B"/>
    <w:rsid w:val="00741FB7"/>
    <w:rsid w:val="00742233"/>
    <w:rsid w:val="007423A2"/>
    <w:rsid w:val="00742AFA"/>
    <w:rsid w:val="007436C9"/>
    <w:rsid w:val="00743AEB"/>
    <w:rsid w:val="0074456F"/>
    <w:rsid w:val="0074491C"/>
    <w:rsid w:val="0074543A"/>
    <w:rsid w:val="00745FF7"/>
    <w:rsid w:val="00746744"/>
    <w:rsid w:val="00746CF2"/>
    <w:rsid w:val="00747449"/>
    <w:rsid w:val="00750126"/>
    <w:rsid w:val="00750D4D"/>
    <w:rsid w:val="00750E63"/>
    <w:rsid w:val="0075104F"/>
    <w:rsid w:val="007511DA"/>
    <w:rsid w:val="00751836"/>
    <w:rsid w:val="00751D2A"/>
    <w:rsid w:val="0075209B"/>
    <w:rsid w:val="00752625"/>
    <w:rsid w:val="00753B98"/>
    <w:rsid w:val="00753BAB"/>
    <w:rsid w:val="00754458"/>
    <w:rsid w:val="007548B0"/>
    <w:rsid w:val="007553F6"/>
    <w:rsid w:val="00755BA3"/>
    <w:rsid w:val="0075619F"/>
    <w:rsid w:val="007561F8"/>
    <w:rsid w:val="007570FC"/>
    <w:rsid w:val="00757343"/>
    <w:rsid w:val="00757CF8"/>
    <w:rsid w:val="00757ED5"/>
    <w:rsid w:val="00760D6A"/>
    <w:rsid w:val="00761807"/>
    <w:rsid w:val="007632A7"/>
    <w:rsid w:val="00763826"/>
    <w:rsid w:val="00764584"/>
    <w:rsid w:val="00765403"/>
    <w:rsid w:val="00765EA7"/>
    <w:rsid w:val="00766165"/>
    <w:rsid w:val="007661BD"/>
    <w:rsid w:val="007663B6"/>
    <w:rsid w:val="00766FC7"/>
    <w:rsid w:val="00767037"/>
    <w:rsid w:val="00767336"/>
    <w:rsid w:val="00767FA2"/>
    <w:rsid w:val="00770091"/>
    <w:rsid w:val="00770E6E"/>
    <w:rsid w:val="0077146F"/>
    <w:rsid w:val="00771821"/>
    <w:rsid w:val="00771967"/>
    <w:rsid w:val="00771B91"/>
    <w:rsid w:val="00772187"/>
    <w:rsid w:val="00772249"/>
    <w:rsid w:val="00773A96"/>
    <w:rsid w:val="00774313"/>
    <w:rsid w:val="007746C8"/>
    <w:rsid w:val="007758A4"/>
    <w:rsid w:val="00776326"/>
    <w:rsid w:val="007769BD"/>
    <w:rsid w:val="00776F0A"/>
    <w:rsid w:val="00777D92"/>
    <w:rsid w:val="00777DD4"/>
    <w:rsid w:val="0078018D"/>
    <w:rsid w:val="007801A5"/>
    <w:rsid w:val="00781BAB"/>
    <w:rsid w:val="00781F4A"/>
    <w:rsid w:val="0078290D"/>
    <w:rsid w:val="00782FAB"/>
    <w:rsid w:val="007833ED"/>
    <w:rsid w:val="007837D6"/>
    <w:rsid w:val="00783B2C"/>
    <w:rsid w:val="00784289"/>
    <w:rsid w:val="00784A6A"/>
    <w:rsid w:val="00784A6D"/>
    <w:rsid w:val="00784CC7"/>
    <w:rsid w:val="00785691"/>
    <w:rsid w:val="007862F9"/>
    <w:rsid w:val="0078727E"/>
    <w:rsid w:val="00787D2A"/>
    <w:rsid w:val="00790389"/>
    <w:rsid w:val="00790FF1"/>
    <w:rsid w:val="007915F9"/>
    <w:rsid w:val="00791C76"/>
    <w:rsid w:val="00791C87"/>
    <w:rsid w:val="00792106"/>
    <w:rsid w:val="00793A68"/>
    <w:rsid w:val="007944C5"/>
    <w:rsid w:val="00794AAB"/>
    <w:rsid w:val="0079680E"/>
    <w:rsid w:val="0079681A"/>
    <w:rsid w:val="00796A7E"/>
    <w:rsid w:val="00796C45"/>
    <w:rsid w:val="00796CB1"/>
    <w:rsid w:val="00797329"/>
    <w:rsid w:val="00797653"/>
    <w:rsid w:val="00797F68"/>
    <w:rsid w:val="007A0240"/>
    <w:rsid w:val="007A057D"/>
    <w:rsid w:val="007A0C6D"/>
    <w:rsid w:val="007A0E1A"/>
    <w:rsid w:val="007A146A"/>
    <w:rsid w:val="007A16D0"/>
    <w:rsid w:val="007A19A0"/>
    <w:rsid w:val="007A2075"/>
    <w:rsid w:val="007A3414"/>
    <w:rsid w:val="007A3787"/>
    <w:rsid w:val="007A40BE"/>
    <w:rsid w:val="007A44EA"/>
    <w:rsid w:val="007A4A6A"/>
    <w:rsid w:val="007A4A75"/>
    <w:rsid w:val="007A5064"/>
    <w:rsid w:val="007A5070"/>
    <w:rsid w:val="007A62E9"/>
    <w:rsid w:val="007A694A"/>
    <w:rsid w:val="007A6BBC"/>
    <w:rsid w:val="007A744D"/>
    <w:rsid w:val="007A751A"/>
    <w:rsid w:val="007A7C4C"/>
    <w:rsid w:val="007B0044"/>
    <w:rsid w:val="007B0163"/>
    <w:rsid w:val="007B0574"/>
    <w:rsid w:val="007B0D26"/>
    <w:rsid w:val="007B0F5C"/>
    <w:rsid w:val="007B0F73"/>
    <w:rsid w:val="007B107B"/>
    <w:rsid w:val="007B1992"/>
    <w:rsid w:val="007B1AF6"/>
    <w:rsid w:val="007B1FEB"/>
    <w:rsid w:val="007B2213"/>
    <w:rsid w:val="007B295B"/>
    <w:rsid w:val="007B4E35"/>
    <w:rsid w:val="007B50DE"/>
    <w:rsid w:val="007B5A20"/>
    <w:rsid w:val="007B5B1D"/>
    <w:rsid w:val="007B5E09"/>
    <w:rsid w:val="007B5EBF"/>
    <w:rsid w:val="007B6302"/>
    <w:rsid w:val="007B6F65"/>
    <w:rsid w:val="007B7232"/>
    <w:rsid w:val="007B7B20"/>
    <w:rsid w:val="007C0629"/>
    <w:rsid w:val="007C0D06"/>
    <w:rsid w:val="007C2B40"/>
    <w:rsid w:val="007C2F4D"/>
    <w:rsid w:val="007C3040"/>
    <w:rsid w:val="007C34B0"/>
    <w:rsid w:val="007C36C5"/>
    <w:rsid w:val="007C386F"/>
    <w:rsid w:val="007C3F02"/>
    <w:rsid w:val="007C3FA1"/>
    <w:rsid w:val="007C415C"/>
    <w:rsid w:val="007C4B9D"/>
    <w:rsid w:val="007C5131"/>
    <w:rsid w:val="007C55D8"/>
    <w:rsid w:val="007C64C6"/>
    <w:rsid w:val="007C76C3"/>
    <w:rsid w:val="007C7856"/>
    <w:rsid w:val="007D1292"/>
    <w:rsid w:val="007D1A18"/>
    <w:rsid w:val="007D2716"/>
    <w:rsid w:val="007D2886"/>
    <w:rsid w:val="007D521E"/>
    <w:rsid w:val="007D6025"/>
    <w:rsid w:val="007D64B2"/>
    <w:rsid w:val="007D6A9E"/>
    <w:rsid w:val="007D6E15"/>
    <w:rsid w:val="007D7157"/>
    <w:rsid w:val="007D7482"/>
    <w:rsid w:val="007D75F3"/>
    <w:rsid w:val="007D76BC"/>
    <w:rsid w:val="007D7837"/>
    <w:rsid w:val="007D7AAB"/>
    <w:rsid w:val="007E0B64"/>
    <w:rsid w:val="007E2102"/>
    <w:rsid w:val="007E2B4B"/>
    <w:rsid w:val="007E2E1D"/>
    <w:rsid w:val="007E3304"/>
    <w:rsid w:val="007E3C8D"/>
    <w:rsid w:val="007E3D12"/>
    <w:rsid w:val="007E50D0"/>
    <w:rsid w:val="007E5730"/>
    <w:rsid w:val="007E57CE"/>
    <w:rsid w:val="007E6580"/>
    <w:rsid w:val="007E6655"/>
    <w:rsid w:val="007E6A68"/>
    <w:rsid w:val="007E7078"/>
    <w:rsid w:val="007E7279"/>
    <w:rsid w:val="007E7A35"/>
    <w:rsid w:val="007E7F7C"/>
    <w:rsid w:val="007F0AC4"/>
    <w:rsid w:val="007F1649"/>
    <w:rsid w:val="007F165E"/>
    <w:rsid w:val="007F1C8F"/>
    <w:rsid w:val="007F1DF0"/>
    <w:rsid w:val="007F23F8"/>
    <w:rsid w:val="007F2438"/>
    <w:rsid w:val="007F2BA6"/>
    <w:rsid w:val="007F3082"/>
    <w:rsid w:val="007F3CF6"/>
    <w:rsid w:val="007F41CA"/>
    <w:rsid w:val="007F4432"/>
    <w:rsid w:val="007F5C61"/>
    <w:rsid w:val="007F6402"/>
    <w:rsid w:val="007F683E"/>
    <w:rsid w:val="007F71CB"/>
    <w:rsid w:val="007F73E6"/>
    <w:rsid w:val="007F7905"/>
    <w:rsid w:val="007F7ACC"/>
    <w:rsid w:val="007F7DA6"/>
    <w:rsid w:val="0080047E"/>
    <w:rsid w:val="00800B8D"/>
    <w:rsid w:val="00800E9E"/>
    <w:rsid w:val="00801280"/>
    <w:rsid w:val="008026BD"/>
    <w:rsid w:val="00802C87"/>
    <w:rsid w:val="008030A3"/>
    <w:rsid w:val="00805C9F"/>
    <w:rsid w:val="0080652E"/>
    <w:rsid w:val="00806844"/>
    <w:rsid w:val="00807566"/>
    <w:rsid w:val="00807AE5"/>
    <w:rsid w:val="00807FEA"/>
    <w:rsid w:val="008122EF"/>
    <w:rsid w:val="0081255A"/>
    <w:rsid w:val="00813197"/>
    <w:rsid w:val="00813639"/>
    <w:rsid w:val="008138CB"/>
    <w:rsid w:val="008139EF"/>
    <w:rsid w:val="00813F25"/>
    <w:rsid w:val="00814B06"/>
    <w:rsid w:val="00814B36"/>
    <w:rsid w:val="00814C9C"/>
    <w:rsid w:val="00814E7C"/>
    <w:rsid w:val="00815257"/>
    <w:rsid w:val="0081527B"/>
    <w:rsid w:val="008154B0"/>
    <w:rsid w:val="008155CF"/>
    <w:rsid w:val="00815D7C"/>
    <w:rsid w:val="0081684B"/>
    <w:rsid w:val="00816B51"/>
    <w:rsid w:val="00817D27"/>
    <w:rsid w:val="00821189"/>
    <w:rsid w:val="00821BA2"/>
    <w:rsid w:val="008225AB"/>
    <w:rsid w:val="00822C41"/>
    <w:rsid w:val="00822E75"/>
    <w:rsid w:val="00823D7A"/>
    <w:rsid w:val="0082491F"/>
    <w:rsid w:val="0082582E"/>
    <w:rsid w:val="0082677A"/>
    <w:rsid w:val="00826CA4"/>
    <w:rsid w:val="0082768C"/>
    <w:rsid w:val="008279BE"/>
    <w:rsid w:val="00827A1C"/>
    <w:rsid w:val="008306A9"/>
    <w:rsid w:val="00830878"/>
    <w:rsid w:val="00830AF7"/>
    <w:rsid w:val="00831390"/>
    <w:rsid w:val="00831E90"/>
    <w:rsid w:val="00831ED5"/>
    <w:rsid w:val="00832A70"/>
    <w:rsid w:val="00832A98"/>
    <w:rsid w:val="00833651"/>
    <w:rsid w:val="00834F9D"/>
    <w:rsid w:val="008352C0"/>
    <w:rsid w:val="0083534C"/>
    <w:rsid w:val="00835ADE"/>
    <w:rsid w:val="00835AE2"/>
    <w:rsid w:val="008360F7"/>
    <w:rsid w:val="00836737"/>
    <w:rsid w:val="00836CCF"/>
    <w:rsid w:val="00836FA7"/>
    <w:rsid w:val="008410BC"/>
    <w:rsid w:val="00841FF6"/>
    <w:rsid w:val="008422ED"/>
    <w:rsid w:val="008429FA"/>
    <w:rsid w:val="0084301B"/>
    <w:rsid w:val="00843629"/>
    <w:rsid w:val="00844850"/>
    <w:rsid w:val="00844C71"/>
    <w:rsid w:val="00844E5A"/>
    <w:rsid w:val="00845159"/>
    <w:rsid w:val="00845395"/>
    <w:rsid w:val="00845625"/>
    <w:rsid w:val="0084565E"/>
    <w:rsid w:val="0084572E"/>
    <w:rsid w:val="00845B41"/>
    <w:rsid w:val="00845BC9"/>
    <w:rsid w:val="00845C4F"/>
    <w:rsid w:val="008473D3"/>
    <w:rsid w:val="0084757A"/>
    <w:rsid w:val="00847CE3"/>
    <w:rsid w:val="0085045D"/>
    <w:rsid w:val="008506CF"/>
    <w:rsid w:val="00850B72"/>
    <w:rsid w:val="008518B3"/>
    <w:rsid w:val="0085215A"/>
    <w:rsid w:val="00852D7C"/>
    <w:rsid w:val="00852E2A"/>
    <w:rsid w:val="0085328E"/>
    <w:rsid w:val="00854321"/>
    <w:rsid w:val="00854735"/>
    <w:rsid w:val="00854BEC"/>
    <w:rsid w:val="00855BAF"/>
    <w:rsid w:val="00855F61"/>
    <w:rsid w:val="008567A8"/>
    <w:rsid w:val="00856909"/>
    <w:rsid w:val="0085716D"/>
    <w:rsid w:val="008574B6"/>
    <w:rsid w:val="00860FB9"/>
    <w:rsid w:val="00861A8C"/>
    <w:rsid w:val="00861AD8"/>
    <w:rsid w:val="00861B6C"/>
    <w:rsid w:val="00862494"/>
    <w:rsid w:val="00862A09"/>
    <w:rsid w:val="008631A7"/>
    <w:rsid w:val="00863D5C"/>
    <w:rsid w:val="00864010"/>
    <w:rsid w:val="00864BFC"/>
    <w:rsid w:val="0086501D"/>
    <w:rsid w:val="0086517E"/>
    <w:rsid w:val="0086540C"/>
    <w:rsid w:val="008654DC"/>
    <w:rsid w:val="00865850"/>
    <w:rsid w:val="00865C35"/>
    <w:rsid w:val="00865EF0"/>
    <w:rsid w:val="00866C9D"/>
    <w:rsid w:val="0086721A"/>
    <w:rsid w:val="008705B6"/>
    <w:rsid w:val="00870CBF"/>
    <w:rsid w:val="00870CC6"/>
    <w:rsid w:val="00872599"/>
    <w:rsid w:val="00873013"/>
    <w:rsid w:val="00873E0C"/>
    <w:rsid w:val="008740B8"/>
    <w:rsid w:val="00874709"/>
    <w:rsid w:val="00874CD3"/>
    <w:rsid w:val="008754DF"/>
    <w:rsid w:val="0087564F"/>
    <w:rsid w:val="00875DA6"/>
    <w:rsid w:val="0087644C"/>
    <w:rsid w:val="0087681F"/>
    <w:rsid w:val="00876A3A"/>
    <w:rsid w:val="00876F03"/>
    <w:rsid w:val="008775D9"/>
    <w:rsid w:val="008778BB"/>
    <w:rsid w:val="00877EDC"/>
    <w:rsid w:val="00880043"/>
    <w:rsid w:val="008801C1"/>
    <w:rsid w:val="00881619"/>
    <w:rsid w:val="00881ABF"/>
    <w:rsid w:val="00881B28"/>
    <w:rsid w:val="00883BA6"/>
    <w:rsid w:val="00883D9C"/>
    <w:rsid w:val="0088495F"/>
    <w:rsid w:val="00884A75"/>
    <w:rsid w:val="00884F0E"/>
    <w:rsid w:val="00885755"/>
    <w:rsid w:val="0088592F"/>
    <w:rsid w:val="00885D29"/>
    <w:rsid w:val="0088639A"/>
    <w:rsid w:val="00886A8D"/>
    <w:rsid w:val="0088701D"/>
    <w:rsid w:val="008902F2"/>
    <w:rsid w:val="00890CB5"/>
    <w:rsid w:val="00891099"/>
    <w:rsid w:val="0089154B"/>
    <w:rsid w:val="0089164C"/>
    <w:rsid w:val="008916BC"/>
    <w:rsid w:val="00891BC2"/>
    <w:rsid w:val="008925DB"/>
    <w:rsid w:val="00892806"/>
    <w:rsid w:val="00892DA0"/>
    <w:rsid w:val="00893014"/>
    <w:rsid w:val="00893673"/>
    <w:rsid w:val="00894D53"/>
    <w:rsid w:val="00894E16"/>
    <w:rsid w:val="00894FEC"/>
    <w:rsid w:val="00895031"/>
    <w:rsid w:val="008953F4"/>
    <w:rsid w:val="00895D1F"/>
    <w:rsid w:val="00895D47"/>
    <w:rsid w:val="008A0538"/>
    <w:rsid w:val="008A07E2"/>
    <w:rsid w:val="008A19EC"/>
    <w:rsid w:val="008A243D"/>
    <w:rsid w:val="008A251A"/>
    <w:rsid w:val="008A2523"/>
    <w:rsid w:val="008A30C9"/>
    <w:rsid w:val="008A33DC"/>
    <w:rsid w:val="008A3F56"/>
    <w:rsid w:val="008A452E"/>
    <w:rsid w:val="008A4553"/>
    <w:rsid w:val="008A45DE"/>
    <w:rsid w:val="008A472C"/>
    <w:rsid w:val="008A5612"/>
    <w:rsid w:val="008A64D4"/>
    <w:rsid w:val="008A68DA"/>
    <w:rsid w:val="008A762B"/>
    <w:rsid w:val="008B03C5"/>
    <w:rsid w:val="008B06D0"/>
    <w:rsid w:val="008B0DF2"/>
    <w:rsid w:val="008B1111"/>
    <w:rsid w:val="008B1331"/>
    <w:rsid w:val="008B1EC9"/>
    <w:rsid w:val="008B2E41"/>
    <w:rsid w:val="008B2F02"/>
    <w:rsid w:val="008B3741"/>
    <w:rsid w:val="008B3BDE"/>
    <w:rsid w:val="008B4A2B"/>
    <w:rsid w:val="008B4D02"/>
    <w:rsid w:val="008B4F85"/>
    <w:rsid w:val="008B5E17"/>
    <w:rsid w:val="008B5EC5"/>
    <w:rsid w:val="008B5FFF"/>
    <w:rsid w:val="008B62CD"/>
    <w:rsid w:val="008B64BA"/>
    <w:rsid w:val="008B6DFF"/>
    <w:rsid w:val="008B7770"/>
    <w:rsid w:val="008B7C02"/>
    <w:rsid w:val="008B7E34"/>
    <w:rsid w:val="008C0E0D"/>
    <w:rsid w:val="008C10D7"/>
    <w:rsid w:val="008C129C"/>
    <w:rsid w:val="008C1A9A"/>
    <w:rsid w:val="008C1D6F"/>
    <w:rsid w:val="008C1F76"/>
    <w:rsid w:val="008C2ED5"/>
    <w:rsid w:val="008C37A7"/>
    <w:rsid w:val="008C4952"/>
    <w:rsid w:val="008C4E77"/>
    <w:rsid w:val="008C6A1B"/>
    <w:rsid w:val="008C723A"/>
    <w:rsid w:val="008D0B07"/>
    <w:rsid w:val="008D10E4"/>
    <w:rsid w:val="008D1813"/>
    <w:rsid w:val="008D386F"/>
    <w:rsid w:val="008D3E9A"/>
    <w:rsid w:val="008D41F7"/>
    <w:rsid w:val="008D49A4"/>
    <w:rsid w:val="008D61A7"/>
    <w:rsid w:val="008D6323"/>
    <w:rsid w:val="008D6464"/>
    <w:rsid w:val="008D6F05"/>
    <w:rsid w:val="008E021D"/>
    <w:rsid w:val="008E1672"/>
    <w:rsid w:val="008E2AE0"/>
    <w:rsid w:val="008E3AB2"/>
    <w:rsid w:val="008E5350"/>
    <w:rsid w:val="008E5625"/>
    <w:rsid w:val="008E6109"/>
    <w:rsid w:val="008E6180"/>
    <w:rsid w:val="008E67EE"/>
    <w:rsid w:val="008E68AE"/>
    <w:rsid w:val="008E7399"/>
    <w:rsid w:val="008E749E"/>
    <w:rsid w:val="008E7A94"/>
    <w:rsid w:val="008F0300"/>
    <w:rsid w:val="008F0550"/>
    <w:rsid w:val="008F0C75"/>
    <w:rsid w:val="008F1235"/>
    <w:rsid w:val="008F157B"/>
    <w:rsid w:val="008F1594"/>
    <w:rsid w:val="008F1BEF"/>
    <w:rsid w:val="008F1FC4"/>
    <w:rsid w:val="008F320A"/>
    <w:rsid w:val="008F3A9A"/>
    <w:rsid w:val="008F466A"/>
    <w:rsid w:val="008F54B8"/>
    <w:rsid w:val="008F56A0"/>
    <w:rsid w:val="008F6051"/>
    <w:rsid w:val="008F60C2"/>
    <w:rsid w:val="008F69EF"/>
    <w:rsid w:val="008F6BB8"/>
    <w:rsid w:val="008F743C"/>
    <w:rsid w:val="008F7B19"/>
    <w:rsid w:val="009002DE"/>
    <w:rsid w:val="00900543"/>
    <w:rsid w:val="00900715"/>
    <w:rsid w:val="009009EE"/>
    <w:rsid w:val="00900CDF"/>
    <w:rsid w:val="00900F98"/>
    <w:rsid w:val="00901CF9"/>
    <w:rsid w:val="00901D95"/>
    <w:rsid w:val="0090293B"/>
    <w:rsid w:val="0090295C"/>
    <w:rsid w:val="00902C57"/>
    <w:rsid w:val="009035D7"/>
    <w:rsid w:val="00904C75"/>
    <w:rsid w:val="00904E60"/>
    <w:rsid w:val="00904EFA"/>
    <w:rsid w:val="00904FAA"/>
    <w:rsid w:val="00905382"/>
    <w:rsid w:val="00905CA5"/>
    <w:rsid w:val="009069DD"/>
    <w:rsid w:val="00906DD9"/>
    <w:rsid w:val="00906E80"/>
    <w:rsid w:val="0090779A"/>
    <w:rsid w:val="00911772"/>
    <w:rsid w:val="009117CB"/>
    <w:rsid w:val="00913292"/>
    <w:rsid w:val="0091372C"/>
    <w:rsid w:val="00913865"/>
    <w:rsid w:val="00913E8B"/>
    <w:rsid w:val="009144C3"/>
    <w:rsid w:val="00914A4B"/>
    <w:rsid w:val="0091510F"/>
    <w:rsid w:val="009157D0"/>
    <w:rsid w:val="00915E3E"/>
    <w:rsid w:val="00915F84"/>
    <w:rsid w:val="00916638"/>
    <w:rsid w:val="00916C10"/>
    <w:rsid w:val="00917C2A"/>
    <w:rsid w:val="00917E6E"/>
    <w:rsid w:val="00917F57"/>
    <w:rsid w:val="00920411"/>
    <w:rsid w:val="009206E0"/>
    <w:rsid w:val="0092135B"/>
    <w:rsid w:val="0092148A"/>
    <w:rsid w:val="009215E6"/>
    <w:rsid w:val="00922217"/>
    <w:rsid w:val="00923246"/>
    <w:rsid w:val="00923698"/>
    <w:rsid w:val="00923C0A"/>
    <w:rsid w:val="00924740"/>
    <w:rsid w:val="0092598B"/>
    <w:rsid w:val="00925E6D"/>
    <w:rsid w:val="00926591"/>
    <w:rsid w:val="00926B9F"/>
    <w:rsid w:val="0092778A"/>
    <w:rsid w:val="0092785C"/>
    <w:rsid w:val="0093119C"/>
    <w:rsid w:val="009314B3"/>
    <w:rsid w:val="00931B1C"/>
    <w:rsid w:val="009322D0"/>
    <w:rsid w:val="0093240E"/>
    <w:rsid w:val="00932B1C"/>
    <w:rsid w:val="0093350A"/>
    <w:rsid w:val="00933546"/>
    <w:rsid w:val="0093451E"/>
    <w:rsid w:val="009346AF"/>
    <w:rsid w:val="00934BF1"/>
    <w:rsid w:val="00934EC5"/>
    <w:rsid w:val="00934F25"/>
    <w:rsid w:val="009372EF"/>
    <w:rsid w:val="0094000B"/>
    <w:rsid w:val="00940891"/>
    <w:rsid w:val="009409F3"/>
    <w:rsid w:val="00941B3F"/>
    <w:rsid w:val="00941E71"/>
    <w:rsid w:val="009426D9"/>
    <w:rsid w:val="00942B9B"/>
    <w:rsid w:val="00942D1B"/>
    <w:rsid w:val="00943611"/>
    <w:rsid w:val="00943944"/>
    <w:rsid w:val="00945158"/>
    <w:rsid w:val="00947211"/>
    <w:rsid w:val="0094757A"/>
    <w:rsid w:val="009475E4"/>
    <w:rsid w:val="009479D6"/>
    <w:rsid w:val="00947C7B"/>
    <w:rsid w:val="0095002C"/>
    <w:rsid w:val="009508E9"/>
    <w:rsid w:val="00950B3A"/>
    <w:rsid w:val="0095120F"/>
    <w:rsid w:val="00951B1C"/>
    <w:rsid w:val="009526CD"/>
    <w:rsid w:val="00952EB0"/>
    <w:rsid w:val="009531E8"/>
    <w:rsid w:val="00955462"/>
    <w:rsid w:val="00956BB5"/>
    <w:rsid w:val="00957404"/>
    <w:rsid w:val="00960303"/>
    <w:rsid w:val="009613D8"/>
    <w:rsid w:val="0096166C"/>
    <w:rsid w:val="0096186A"/>
    <w:rsid w:val="00961ADD"/>
    <w:rsid w:val="00962FA2"/>
    <w:rsid w:val="00963BAA"/>
    <w:rsid w:val="00964216"/>
    <w:rsid w:val="00964C0C"/>
    <w:rsid w:val="0096521C"/>
    <w:rsid w:val="00965DA6"/>
    <w:rsid w:val="0096658F"/>
    <w:rsid w:val="0096685B"/>
    <w:rsid w:val="00966D1A"/>
    <w:rsid w:val="00966FA3"/>
    <w:rsid w:val="0096761C"/>
    <w:rsid w:val="00967BA0"/>
    <w:rsid w:val="009702FE"/>
    <w:rsid w:val="00970979"/>
    <w:rsid w:val="00971131"/>
    <w:rsid w:val="009719EE"/>
    <w:rsid w:val="00971E51"/>
    <w:rsid w:val="00971EE6"/>
    <w:rsid w:val="00971F39"/>
    <w:rsid w:val="00972390"/>
    <w:rsid w:val="0097273D"/>
    <w:rsid w:val="00972E47"/>
    <w:rsid w:val="00973010"/>
    <w:rsid w:val="0097370F"/>
    <w:rsid w:val="0097400B"/>
    <w:rsid w:val="00974486"/>
    <w:rsid w:val="00974782"/>
    <w:rsid w:val="00974796"/>
    <w:rsid w:val="00974E8C"/>
    <w:rsid w:val="00974F05"/>
    <w:rsid w:val="00975B0F"/>
    <w:rsid w:val="0098083C"/>
    <w:rsid w:val="00980923"/>
    <w:rsid w:val="009809C8"/>
    <w:rsid w:val="00980C24"/>
    <w:rsid w:val="009811DE"/>
    <w:rsid w:val="00981435"/>
    <w:rsid w:val="0098194A"/>
    <w:rsid w:val="00982E18"/>
    <w:rsid w:val="00982F23"/>
    <w:rsid w:val="00983646"/>
    <w:rsid w:val="00983C3C"/>
    <w:rsid w:val="00983FF2"/>
    <w:rsid w:val="00984843"/>
    <w:rsid w:val="0098488A"/>
    <w:rsid w:val="00984F63"/>
    <w:rsid w:val="00985378"/>
    <w:rsid w:val="00985536"/>
    <w:rsid w:val="009859B2"/>
    <w:rsid w:val="009868BF"/>
    <w:rsid w:val="009871B4"/>
    <w:rsid w:val="009874BA"/>
    <w:rsid w:val="00987776"/>
    <w:rsid w:val="0098779E"/>
    <w:rsid w:val="00987E53"/>
    <w:rsid w:val="00990420"/>
    <w:rsid w:val="0099274D"/>
    <w:rsid w:val="00993B29"/>
    <w:rsid w:val="00994214"/>
    <w:rsid w:val="009946E7"/>
    <w:rsid w:val="00994CC9"/>
    <w:rsid w:val="00995140"/>
    <w:rsid w:val="00995290"/>
    <w:rsid w:val="0099557C"/>
    <w:rsid w:val="00995A7C"/>
    <w:rsid w:val="00995DAB"/>
    <w:rsid w:val="00995E22"/>
    <w:rsid w:val="00997016"/>
    <w:rsid w:val="009978B1"/>
    <w:rsid w:val="00997C4B"/>
    <w:rsid w:val="009A08B2"/>
    <w:rsid w:val="009A0F02"/>
    <w:rsid w:val="009A1123"/>
    <w:rsid w:val="009A188E"/>
    <w:rsid w:val="009A1ACE"/>
    <w:rsid w:val="009A25C2"/>
    <w:rsid w:val="009A287A"/>
    <w:rsid w:val="009A2A7C"/>
    <w:rsid w:val="009A34EE"/>
    <w:rsid w:val="009A42AA"/>
    <w:rsid w:val="009A42FF"/>
    <w:rsid w:val="009A5991"/>
    <w:rsid w:val="009A6731"/>
    <w:rsid w:val="009A6CEA"/>
    <w:rsid w:val="009A731D"/>
    <w:rsid w:val="009B0048"/>
    <w:rsid w:val="009B04FB"/>
    <w:rsid w:val="009B0BD1"/>
    <w:rsid w:val="009B4811"/>
    <w:rsid w:val="009B4C64"/>
    <w:rsid w:val="009B5A12"/>
    <w:rsid w:val="009B624F"/>
    <w:rsid w:val="009B6F68"/>
    <w:rsid w:val="009B785B"/>
    <w:rsid w:val="009C020F"/>
    <w:rsid w:val="009C151E"/>
    <w:rsid w:val="009C164D"/>
    <w:rsid w:val="009C17EC"/>
    <w:rsid w:val="009C237C"/>
    <w:rsid w:val="009C25E0"/>
    <w:rsid w:val="009C3615"/>
    <w:rsid w:val="009C3B08"/>
    <w:rsid w:val="009C3D4B"/>
    <w:rsid w:val="009C4521"/>
    <w:rsid w:val="009C4645"/>
    <w:rsid w:val="009C52F7"/>
    <w:rsid w:val="009C59C0"/>
    <w:rsid w:val="009C5E01"/>
    <w:rsid w:val="009C683C"/>
    <w:rsid w:val="009C6A5C"/>
    <w:rsid w:val="009C6C56"/>
    <w:rsid w:val="009C7A92"/>
    <w:rsid w:val="009D0980"/>
    <w:rsid w:val="009D0996"/>
    <w:rsid w:val="009D0A2D"/>
    <w:rsid w:val="009D0DC7"/>
    <w:rsid w:val="009D124B"/>
    <w:rsid w:val="009D17C6"/>
    <w:rsid w:val="009D1E9A"/>
    <w:rsid w:val="009D2014"/>
    <w:rsid w:val="009D27F7"/>
    <w:rsid w:val="009D2B80"/>
    <w:rsid w:val="009D39F3"/>
    <w:rsid w:val="009D41CF"/>
    <w:rsid w:val="009D5A21"/>
    <w:rsid w:val="009D5EE9"/>
    <w:rsid w:val="009D605D"/>
    <w:rsid w:val="009D6121"/>
    <w:rsid w:val="009D6AD6"/>
    <w:rsid w:val="009D6CC1"/>
    <w:rsid w:val="009D7216"/>
    <w:rsid w:val="009D74B1"/>
    <w:rsid w:val="009D774C"/>
    <w:rsid w:val="009D79E3"/>
    <w:rsid w:val="009E0641"/>
    <w:rsid w:val="009E11FD"/>
    <w:rsid w:val="009E1413"/>
    <w:rsid w:val="009E1BDE"/>
    <w:rsid w:val="009E1DEC"/>
    <w:rsid w:val="009E2029"/>
    <w:rsid w:val="009E2190"/>
    <w:rsid w:val="009E2325"/>
    <w:rsid w:val="009E263D"/>
    <w:rsid w:val="009E2C24"/>
    <w:rsid w:val="009E31F5"/>
    <w:rsid w:val="009E37A1"/>
    <w:rsid w:val="009E3D2A"/>
    <w:rsid w:val="009E4296"/>
    <w:rsid w:val="009E4A98"/>
    <w:rsid w:val="009E4B08"/>
    <w:rsid w:val="009E58CA"/>
    <w:rsid w:val="009E5C09"/>
    <w:rsid w:val="009E6BEA"/>
    <w:rsid w:val="009E7B23"/>
    <w:rsid w:val="009F1059"/>
    <w:rsid w:val="009F14F0"/>
    <w:rsid w:val="009F17DA"/>
    <w:rsid w:val="009F2055"/>
    <w:rsid w:val="009F2736"/>
    <w:rsid w:val="009F2817"/>
    <w:rsid w:val="009F35F7"/>
    <w:rsid w:val="009F36AC"/>
    <w:rsid w:val="009F37C4"/>
    <w:rsid w:val="009F3F5D"/>
    <w:rsid w:val="009F43E3"/>
    <w:rsid w:val="009F49F3"/>
    <w:rsid w:val="009F5B03"/>
    <w:rsid w:val="009F5ED7"/>
    <w:rsid w:val="009F62CF"/>
    <w:rsid w:val="009F6A17"/>
    <w:rsid w:val="009F6BA3"/>
    <w:rsid w:val="009F744E"/>
    <w:rsid w:val="009F7BEB"/>
    <w:rsid w:val="00A005FC"/>
    <w:rsid w:val="00A014BF"/>
    <w:rsid w:val="00A016B7"/>
    <w:rsid w:val="00A02362"/>
    <w:rsid w:val="00A02DC2"/>
    <w:rsid w:val="00A031E8"/>
    <w:rsid w:val="00A049F7"/>
    <w:rsid w:val="00A055F9"/>
    <w:rsid w:val="00A06CBA"/>
    <w:rsid w:val="00A06E01"/>
    <w:rsid w:val="00A06FC1"/>
    <w:rsid w:val="00A07CA0"/>
    <w:rsid w:val="00A1168E"/>
    <w:rsid w:val="00A1199B"/>
    <w:rsid w:val="00A1259F"/>
    <w:rsid w:val="00A12EA3"/>
    <w:rsid w:val="00A12F8F"/>
    <w:rsid w:val="00A138E3"/>
    <w:rsid w:val="00A13975"/>
    <w:rsid w:val="00A13AE3"/>
    <w:rsid w:val="00A13E62"/>
    <w:rsid w:val="00A14194"/>
    <w:rsid w:val="00A14AB5"/>
    <w:rsid w:val="00A14FCD"/>
    <w:rsid w:val="00A152F3"/>
    <w:rsid w:val="00A17ED0"/>
    <w:rsid w:val="00A20491"/>
    <w:rsid w:val="00A206D4"/>
    <w:rsid w:val="00A20B01"/>
    <w:rsid w:val="00A20E9B"/>
    <w:rsid w:val="00A2133B"/>
    <w:rsid w:val="00A21463"/>
    <w:rsid w:val="00A2166B"/>
    <w:rsid w:val="00A2188F"/>
    <w:rsid w:val="00A220C4"/>
    <w:rsid w:val="00A226B3"/>
    <w:rsid w:val="00A227E5"/>
    <w:rsid w:val="00A23551"/>
    <w:rsid w:val="00A23FF4"/>
    <w:rsid w:val="00A246C9"/>
    <w:rsid w:val="00A253EB"/>
    <w:rsid w:val="00A25888"/>
    <w:rsid w:val="00A2588E"/>
    <w:rsid w:val="00A25B2F"/>
    <w:rsid w:val="00A25CDF"/>
    <w:rsid w:val="00A25E68"/>
    <w:rsid w:val="00A26887"/>
    <w:rsid w:val="00A2775A"/>
    <w:rsid w:val="00A27B30"/>
    <w:rsid w:val="00A27C38"/>
    <w:rsid w:val="00A27C64"/>
    <w:rsid w:val="00A305F9"/>
    <w:rsid w:val="00A30B78"/>
    <w:rsid w:val="00A30E21"/>
    <w:rsid w:val="00A3223D"/>
    <w:rsid w:val="00A32588"/>
    <w:rsid w:val="00A327E8"/>
    <w:rsid w:val="00A33124"/>
    <w:rsid w:val="00A353FC"/>
    <w:rsid w:val="00A357F5"/>
    <w:rsid w:val="00A36278"/>
    <w:rsid w:val="00A36620"/>
    <w:rsid w:val="00A367E3"/>
    <w:rsid w:val="00A36DB8"/>
    <w:rsid w:val="00A36DDE"/>
    <w:rsid w:val="00A3751E"/>
    <w:rsid w:val="00A40535"/>
    <w:rsid w:val="00A40A7E"/>
    <w:rsid w:val="00A41B8D"/>
    <w:rsid w:val="00A41E5B"/>
    <w:rsid w:val="00A42744"/>
    <w:rsid w:val="00A43030"/>
    <w:rsid w:val="00A43975"/>
    <w:rsid w:val="00A43DB1"/>
    <w:rsid w:val="00A441BE"/>
    <w:rsid w:val="00A460E5"/>
    <w:rsid w:val="00A46110"/>
    <w:rsid w:val="00A462D7"/>
    <w:rsid w:val="00A468FE"/>
    <w:rsid w:val="00A46C1D"/>
    <w:rsid w:val="00A46DBF"/>
    <w:rsid w:val="00A47157"/>
    <w:rsid w:val="00A4717E"/>
    <w:rsid w:val="00A47925"/>
    <w:rsid w:val="00A47992"/>
    <w:rsid w:val="00A47FD5"/>
    <w:rsid w:val="00A5026F"/>
    <w:rsid w:val="00A50705"/>
    <w:rsid w:val="00A511C4"/>
    <w:rsid w:val="00A514BC"/>
    <w:rsid w:val="00A516BE"/>
    <w:rsid w:val="00A52226"/>
    <w:rsid w:val="00A52682"/>
    <w:rsid w:val="00A53079"/>
    <w:rsid w:val="00A5372D"/>
    <w:rsid w:val="00A543E5"/>
    <w:rsid w:val="00A543ED"/>
    <w:rsid w:val="00A5440A"/>
    <w:rsid w:val="00A54D5A"/>
    <w:rsid w:val="00A55836"/>
    <w:rsid w:val="00A56735"/>
    <w:rsid w:val="00A60367"/>
    <w:rsid w:val="00A61432"/>
    <w:rsid w:val="00A61D82"/>
    <w:rsid w:val="00A61DC0"/>
    <w:rsid w:val="00A62EBB"/>
    <w:rsid w:val="00A637A6"/>
    <w:rsid w:val="00A63FEA"/>
    <w:rsid w:val="00A647DF"/>
    <w:rsid w:val="00A6483C"/>
    <w:rsid w:val="00A6485A"/>
    <w:rsid w:val="00A64899"/>
    <w:rsid w:val="00A64EB8"/>
    <w:rsid w:val="00A64F38"/>
    <w:rsid w:val="00A6505D"/>
    <w:rsid w:val="00A65CAC"/>
    <w:rsid w:val="00A66500"/>
    <w:rsid w:val="00A6651A"/>
    <w:rsid w:val="00A665E8"/>
    <w:rsid w:val="00A669A8"/>
    <w:rsid w:val="00A66F8C"/>
    <w:rsid w:val="00A67801"/>
    <w:rsid w:val="00A67998"/>
    <w:rsid w:val="00A7014B"/>
    <w:rsid w:val="00A7134E"/>
    <w:rsid w:val="00A71B63"/>
    <w:rsid w:val="00A71D52"/>
    <w:rsid w:val="00A72FAD"/>
    <w:rsid w:val="00A73634"/>
    <w:rsid w:val="00A73E6D"/>
    <w:rsid w:val="00A7401A"/>
    <w:rsid w:val="00A74095"/>
    <w:rsid w:val="00A7447B"/>
    <w:rsid w:val="00A74523"/>
    <w:rsid w:val="00A75CC4"/>
    <w:rsid w:val="00A75DC0"/>
    <w:rsid w:val="00A7661D"/>
    <w:rsid w:val="00A76751"/>
    <w:rsid w:val="00A76B44"/>
    <w:rsid w:val="00A76B4E"/>
    <w:rsid w:val="00A779F5"/>
    <w:rsid w:val="00A77A4B"/>
    <w:rsid w:val="00A80011"/>
    <w:rsid w:val="00A810EA"/>
    <w:rsid w:val="00A81217"/>
    <w:rsid w:val="00A817E1"/>
    <w:rsid w:val="00A8255D"/>
    <w:rsid w:val="00A827D5"/>
    <w:rsid w:val="00A8288B"/>
    <w:rsid w:val="00A833CB"/>
    <w:rsid w:val="00A8351A"/>
    <w:rsid w:val="00A837B7"/>
    <w:rsid w:val="00A83C9D"/>
    <w:rsid w:val="00A8479E"/>
    <w:rsid w:val="00A84D29"/>
    <w:rsid w:val="00A85C8B"/>
    <w:rsid w:val="00A861FB"/>
    <w:rsid w:val="00A867A6"/>
    <w:rsid w:val="00A86D7C"/>
    <w:rsid w:val="00A87633"/>
    <w:rsid w:val="00A909A4"/>
    <w:rsid w:val="00A90A6A"/>
    <w:rsid w:val="00A9127B"/>
    <w:rsid w:val="00A91534"/>
    <w:rsid w:val="00A91CC1"/>
    <w:rsid w:val="00A91F41"/>
    <w:rsid w:val="00A91FB2"/>
    <w:rsid w:val="00A92D26"/>
    <w:rsid w:val="00A9372C"/>
    <w:rsid w:val="00A94235"/>
    <w:rsid w:val="00A94629"/>
    <w:rsid w:val="00A94B6C"/>
    <w:rsid w:val="00A951B1"/>
    <w:rsid w:val="00A95B8D"/>
    <w:rsid w:val="00A96897"/>
    <w:rsid w:val="00A96E41"/>
    <w:rsid w:val="00A96F34"/>
    <w:rsid w:val="00A97120"/>
    <w:rsid w:val="00A97721"/>
    <w:rsid w:val="00AA06B8"/>
    <w:rsid w:val="00AA0C69"/>
    <w:rsid w:val="00AA1B2D"/>
    <w:rsid w:val="00AA1E6C"/>
    <w:rsid w:val="00AA21DA"/>
    <w:rsid w:val="00AA277A"/>
    <w:rsid w:val="00AA2AF4"/>
    <w:rsid w:val="00AA4AD1"/>
    <w:rsid w:val="00AA4C88"/>
    <w:rsid w:val="00AA5089"/>
    <w:rsid w:val="00AA646F"/>
    <w:rsid w:val="00AA6C6F"/>
    <w:rsid w:val="00AA6D38"/>
    <w:rsid w:val="00AA71F3"/>
    <w:rsid w:val="00AB0CF4"/>
    <w:rsid w:val="00AB1925"/>
    <w:rsid w:val="00AB22FF"/>
    <w:rsid w:val="00AB232F"/>
    <w:rsid w:val="00AB3756"/>
    <w:rsid w:val="00AB38A4"/>
    <w:rsid w:val="00AB5671"/>
    <w:rsid w:val="00AB596F"/>
    <w:rsid w:val="00AB61EF"/>
    <w:rsid w:val="00AB6406"/>
    <w:rsid w:val="00AB6BE3"/>
    <w:rsid w:val="00AB738B"/>
    <w:rsid w:val="00AB739D"/>
    <w:rsid w:val="00AB74D6"/>
    <w:rsid w:val="00AB783B"/>
    <w:rsid w:val="00AB7D01"/>
    <w:rsid w:val="00AC0264"/>
    <w:rsid w:val="00AC027F"/>
    <w:rsid w:val="00AC08AE"/>
    <w:rsid w:val="00AC1212"/>
    <w:rsid w:val="00AC17B0"/>
    <w:rsid w:val="00AC1DB1"/>
    <w:rsid w:val="00AC2449"/>
    <w:rsid w:val="00AC26AC"/>
    <w:rsid w:val="00AC3091"/>
    <w:rsid w:val="00AC33D5"/>
    <w:rsid w:val="00AC50D7"/>
    <w:rsid w:val="00AC5250"/>
    <w:rsid w:val="00AC5DAE"/>
    <w:rsid w:val="00AC62A9"/>
    <w:rsid w:val="00AC6CC0"/>
    <w:rsid w:val="00AD0157"/>
    <w:rsid w:val="00AD05FB"/>
    <w:rsid w:val="00AD094B"/>
    <w:rsid w:val="00AD0EEB"/>
    <w:rsid w:val="00AD1A31"/>
    <w:rsid w:val="00AD1B46"/>
    <w:rsid w:val="00AD3B5B"/>
    <w:rsid w:val="00AD3EE0"/>
    <w:rsid w:val="00AD4EFB"/>
    <w:rsid w:val="00AD502A"/>
    <w:rsid w:val="00AD54B8"/>
    <w:rsid w:val="00AD59E1"/>
    <w:rsid w:val="00AD5C15"/>
    <w:rsid w:val="00AD5FAF"/>
    <w:rsid w:val="00AD60CA"/>
    <w:rsid w:val="00AD6695"/>
    <w:rsid w:val="00AD70CA"/>
    <w:rsid w:val="00AD7825"/>
    <w:rsid w:val="00AE0833"/>
    <w:rsid w:val="00AE0FB7"/>
    <w:rsid w:val="00AE1CAF"/>
    <w:rsid w:val="00AE1D57"/>
    <w:rsid w:val="00AE1D7F"/>
    <w:rsid w:val="00AE215C"/>
    <w:rsid w:val="00AE27A7"/>
    <w:rsid w:val="00AE2845"/>
    <w:rsid w:val="00AE3BD5"/>
    <w:rsid w:val="00AE3F53"/>
    <w:rsid w:val="00AE405C"/>
    <w:rsid w:val="00AE4272"/>
    <w:rsid w:val="00AE5997"/>
    <w:rsid w:val="00AE5C48"/>
    <w:rsid w:val="00AE62A5"/>
    <w:rsid w:val="00AE69B9"/>
    <w:rsid w:val="00AE6EB4"/>
    <w:rsid w:val="00AE7811"/>
    <w:rsid w:val="00AE7B7E"/>
    <w:rsid w:val="00AF0918"/>
    <w:rsid w:val="00AF0A48"/>
    <w:rsid w:val="00AF1427"/>
    <w:rsid w:val="00AF1C24"/>
    <w:rsid w:val="00AF1E2F"/>
    <w:rsid w:val="00AF20BA"/>
    <w:rsid w:val="00AF357D"/>
    <w:rsid w:val="00AF37A2"/>
    <w:rsid w:val="00AF3A2F"/>
    <w:rsid w:val="00AF3A3A"/>
    <w:rsid w:val="00AF3B41"/>
    <w:rsid w:val="00AF3FE2"/>
    <w:rsid w:val="00AF4E6A"/>
    <w:rsid w:val="00AF538C"/>
    <w:rsid w:val="00AF5770"/>
    <w:rsid w:val="00AF5E86"/>
    <w:rsid w:val="00AF5EE8"/>
    <w:rsid w:val="00AF614A"/>
    <w:rsid w:val="00AF62D4"/>
    <w:rsid w:val="00AF6642"/>
    <w:rsid w:val="00AF77F8"/>
    <w:rsid w:val="00B0035C"/>
    <w:rsid w:val="00B00373"/>
    <w:rsid w:val="00B01C18"/>
    <w:rsid w:val="00B01D58"/>
    <w:rsid w:val="00B03247"/>
    <w:rsid w:val="00B03CD9"/>
    <w:rsid w:val="00B04FB1"/>
    <w:rsid w:val="00B05520"/>
    <w:rsid w:val="00B06481"/>
    <w:rsid w:val="00B069C3"/>
    <w:rsid w:val="00B10A21"/>
    <w:rsid w:val="00B10CD4"/>
    <w:rsid w:val="00B10F9D"/>
    <w:rsid w:val="00B11459"/>
    <w:rsid w:val="00B138ED"/>
    <w:rsid w:val="00B13FF9"/>
    <w:rsid w:val="00B147BE"/>
    <w:rsid w:val="00B149D7"/>
    <w:rsid w:val="00B14BB9"/>
    <w:rsid w:val="00B14EB1"/>
    <w:rsid w:val="00B14F1D"/>
    <w:rsid w:val="00B1536D"/>
    <w:rsid w:val="00B153BB"/>
    <w:rsid w:val="00B1661F"/>
    <w:rsid w:val="00B1690F"/>
    <w:rsid w:val="00B16D51"/>
    <w:rsid w:val="00B17884"/>
    <w:rsid w:val="00B17A73"/>
    <w:rsid w:val="00B17C8A"/>
    <w:rsid w:val="00B17F0E"/>
    <w:rsid w:val="00B20B5C"/>
    <w:rsid w:val="00B2195C"/>
    <w:rsid w:val="00B22068"/>
    <w:rsid w:val="00B22E57"/>
    <w:rsid w:val="00B22F37"/>
    <w:rsid w:val="00B23607"/>
    <w:rsid w:val="00B2489E"/>
    <w:rsid w:val="00B26AA8"/>
    <w:rsid w:val="00B26E53"/>
    <w:rsid w:val="00B2745D"/>
    <w:rsid w:val="00B27859"/>
    <w:rsid w:val="00B27952"/>
    <w:rsid w:val="00B30121"/>
    <w:rsid w:val="00B30324"/>
    <w:rsid w:val="00B30418"/>
    <w:rsid w:val="00B3078F"/>
    <w:rsid w:val="00B30CA2"/>
    <w:rsid w:val="00B3109F"/>
    <w:rsid w:val="00B3305C"/>
    <w:rsid w:val="00B33288"/>
    <w:rsid w:val="00B33842"/>
    <w:rsid w:val="00B342C2"/>
    <w:rsid w:val="00B34602"/>
    <w:rsid w:val="00B35300"/>
    <w:rsid w:val="00B35CC5"/>
    <w:rsid w:val="00B35EE5"/>
    <w:rsid w:val="00B36090"/>
    <w:rsid w:val="00B371EF"/>
    <w:rsid w:val="00B37A7B"/>
    <w:rsid w:val="00B37C58"/>
    <w:rsid w:val="00B37DBD"/>
    <w:rsid w:val="00B37FB4"/>
    <w:rsid w:val="00B400F3"/>
    <w:rsid w:val="00B40B89"/>
    <w:rsid w:val="00B40E11"/>
    <w:rsid w:val="00B4192F"/>
    <w:rsid w:val="00B41E5C"/>
    <w:rsid w:val="00B426E8"/>
    <w:rsid w:val="00B42DDC"/>
    <w:rsid w:val="00B44440"/>
    <w:rsid w:val="00B453EA"/>
    <w:rsid w:val="00B46833"/>
    <w:rsid w:val="00B46919"/>
    <w:rsid w:val="00B50575"/>
    <w:rsid w:val="00B50C29"/>
    <w:rsid w:val="00B5151B"/>
    <w:rsid w:val="00B5225F"/>
    <w:rsid w:val="00B53C3B"/>
    <w:rsid w:val="00B54C80"/>
    <w:rsid w:val="00B554E0"/>
    <w:rsid w:val="00B55A81"/>
    <w:rsid w:val="00B5666C"/>
    <w:rsid w:val="00B573AB"/>
    <w:rsid w:val="00B57F71"/>
    <w:rsid w:val="00B61C21"/>
    <w:rsid w:val="00B61EAC"/>
    <w:rsid w:val="00B61F8F"/>
    <w:rsid w:val="00B62C19"/>
    <w:rsid w:val="00B62CA4"/>
    <w:rsid w:val="00B63050"/>
    <w:rsid w:val="00B653A7"/>
    <w:rsid w:val="00B6545B"/>
    <w:rsid w:val="00B65D82"/>
    <w:rsid w:val="00B65EAB"/>
    <w:rsid w:val="00B66A9C"/>
    <w:rsid w:val="00B66E1E"/>
    <w:rsid w:val="00B67001"/>
    <w:rsid w:val="00B671EA"/>
    <w:rsid w:val="00B67421"/>
    <w:rsid w:val="00B6742E"/>
    <w:rsid w:val="00B678BA"/>
    <w:rsid w:val="00B67B32"/>
    <w:rsid w:val="00B67ECF"/>
    <w:rsid w:val="00B70C20"/>
    <w:rsid w:val="00B70CED"/>
    <w:rsid w:val="00B70E0A"/>
    <w:rsid w:val="00B71192"/>
    <w:rsid w:val="00B71AFE"/>
    <w:rsid w:val="00B73E3F"/>
    <w:rsid w:val="00B753E8"/>
    <w:rsid w:val="00B754BD"/>
    <w:rsid w:val="00B75B39"/>
    <w:rsid w:val="00B7675E"/>
    <w:rsid w:val="00B76F4A"/>
    <w:rsid w:val="00B774FA"/>
    <w:rsid w:val="00B77682"/>
    <w:rsid w:val="00B811D9"/>
    <w:rsid w:val="00B81E97"/>
    <w:rsid w:val="00B8298E"/>
    <w:rsid w:val="00B82D3F"/>
    <w:rsid w:val="00B83CDE"/>
    <w:rsid w:val="00B8416B"/>
    <w:rsid w:val="00B8443F"/>
    <w:rsid w:val="00B847E6"/>
    <w:rsid w:val="00B84AA6"/>
    <w:rsid w:val="00B84B4A"/>
    <w:rsid w:val="00B85509"/>
    <w:rsid w:val="00B85B79"/>
    <w:rsid w:val="00B85BF6"/>
    <w:rsid w:val="00B85EE9"/>
    <w:rsid w:val="00B8627C"/>
    <w:rsid w:val="00B862FA"/>
    <w:rsid w:val="00B87DA2"/>
    <w:rsid w:val="00B90156"/>
    <w:rsid w:val="00B90313"/>
    <w:rsid w:val="00B90702"/>
    <w:rsid w:val="00B90D7F"/>
    <w:rsid w:val="00B91783"/>
    <w:rsid w:val="00B91CE2"/>
    <w:rsid w:val="00B920E4"/>
    <w:rsid w:val="00B92430"/>
    <w:rsid w:val="00B92B26"/>
    <w:rsid w:val="00B92FAD"/>
    <w:rsid w:val="00B934DA"/>
    <w:rsid w:val="00B937CB"/>
    <w:rsid w:val="00B93B17"/>
    <w:rsid w:val="00B94450"/>
    <w:rsid w:val="00B9490E"/>
    <w:rsid w:val="00B949B6"/>
    <w:rsid w:val="00B96A7A"/>
    <w:rsid w:val="00BA0877"/>
    <w:rsid w:val="00BA19C3"/>
    <w:rsid w:val="00BA1F23"/>
    <w:rsid w:val="00BA32AA"/>
    <w:rsid w:val="00BA3E53"/>
    <w:rsid w:val="00BA4E99"/>
    <w:rsid w:val="00BA6129"/>
    <w:rsid w:val="00BA6641"/>
    <w:rsid w:val="00BA6910"/>
    <w:rsid w:val="00BA6A67"/>
    <w:rsid w:val="00BA7368"/>
    <w:rsid w:val="00BA7440"/>
    <w:rsid w:val="00BA75BA"/>
    <w:rsid w:val="00BB135F"/>
    <w:rsid w:val="00BB1384"/>
    <w:rsid w:val="00BB17DC"/>
    <w:rsid w:val="00BB1F67"/>
    <w:rsid w:val="00BB20C4"/>
    <w:rsid w:val="00BB22E6"/>
    <w:rsid w:val="00BB275F"/>
    <w:rsid w:val="00BB2DDC"/>
    <w:rsid w:val="00BB30CB"/>
    <w:rsid w:val="00BB3BD4"/>
    <w:rsid w:val="00BB3EEF"/>
    <w:rsid w:val="00BB44B8"/>
    <w:rsid w:val="00BB4F2E"/>
    <w:rsid w:val="00BB5390"/>
    <w:rsid w:val="00BB563E"/>
    <w:rsid w:val="00BB5AD7"/>
    <w:rsid w:val="00BB67A4"/>
    <w:rsid w:val="00BB7A5E"/>
    <w:rsid w:val="00BC0A92"/>
    <w:rsid w:val="00BC0B52"/>
    <w:rsid w:val="00BC0C5C"/>
    <w:rsid w:val="00BC29DE"/>
    <w:rsid w:val="00BC3204"/>
    <w:rsid w:val="00BC4474"/>
    <w:rsid w:val="00BC4776"/>
    <w:rsid w:val="00BC4E4C"/>
    <w:rsid w:val="00BC5140"/>
    <w:rsid w:val="00BC514E"/>
    <w:rsid w:val="00BC5D06"/>
    <w:rsid w:val="00BC60DC"/>
    <w:rsid w:val="00BC61B9"/>
    <w:rsid w:val="00BC6B40"/>
    <w:rsid w:val="00BC6FA8"/>
    <w:rsid w:val="00BC7EE9"/>
    <w:rsid w:val="00BD112C"/>
    <w:rsid w:val="00BD136E"/>
    <w:rsid w:val="00BD1C41"/>
    <w:rsid w:val="00BD1FF0"/>
    <w:rsid w:val="00BD1FF7"/>
    <w:rsid w:val="00BD2451"/>
    <w:rsid w:val="00BD2470"/>
    <w:rsid w:val="00BD2547"/>
    <w:rsid w:val="00BD2C17"/>
    <w:rsid w:val="00BD2E40"/>
    <w:rsid w:val="00BD4B49"/>
    <w:rsid w:val="00BD4F08"/>
    <w:rsid w:val="00BD511D"/>
    <w:rsid w:val="00BD51EA"/>
    <w:rsid w:val="00BD5224"/>
    <w:rsid w:val="00BD59C3"/>
    <w:rsid w:val="00BD5F09"/>
    <w:rsid w:val="00BD608B"/>
    <w:rsid w:val="00BD66C9"/>
    <w:rsid w:val="00BD6F7B"/>
    <w:rsid w:val="00BD7923"/>
    <w:rsid w:val="00BE021D"/>
    <w:rsid w:val="00BE0688"/>
    <w:rsid w:val="00BE0898"/>
    <w:rsid w:val="00BE114D"/>
    <w:rsid w:val="00BE149A"/>
    <w:rsid w:val="00BE210B"/>
    <w:rsid w:val="00BE2C90"/>
    <w:rsid w:val="00BE303F"/>
    <w:rsid w:val="00BE37A7"/>
    <w:rsid w:val="00BE4A2D"/>
    <w:rsid w:val="00BE4CFA"/>
    <w:rsid w:val="00BE5A59"/>
    <w:rsid w:val="00BE6640"/>
    <w:rsid w:val="00BE6E7B"/>
    <w:rsid w:val="00BE76C3"/>
    <w:rsid w:val="00BF0000"/>
    <w:rsid w:val="00BF026A"/>
    <w:rsid w:val="00BF02EF"/>
    <w:rsid w:val="00BF0810"/>
    <w:rsid w:val="00BF12F3"/>
    <w:rsid w:val="00BF152B"/>
    <w:rsid w:val="00BF15A3"/>
    <w:rsid w:val="00BF1EBC"/>
    <w:rsid w:val="00BF2083"/>
    <w:rsid w:val="00BF227B"/>
    <w:rsid w:val="00BF295D"/>
    <w:rsid w:val="00BF2A0B"/>
    <w:rsid w:val="00BF3211"/>
    <w:rsid w:val="00BF3519"/>
    <w:rsid w:val="00BF3AC8"/>
    <w:rsid w:val="00BF3ED9"/>
    <w:rsid w:val="00BF4291"/>
    <w:rsid w:val="00BF4F2A"/>
    <w:rsid w:val="00BF5412"/>
    <w:rsid w:val="00BF605E"/>
    <w:rsid w:val="00BF6837"/>
    <w:rsid w:val="00BF692E"/>
    <w:rsid w:val="00BF6936"/>
    <w:rsid w:val="00BF7135"/>
    <w:rsid w:val="00BF7A1C"/>
    <w:rsid w:val="00C00ABF"/>
    <w:rsid w:val="00C00B51"/>
    <w:rsid w:val="00C00F9E"/>
    <w:rsid w:val="00C016B3"/>
    <w:rsid w:val="00C0194A"/>
    <w:rsid w:val="00C01BBE"/>
    <w:rsid w:val="00C01E3E"/>
    <w:rsid w:val="00C020AB"/>
    <w:rsid w:val="00C0212A"/>
    <w:rsid w:val="00C02C50"/>
    <w:rsid w:val="00C036E6"/>
    <w:rsid w:val="00C03CB6"/>
    <w:rsid w:val="00C044FB"/>
    <w:rsid w:val="00C047D3"/>
    <w:rsid w:val="00C05E4D"/>
    <w:rsid w:val="00C06F7B"/>
    <w:rsid w:val="00C072CE"/>
    <w:rsid w:val="00C10787"/>
    <w:rsid w:val="00C10855"/>
    <w:rsid w:val="00C11590"/>
    <w:rsid w:val="00C1177B"/>
    <w:rsid w:val="00C11786"/>
    <w:rsid w:val="00C11835"/>
    <w:rsid w:val="00C125D9"/>
    <w:rsid w:val="00C13357"/>
    <w:rsid w:val="00C13952"/>
    <w:rsid w:val="00C139C8"/>
    <w:rsid w:val="00C13A12"/>
    <w:rsid w:val="00C13B4F"/>
    <w:rsid w:val="00C13B64"/>
    <w:rsid w:val="00C14030"/>
    <w:rsid w:val="00C1458F"/>
    <w:rsid w:val="00C14B72"/>
    <w:rsid w:val="00C1500F"/>
    <w:rsid w:val="00C15184"/>
    <w:rsid w:val="00C1540E"/>
    <w:rsid w:val="00C15462"/>
    <w:rsid w:val="00C1571D"/>
    <w:rsid w:val="00C15B4E"/>
    <w:rsid w:val="00C15E45"/>
    <w:rsid w:val="00C16322"/>
    <w:rsid w:val="00C16A57"/>
    <w:rsid w:val="00C16D4D"/>
    <w:rsid w:val="00C16EA9"/>
    <w:rsid w:val="00C16F39"/>
    <w:rsid w:val="00C17C37"/>
    <w:rsid w:val="00C2056A"/>
    <w:rsid w:val="00C206D6"/>
    <w:rsid w:val="00C20D16"/>
    <w:rsid w:val="00C216A1"/>
    <w:rsid w:val="00C21978"/>
    <w:rsid w:val="00C23D9B"/>
    <w:rsid w:val="00C25567"/>
    <w:rsid w:val="00C2583B"/>
    <w:rsid w:val="00C25C34"/>
    <w:rsid w:val="00C2635D"/>
    <w:rsid w:val="00C26591"/>
    <w:rsid w:val="00C26745"/>
    <w:rsid w:val="00C27042"/>
    <w:rsid w:val="00C270BE"/>
    <w:rsid w:val="00C27760"/>
    <w:rsid w:val="00C27D21"/>
    <w:rsid w:val="00C27FAE"/>
    <w:rsid w:val="00C304E2"/>
    <w:rsid w:val="00C308AD"/>
    <w:rsid w:val="00C316D4"/>
    <w:rsid w:val="00C318CC"/>
    <w:rsid w:val="00C31E9D"/>
    <w:rsid w:val="00C32025"/>
    <w:rsid w:val="00C3283B"/>
    <w:rsid w:val="00C33D26"/>
    <w:rsid w:val="00C33D99"/>
    <w:rsid w:val="00C34288"/>
    <w:rsid w:val="00C34A5A"/>
    <w:rsid w:val="00C34CEE"/>
    <w:rsid w:val="00C3652A"/>
    <w:rsid w:val="00C3684A"/>
    <w:rsid w:val="00C36F2C"/>
    <w:rsid w:val="00C37578"/>
    <w:rsid w:val="00C37657"/>
    <w:rsid w:val="00C37F97"/>
    <w:rsid w:val="00C403DB"/>
    <w:rsid w:val="00C412EA"/>
    <w:rsid w:val="00C4144E"/>
    <w:rsid w:val="00C4176F"/>
    <w:rsid w:val="00C41DBB"/>
    <w:rsid w:val="00C427CE"/>
    <w:rsid w:val="00C42D8B"/>
    <w:rsid w:val="00C432DF"/>
    <w:rsid w:val="00C43E5D"/>
    <w:rsid w:val="00C440E4"/>
    <w:rsid w:val="00C44855"/>
    <w:rsid w:val="00C45C90"/>
    <w:rsid w:val="00C47847"/>
    <w:rsid w:val="00C47B3A"/>
    <w:rsid w:val="00C502B0"/>
    <w:rsid w:val="00C50C55"/>
    <w:rsid w:val="00C51B1E"/>
    <w:rsid w:val="00C52130"/>
    <w:rsid w:val="00C54103"/>
    <w:rsid w:val="00C54524"/>
    <w:rsid w:val="00C54564"/>
    <w:rsid w:val="00C54588"/>
    <w:rsid w:val="00C55007"/>
    <w:rsid w:val="00C55C08"/>
    <w:rsid w:val="00C56710"/>
    <w:rsid w:val="00C573CC"/>
    <w:rsid w:val="00C5770F"/>
    <w:rsid w:val="00C601C9"/>
    <w:rsid w:val="00C603DF"/>
    <w:rsid w:val="00C606B1"/>
    <w:rsid w:val="00C60B8C"/>
    <w:rsid w:val="00C60D1A"/>
    <w:rsid w:val="00C60DD6"/>
    <w:rsid w:val="00C61367"/>
    <w:rsid w:val="00C61639"/>
    <w:rsid w:val="00C6166B"/>
    <w:rsid w:val="00C61747"/>
    <w:rsid w:val="00C618BF"/>
    <w:rsid w:val="00C61C21"/>
    <w:rsid w:val="00C6200F"/>
    <w:rsid w:val="00C625E5"/>
    <w:rsid w:val="00C62F8E"/>
    <w:rsid w:val="00C63E39"/>
    <w:rsid w:val="00C641EB"/>
    <w:rsid w:val="00C64B91"/>
    <w:rsid w:val="00C64E37"/>
    <w:rsid w:val="00C658C0"/>
    <w:rsid w:val="00C65B61"/>
    <w:rsid w:val="00C65D07"/>
    <w:rsid w:val="00C6605B"/>
    <w:rsid w:val="00C666F7"/>
    <w:rsid w:val="00C669ED"/>
    <w:rsid w:val="00C66A6F"/>
    <w:rsid w:val="00C67369"/>
    <w:rsid w:val="00C70B5A"/>
    <w:rsid w:val="00C71018"/>
    <w:rsid w:val="00C72310"/>
    <w:rsid w:val="00C73896"/>
    <w:rsid w:val="00C747A6"/>
    <w:rsid w:val="00C74B03"/>
    <w:rsid w:val="00C74CA2"/>
    <w:rsid w:val="00C750D4"/>
    <w:rsid w:val="00C75679"/>
    <w:rsid w:val="00C75AA1"/>
    <w:rsid w:val="00C75B60"/>
    <w:rsid w:val="00C761CF"/>
    <w:rsid w:val="00C767DF"/>
    <w:rsid w:val="00C77A5F"/>
    <w:rsid w:val="00C77CC2"/>
    <w:rsid w:val="00C77D6F"/>
    <w:rsid w:val="00C80694"/>
    <w:rsid w:val="00C8238C"/>
    <w:rsid w:val="00C82743"/>
    <w:rsid w:val="00C831CC"/>
    <w:rsid w:val="00C83245"/>
    <w:rsid w:val="00C842B6"/>
    <w:rsid w:val="00C847E6"/>
    <w:rsid w:val="00C87032"/>
    <w:rsid w:val="00C87184"/>
    <w:rsid w:val="00C875B9"/>
    <w:rsid w:val="00C8783A"/>
    <w:rsid w:val="00C879F5"/>
    <w:rsid w:val="00C87B1A"/>
    <w:rsid w:val="00C87C89"/>
    <w:rsid w:val="00C87E25"/>
    <w:rsid w:val="00C917A0"/>
    <w:rsid w:val="00C91A5C"/>
    <w:rsid w:val="00C91E70"/>
    <w:rsid w:val="00C92531"/>
    <w:rsid w:val="00C92C47"/>
    <w:rsid w:val="00C930EE"/>
    <w:rsid w:val="00C93354"/>
    <w:rsid w:val="00C943D2"/>
    <w:rsid w:val="00C94438"/>
    <w:rsid w:val="00C953E6"/>
    <w:rsid w:val="00C9547D"/>
    <w:rsid w:val="00C95FDE"/>
    <w:rsid w:val="00C963BD"/>
    <w:rsid w:val="00C9691F"/>
    <w:rsid w:val="00C978DB"/>
    <w:rsid w:val="00CA067B"/>
    <w:rsid w:val="00CA0B27"/>
    <w:rsid w:val="00CA1A83"/>
    <w:rsid w:val="00CA1B86"/>
    <w:rsid w:val="00CA3F9E"/>
    <w:rsid w:val="00CA4798"/>
    <w:rsid w:val="00CA4E6A"/>
    <w:rsid w:val="00CA5F33"/>
    <w:rsid w:val="00CA644D"/>
    <w:rsid w:val="00CA6468"/>
    <w:rsid w:val="00CA7323"/>
    <w:rsid w:val="00CA7F33"/>
    <w:rsid w:val="00CB0033"/>
    <w:rsid w:val="00CB030B"/>
    <w:rsid w:val="00CB06EB"/>
    <w:rsid w:val="00CB08E8"/>
    <w:rsid w:val="00CB0C22"/>
    <w:rsid w:val="00CB1336"/>
    <w:rsid w:val="00CB1542"/>
    <w:rsid w:val="00CB15E8"/>
    <w:rsid w:val="00CB181D"/>
    <w:rsid w:val="00CB1BC4"/>
    <w:rsid w:val="00CB1BF6"/>
    <w:rsid w:val="00CB1E65"/>
    <w:rsid w:val="00CB25A8"/>
    <w:rsid w:val="00CB2605"/>
    <w:rsid w:val="00CB2C34"/>
    <w:rsid w:val="00CB370F"/>
    <w:rsid w:val="00CB3AF3"/>
    <w:rsid w:val="00CB3EC4"/>
    <w:rsid w:val="00CB4499"/>
    <w:rsid w:val="00CB4C80"/>
    <w:rsid w:val="00CB5210"/>
    <w:rsid w:val="00CB54AA"/>
    <w:rsid w:val="00CB599B"/>
    <w:rsid w:val="00CB5E33"/>
    <w:rsid w:val="00CB61A4"/>
    <w:rsid w:val="00CB62F4"/>
    <w:rsid w:val="00CB6402"/>
    <w:rsid w:val="00CB683C"/>
    <w:rsid w:val="00CB6E8F"/>
    <w:rsid w:val="00CB7058"/>
    <w:rsid w:val="00CB71F1"/>
    <w:rsid w:val="00CB72B0"/>
    <w:rsid w:val="00CB74C8"/>
    <w:rsid w:val="00CB74DD"/>
    <w:rsid w:val="00CB7C72"/>
    <w:rsid w:val="00CB7C7A"/>
    <w:rsid w:val="00CC0166"/>
    <w:rsid w:val="00CC1766"/>
    <w:rsid w:val="00CC1D92"/>
    <w:rsid w:val="00CC1F85"/>
    <w:rsid w:val="00CC2ACF"/>
    <w:rsid w:val="00CC2AFB"/>
    <w:rsid w:val="00CC2BA0"/>
    <w:rsid w:val="00CC2C65"/>
    <w:rsid w:val="00CC48D8"/>
    <w:rsid w:val="00CC4BAE"/>
    <w:rsid w:val="00CC4C7B"/>
    <w:rsid w:val="00CC5491"/>
    <w:rsid w:val="00CC66A7"/>
    <w:rsid w:val="00CC68C1"/>
    <w:rsid w:val="00CC6D90"/>
    <w:rsid w:val="00CC71B0"/>
    <w:rsid w:val="00CC7920"/>
    <w:rsid w:val="00CC7EF5"/>
    <w:rsid w:val="00CD08CF"/>
    <w:rsid w:val="00CD157A"/>
    <w:rsid w:val="00CD197A"/>
    <w:rsid w:val="00CD1A8E"/>
    <w:rsid w:val="00CD2A6A"/>
    <w:rsid w:val="00CD3E6A"/>
    <w:rsid w:val="00CD46CA"/>
    <w:rsid w:val="00CD4A44"/>
    <w:rsid w:val="00CD5336"/>
    <w:rsid w:val="00CD5FC0"/>
    <w:rsid w:val="00CD67AA"/>
    <w:rsid w:val="00CD6854"/>
    <w:rsid w:val="00CD7A28"/>
    <w:rsid w:val="00CD7AF9"/>
    <w:rsid w:val="00CE089D"/>
    <w:rsid w:val="00CE215A"/>
    <w:rsid w:val="00CE2360"/>
    <w:rsid w:val="00CE2405"/>
    <w:rsid w:val="00CE2ACC"/>
    <w:rsid w:val="00CE3133"/>
    <w:rsid w:val="00CE3164"/>
    <w:rsid w:val="00CE4D79"/>
    <w:rsid w:val="00CE5586"/>
    <w:rsid w:val="00CE56CC"/>
    <w:rsid w:val="00CE5ADD"/>
    <w:rsid w:val="00CE5CAB"/>
    <w:rsid w:val="00CE5FF2"/>
    <w:rsid w:val="00CE686F"/>
    <w:rsid w:val="00CE6942"/>
    <w:rsid w:val="00CE7D3A"/>
    <w:rsid w:val="00CF04A7"/>
    <w:rsid w:val="00CF104E"/>
    <w:rsid w:val="00CF1847"/>
    <w:rsid w:val="00CF2A17"/>
    <w:rsid w:val="00CF2EE7"/>
    <w:rsid w:val="00CF3247"/>
    <w:rsid w:val="00CF3337"/>
    <w:rsid w:val="00CF3706"/>
    <w:rsid w:val="00CF3BF4"/>
    <w:rsid w:val="00CF4A3C"/>
    <w:rsid w:val="00CF5164"/>
    <w:rsid w:val="00CF554B"/>
    <w:rsid w:val="00CF567B"/>
    <w:rsid w:val="00CF5753"/>
    <w:rsid w:val="00CF5CB9"/>
    <w:rsid w:val="00CF6969"/>
    <w:rsid w:val="00CF71B9"/>
    <w:rsid w:val="00CF777C"/>
    <w:rsid w:val="00D00419"/>
    <w:rsid w:val="00D01056"/>
    <w:rsid w:val="00D01227"/>
    <w:rsid w:val="00D01A96"/>
    <w:rsid w:val="00D01F40"/>
    <w:rsid w:val="00D0264E"/>
    <w:rsid w:val="00D02E29"/>
    <w:rsid w:val="00D02FD1"/>
    <w:rsid w:val="00D030D9"/>
    <w:rsid w:val="00D03A0A"/>
    <w:rsid w:val="00D03D1B"/>
    <w:rsid w:val="00D04256"/>
    <w:rsid w:val="00D0479F"/>
    <w:rsid w:val="00D04893"/>
    <w:rsid w:val="00D0681B"/>
    <w:rsid w:val="00D068AB"/>
    <w:rsid w:val="00D06AED"/>
    <w:rsid w:val="00D07383"/>
    <w:rsid w:val="00D07544"/>
    <w:rsid w:val="00D1083A"/>
    <w:rsid w:val="00D11BCE"/>
    <w:rsid w:val="00D121C8"/>
    <w:rsid w:val="00D13064"/>
    <w:rsid w:val="00D13BF8"/>
    <w:rsid w:val="00D1459B"/>
    <w:rsid w:val="00D1498C"/>
    <w:rsid w:val="00D14BA1"/>
    <w:rsid w:val="00D1620F"/>
    <w:rsid w:val="00D168CA"/>
    <w:rsid w:val="00D16D2B"/>
    <w:rsid w:val="00D20B46"/>
    <w:rsid w:val="00D21B82"/>
    <w:rsid w:val="00D2219E"/>
    <w:rsid w:val="00D2266C"/>
    <w:rsid w:val="00D22A20"/>
    <w:rsid w:val="00D22DD4"/>
    <w:rsid w:val="00D232FC"/>
    <w:rsid w:val="00D236F2"/>
    <w:rsid w:val="00D23AEF"/>
    <w:rsid w:val="00D23E30"/>
    <w:rsid w:val="00D23EF2"/>
    <w:rsid w:val="00D242DF"/>
    <w:rsid w:val="00D2463E"/>
    <w:rsid w:val="00D247AE"/>
    <w:rsid w:val="00D24B89"/>
    <w:rsid w:val="00D24C52"/>
    <w:rsid w:val="00D254D5"/>
    <w:rsid w:val="00D25594"/>
    <w:rsid w:val="00D25600"/>
    <w:rsid w:val="00D25F89"/>
    <w:rsid w:val="00D26E5C"/>
    <w:rsid w:val="00D272AD"/>
    <w:rsid w:val="00D27866"/>
    <w:rsid w:val="00D27EBB"/>
    <w:rsid w:val="00D304DE"/>
    <w:rsid w:val="00D30F6B"/>
    <w:rsid w:val="00D32548"/>
    <w:rsid w:val="00D32746"/>
    <w:rsid w:val="00D3319A"/>
    <w:rsid w:val="00D3645C"/>
    <w:rsid w:val="00D368BA"/>
    <w:rsid w:val="00D36DB8"/>
    <w:rsid w:val="00D37065"/>
    <w:rsid w:val="00D3744A"/>
    <w:rsid w:val="00D376AD"/>
    <w:rsid w:val="00D37701"/>
    <w:rsid w:val="00D378B9"/>
    <w:rsid w:val="00D37CF6"/>
    <w:rsid w:val="00D40609"/>
    <w:rsid w:val="00D406C6"/>
    <w:rsid w:val="00D40951"/>
    <w:rsid w:val="00D4124E"/>
    <w:rsid w:val="00D41429"/>
    <w:rsid w:val="00D41E6A"/>
    <w:rsid w:val="00D422BD"/>
    <w:rsid w:val="00D42E9B"/>
    <w:rsid w:val="00D44149"/>
    <w:rsid w:val="00D44F50"/>
    <w:rsid w:val="00D45D21"/>
    <w:rsid w:val="00D464D1"/>
    <w:rsid w:val="00D46A88"/>
    <w:rsid w:val="00D47F45"/>
    <w:rsid w:val="00D47FCE"/>
    <w:rsid w:val="00D50900"/>
    <w:rsid w:val="00D529D0"/>
    <w:rsid w:val="00D52F87"/>
    <w:rsid w:val="00D53F6A"/>
    <w:rsid w:val="00D54627"/>
    <w:rsid w:val="00D54D3C"/>
    <w:rsid w:val="00D5579E"/>
    <w:rsid w:val="00D55A4F"/>
    <w:rsid w:val="00D55A59"/>
    <w:rsid w:val="00D55D18"/>
    <w:rsid w:val="00D56191"/>
    <w:rsid w:val="00D569C6"/>
    <w:rsid w:val="00D56B8B"/>
    <w:rsid w:val="00D574FF"/>
    <w:rsid w:val="00D5756F"/>
    <w:rsid w:val="00D6008A"/>
    <w:rsid w:val="00D6097D"/>
    <w:rsid w:val="00D611BD"/>
    <w:rsid w:val="00D61B6B"/>
    <w:rsid w:val="00D620F5"/>
    <w:rsid w:val="00D635A0"/>
    <w:rsid w:val="00D643A9"/>
    <w:rsid w:val="00D65CEA"/>
    <w:rsid w:val="00D67605"/>
    <w:rsid w:val="00D67FF1"/>
    <w:rsid w:val="00D705D8"/>
    <w:rsid w:val="00D70734"/>
    <w:rsid w:val="00D70FD7"/>
    <w:rsid w:val="00D7104F"/>
    <w:rsid w:val="00D71183"/>
    <w:rsid w:val="00D7246D"/>
    <w:rsid w:val="00D725F3"/>
    <w:rsid w:val="00D7320E"/>
    <w:rsid w:val="00D735CF"/>
    <w:rsid w:val="00D73BE3"/>
    <w:rsid w:val="00D73BEC"/>
    <w:rsid w:val="00D7437A"/>
    <w:rsid w:val="00D74591"/>
    <w:rsid w:val="00D751A9"/>
    <w:rsid w:val="00D76044"/>
    <w:rsid w:val="00D76C6C"/>
    <w:rsid w:val="00D80840"/>
    <w:rsid w:val="00D816E9"/>
    <w:rsid w:val="00D82E48"/>
    <w:rsid w:val="00D833CD"/>
    <w:rsid w:val="00D84EF6"/>
    <w:rsid w:val="00D85B55"/>
    <w:rsid w:val="00D878F4"/>
    <w:rsid w:val="00D87D59"/>
    <w:rsid w:val="00D87F8C"/>
    <w:rsid w:val="00D904D8"/>
    <w:rsid w:val="00D905B7"/>
    <w:rsid w:val="00D907A3"/>
    <w:rsid w:val="00D91503"/>
    <w:rsid w:val="00D91B41"/>
    <w:rsid w:val="00D928A0"/>
    <w:rsid w:val="00D9374A"/>
    <w:rsid w:val="00D93987"/>
    <w:rsid w:val="00D93DCB"/>
    <w:rsid w:val="00D95501"/>
    <w:rsid w:val="00D95543"/>
    <w:rsid w:val="00D95E2E"/>
    <w:rsid w:val="00D961BD"/>
    <w:rsid w:val="00D96CEF"/>
    <w:rsid w:val="00D9785A"/>
    <w:rsid w:val="00D97C7C"/>
    <w:rsid w:val="00DA02F2"/>
    <w:rsid w:val="00DA04E4"/>
    <w:rsid w:val="00DA08C9"/>
    <w:rsid w:val="00DA0D17"/>
    <w:rsid w:val="00DA0F9B"/>
    <w:rsid w:val="00DA17AC"/>
    <w:rsid w:val="00DA1964"/>
    <w:rsid w:val="00DA1E15"/>
    <w:rsid w:val="00DA1FCD"/>
    <w:rsid w:val="00DA2ADA"/>
    <w:rsid w:val="00DA2E0A"/>
    <w:rsid w:val="00DA2E30"/>
    <w:rsid w:val="00DA2EF9"/>
    <w:rsid w:val="00DA3BFF"/>
    <w:rsid w:val="00DA5F69"/>
    <w:rsid w:val="00DA7229"/>
    <w:rsid w:val="00DA7B50"/>
    <w:rsid w:val="00DA7CF0"/>
    <w:rsid w:val="00DB1B91"/>
    <w:rsid w:val="00DB2BDF"/>
    <w:rsid w:val="00DB324C"/>
    <w:rsid w:val="00DB349F"/>
    <w:rsid w:val="00DB3A5F"/>
    <w:rsid w:val="00DB4B53"/>
    <w:rsid w:val="00DB4E26"/>
    <w:rsid w:val="00DB548E"/>
    <w:rsid w:val="00DB5770"/>
    <w:rsid w:val="00DB5795"/>
    <w:rsid w:val="00DB58F4"/>
    <w:rsid w:val="00DB5B96"/>
    <w:rsid w:val="00DB5C62"/>
    <w:rsid w:val="00DB5EDB"/>
    <w:rsid w:val="00DB7263"/>
    <w:rsid w:val="00DB7962"/>
    <w:rsid w:val="00DB7D58"/>
    <w:rsid w:val="00DB7F33"/>
    <w:rsid w:val="00DC02AC"/>
    <w:rsid w:val="00DC090E"/>
    <w:rsid w:val="00DC0E01"/>
    <w:rsid w:val="00DC1624"/>
    <w:rsid w:val="00DC1F6D"/>
    <w:rsid w:val="00DC29DE"/>
    <w:rsid w:val="00DC3797"/>
    <w:rsid w:val="00DC3BED"/>
    <w:rsid w:val="00DC463E"/>
    <w:rsid w:val="00DC4771"/>
    <w:rsid w:val="00DC4BC2"/>
    <w:rsid w:val="00DC572B"/>
    <w:rsid w:val="00DC5801"/>
    <w:rsid w:val="00DC5C18"/>
    <w:rsid w:val="00DD0219"/>
    <w:rsid w:val="00DD02E0"/>
    <w:rsid w:val="00DD0B14"/>
    <w:rsid w:val="00DD1DCC"/>
    <w:rsid w:val="00DD21F6"/>
    <w:rsid w:val="00DD2372"/>
    <w:rsid w:val="00DD368E"/>
    <w:rsid w:val="00DD3BB9"/>
    <w:rsid w:val="00DD443F"/>
    <w:rsid w:val="00DD647A"/>
    <w:rsid w:val="00DD6499"/>
    <w:rsid w:val="00DD7F59"/>
    <w:rsid w:val="00DE045F"/>
    <w:rsid w:val="00DE09A2"/>
    <w:rsid w:val="00DE1077"/>
    <w:rsid w:val="00DE1AF9"/>
    <w:rsid w:val="00DE1C2B"/>
    <w:rsid w:val="00DE22F4"/>
    <w:rsid w:val="00DE2BCC"/>
    <w:rsid w:val="00DE2F2D"/>
    <w:rsid w:val="00DE3A3C"/>
    <w:rsid w:val="00DE4AC2"/>
    <w:rsid w:val="00DE4D7B"/>
    <w:rsid w:val="00DE4F46"/>
    <w:rsid w:val="00DE523D"/>
    <w:rsid w:val="00DE54A0"/>
    <w:rsid w:val="00DE5A67"/>
    <w:rsid w:val="00DE6054"/>
    <w:rsid w:val="00DE6659"/>
    <w:rsid w:val="00DE668B"/>
    <w:rsid w:val="00DE68C7"/>
    <w:rsid w:val="00DE6F28"/>
    <w:rsid w:val="00DE7025"/>
    <w:rsid w:val="00DE78CB"/>
    <w:rsid w:val="00DE79C2"/>
    <w:rsid w:val="00DE7A01"/>
    <w:rsid w:val="00DF0DB6"/>
    <w:rsid w:val="00DF15CD"/>
    <w:rsid w:val="00DF22FE"/>
    <w:rsid w:val="00DF2777"/>
    <w:rsid w:val="00DF299B"/>
    <w:rsid w:val="00DF2B1B"/>
    <w:rsid w:val="00DF35F1"/>
    <w:rsid w:val="00DF4AD2"/>
    <w:rsid w:val="00DF4FF4"/>
    <w:rsid w:val="00DF50AB"/>
    <w:rsid w:val="00DF614F"/>
    <w:rsid w:val="00DF61E7"/>
    <w:rsid w:val="00DF639F"/>
    <w:rsid w:val="00DF6611"/>
    <w:rsid w:val="00DF6929"/>
    <w:rsid w:val="00DF6E90"/>
    <w:rsid w:val="00DF7073"/>
    <w:rsid w:val="00DF773F"/>
    <w:rsid w:val="00DF78DF"/>
    <w:rsid w:val="00DF7AF4"/>
    <w:rsid w:val="00E002B9"/>
    <w:rsid w:val="00E00A75"/>
    <w:rsid w:val="00E00E47"/>
    <w:rsid w:val="00E01202"/>
    <w:rsid w:val="00E01B08"/>
    <w:rsid w:val="00E01FD7"/>
    <w:rsid w:val="00E0207B"/>
    <w:rsid w:val="00E024E8"/>
    <w:rsid w:val="00E03225"/>
    <w:rsid w:val="00E04626"/>
    <w:rsid w:val="00E049FB"/>
    <w:rsid w:val="00E04A03"/>
    <w:rsid w:val="00E0575E"/>
    <w:rsid w:val="00E0589B"/>
    <w:rsid w:val="00E05DDC"/>
    <w:rsid w:val="00E0616D"/>
    <w:rsid w:val="00E061C0"/>
    <w:rsid w:val="00E06B3F"/>
    <w:rsid w:val="00E0717B"/>
    <w:rsid w:val="00E1035E"/>
    <w:rsid w:val="00E10AF5"/>
    <w:rsid w:val="00E10BE5"/>
    <w:rsid w:val="00E127B3"/>
    <w:rsid w:val="00E12BB9"/>
    <w:rsid w:val="00E12F19"/>
    <w:rsid w:val="00E130C8"/>
    <w:rsid w:val="00E13F8A"/>
    <w:rsid w:val="00E1471F"/>
    <w:rsid w:val="00E15360"/>
    <w:rsid w:val="00E155C5"/>
    <w:rsid w:val="00E1579F"/>
    <w:rsid w:val="00E16431"/>
    <w:rsid w:val="00E165E2"/>
    <w:rsid w:val="00E16C17"/>
    <w:rsid w:val="00E16E65"/>
    <w:rsid w:val="00E2124E"/>
    <w:rsid w:val="00E21C00"/>
    <w:rsid w:val="00E21EE0"/>
    <w:rsid w:val="00E21F84"/>
    <w:rsid w:val="00E22607"/>
    <w:rsid w:val="00E2287C"/>
    <w:rsid w:val="00E233CA"/>
    <w:rsid w:val="00E24B41"/>
    <w:rsid w:val="00E24C75"/>
    <w:rsid w:val="00E2586A"/>
    <w:rsid w:val="00E25BA7"/>
    <w:rsid w:val="00E25E67"/>
    <w:rsid w:val="00E271AE"/>
    <w:rsid w:val="00E3035A"/>
    <w:rsid w:val="00E30C13"/>
    <w:rsid w:val="00E30EAC"/>
    <w:rsid w:val="00E323D6"/>
    <w:rsid w:val="00E332AC"/>
    <w:rsid w:val="00E3469E"/>
    <w:rsid w:val="00E34D84"/>
    <w:rsid w:val="00E3503C"/>
    <w:rsid w:val="00E361F1"/>
    <w:rsid w:val="00E36673"/>
    <w:rsid w:val="00E366A1"/>
    <w:rsid w:val="00E371FC"/>
    <w:rsid w:val="00E37DBB"/>
    <w:rsid w:val="00E40757"/>
    <w:rsid w:val="00E40913"/>
    <w:rsid w:val="00E40F6D"/>
    <w:rsid w:val="00E40F78"/>
    <w:rsid w:val="00E410D2"/>
    <w:rsid w:val="00E413A8"/>
    <w:rsid w:val="00E41BB3"/>
    <w:rsid w:val="00E41D8B"/>
    <w:rsid w:val="00E4209F"/>
    <w:rsid w:val="00E42F5C"/>
    <w:rsid w:val="00E431FD"/>
    <w:rsid w:val="00E435F7"/>
    <w:rsid w:val="00E436D4"/>
    <w:rsid w:val="00E43BB4"/>
    <w:rsid w:val="00E43E6D"/>
    <w:rsid w:val="00E43F7C"/>
    <w:rsid w:val="00E444AB"/>
    <w:rsid w:val="00E45EFA"/>
    <w:rsid w:val="00E46841"/>
    <w:rsid w:val="00E46A0D"/>
    <w:rsid w:val="00E46C94"/>
    <w:rsid w:val="00E470C5"/>
    <w:rsid w:val="00E470CB"/>
    <w:rsid w:val="00E471F6"/>
    <w:rsid w:val="00E474F4"/>
    <w:rsid w:val="00E47E3B"/>
    <w:rsid w:val="00E50011"/>
    <w:rsid w:val="00E516F0"/>
    <w:rsid w:val="00E525BA"/>
    <w:rsid w:val="00E52B27"/>
    <w:rsid w:val="00E52DA2"/>
    <w:rsid w:val="00E532D7"/>
    <w:rsid w:val="00E540FC"/>
    <w:rsid w:val="00E5416E"/>
    <w:rsid w:val="00E5460D"/>
    <w:rsid w:val="00E54C8B"/>
    <w:rsid w:val="00E550FF"/>
    <w:rsid w:val="00E5542C"/>
    <w:rsid w:val="00E55B7E"/>
    <w:rsid w:val="00E560D9"/>
    <w:rsid w:val="00E5618B"/>
    <w:rsid w:val="00E56425"/>
    <w:rsid w:val="00E5644F"/>
    <w:rsid w:val="00E56937"/>
    <w:rsid w:val="00E56FD6"/>
    <w:rsid w:val="00E57054"/>
    <w:rsid w:val="00E6007E"/>
    <w:rsid w:val="00E6009B"/>
    <w:rsid w:val="00E601E2"/>
    <w:rsid w:val="00E60402"/>
    <w:rsid w:val="00E60817"/>
    <w:rsid w:val="00E60B77"/>
    <w:rsid w:val="00E60EDD"/>
    <w:rsid w:val="00E60EF4"/>
    <w:rsid w:val="00E60F07"/>
    <w:rsid w:val="00E611D6"/>
    <w:rsid w:val="00E61592"/>
    <w:rsid w:val="00E618CF"/>
    <w:rsid w:val="00E61C63"/>
    <w:rsid w:val="00E61FAB"/>
    <w:rsid w:val="00E62A7A"/>
    <w:rsid w:val="00E62BBA"/>
    <w:rsid w:val="00E635E7"/>
    <w:rsid w:val="00E650E6"/>
    <w:rsid w:val="00E6583B"/>
    <w:rsid w:val="00E65B3C"/>
    <w:rsid w:val="00E66289"/>
    <w:rsid w:val="00E66394"/>
    <w:rsid w:val="00E66F44"/>
    <w:rsid w:val="00E67C8F"/>
    <w:rsid w:val="00E70E0C"/>
    <w:rsid w:val="00E71424"/>
    <w:rsid w:val="00E71BF5"/>
    <w:rsid w:val="00E72AFB"/>
    <w:rsid w:val="00E72B19"/>
    <w:rsid w:val="00E72F69"/>
    <w:rsid w:val="00E740BB"/>
    <w:rsid w:val="00E75180"/>
    <w:rsid w:val="00E75231"/>
    <w:rsid w:val="00E75B51"/>
    <w:rsid w:val="00E75CBC"/>
    <w:rsid w:val="00E75D49"/>
    <w:rsid w:val="00E766CF"/>
    <w:rsid w:val="00E76C2F"/>
    <w:rsid w:val="00E775D6"/>
    <w:rsid w:val="00E80126"/>
    <w:rsid w:val="00E80388"/>
    <w:rsid w:val="00E80492"/>
    <w:rsid w:val="00E80880"/>
    <w:rsid w:val="00E80ED3"/>
    <w:rsid w:val="00E81016"/>
    <w:rsid w:val="00E81133"/>
    <w:rsid w:val="00E82729"/>
    <w:rsid w:val="00E8286B"/>
    <w:rsid w:val="00E82B08"/>
    <w:rsid w:val="00E82B78"/>
    <w:rsid w:val="00E83D31"/>
    <w:rsid w:val="00E84108"/>
    <w:rsid w:val="00E8431B"/>
    <w:rsid w:val="00E845FB"/>
    <w:rsid w:val="00E84AB1"/>
    <w:rsid w:val="00E84CA6"/>
    <w:rsid w:val="00E856F4"/>
    <w:rsid w:val="00E85989"/>
    <w:rsid w:val="00E85EEB"/>
    <w:rsid w:val="00E8615E"/>
    <w:rsid w:val="00E86304"/>
    <w:rsid w:val="00E8659E"/>
    <w:rsid w:val="00E869AB"/>
    <w:rsid w:val="00E869D5"/>
    <w:rsid w:val="00E87093"/>
    <w:rsid w:val="00E873E9"/>
    <w:rsid w:val="00E90281"/>
    <w:rsid w:val="00E9039B"/>
    <w:rsid w:val="00E90EBD"/>
    <w:rsid w:val="00E912E9"/>
    <w:rsid w:val="00E9137F"/>
    <w:rsid w:val="00E9192E"/>
    <w:rsid w:val="00E91F46"/>
    <w:rsid w:val="00E92400"/>
    <w:rsid w:val="00E92472"/>
    <w:rsid w:val="00E94215"/>
    <w:rsid w:val="00E945AA"/>
    <w:rsid w:val="00E94880"/>
    <w:rsid w:val="00E951B1"/>
    <w:rsid w:val="00E9585A"/>
    <w:rsid w:val="00E95B2A"/>
    <w:rsid w:val="00E95EB8"/>
    <w:rsid w:val="00E96401"/>
    <w:rsid w:val="00E96635"/>
    <w:rsid w:val="00E96D4E"/>
    <w:rsid w:val="00E97689"/>
    <w:rsid w:val="00E97BB5"/>
    <w:rsid w:val="00EA0414"/>
    <w:rsid w:val="00EA0DD6"/>
    <w:rsid w:val="00EA12D7"/>
    <w:rsid w:val="00EA20D4"/>
    <w:rsid w:val="00EA240B"/>
    <w:rsid w:val="00EA24A9"/>
    <w:rsid w:val="00EA274F"/>
    <w:rsid w:val="00EA2943"/>
    <w:rsid w:val="00EA301A"/>
    <w:rsid w:val="00EA34DB"/>
    <w:rsid w:val="00EA4553"/>
    <w:rsid w:val="00EA55AB"/>
    <w:rsid w:val="00EA58A3"/>
    <w:rsid w:val="00EA58D4"/>
    <w:rsid w:val="00EA7F8A"/>
    <w:rsid w:val="00EA7FE6"/>
    <w:rsid w:val="00EB0580"/>
    <w:rsid w:val="00EB0693"/>
    <w:rsid w:val="00EB0906"/>
    <w:rsid w:val="00EB0E16"/>
    <w:rsid w:val="00EB176C"/>
    <w:rsid w:val="00EB1C37"/>
    <w:rsid w:val="00EB1FE3"/>
    <w:rsid w:val="00EB24AB"/>
    <w:rsid w:val="00EB2577"/>
    <w:rsid w:val="00EB2753"/>
    <w:rsid w:val="00EB2B9D"/>
    <w:rsid w:val="00EB2BE7"/>
    <w:rsid w:val="00EB2DB5"/>
    <w:rsid w:val="00EB301A"/>
    <w:rsid w:val="00EB380B"/>
    <w:rsid w:val="00EB38D3"/>
    <w:rsid w:val="00EB3F2E"/>
    <w:rsid w:val="00EB4331"/>
    <w:rsid w:val="00EB4962"/>
    <w:rsid w:val="00EB5060"/>
    <w:rsid w:val="00EB5065"/>
    <w:rsid w:val="00EB51D9"/>
    <w:rsid w:val="00EB55C8"/>
    <w:rsid w:val="00EB6283"/>
    <w:rsid w:val="00EB653C"/>
    <w:rsid w:val="00EB6A15"/>
    <w:rsid w:val="00EB7B81"/>
    <w:rsid w:val="00EC0130"/>
    <w:rsid w:val="00EC074B"/>
    <w:rsid w:val="00EC088A"/>
    <w:rsid w:val="00EC091E"/>
    <w:rsid w:val="00EC0F78"/>
    <w:rsid w:val="00EC1050"/>
    <w:rsid w:val="00EC134D"/>
    <w:rsid w:val="00EC2E58"/>
    <w:rsid w:val="00EC2F43"/>
    <w:rsid w:val="00EC2F74"/>
    <w:rsid w:val="00EC3CE4"/>
    <w:rsid w:val="00EC438D"/>
    <w:rsid w:val="00EC43C9"/>
    <w:rsid w:val="00EC43D2"/>
    <w:rsid w:val="00EC4DFC"/>
    <w:rsid w:val="00EC500C"/>
    <w:rsid w:val="00EC5464"/>
    <w:rsid w:val="00EC59EB"/>
    <w:rsid w:val="00EC676B"/>
    <w:rsid w:val="00EC6D7E"/>
    <w:rsid w:val="00EC7A28"/>
    <w:rsid w:val="00EC7C14"/>
    <w:rsid w:val="00EC7E8C"/>
    <w:rsid w:val="00EC7EBC"/>
    <w:rsid w:val="00EC7ECB"/>
    <w:rsid w:val="00ED0673"/>
    <w:rsid w:val="00ED08EA"/>
    <w:rsid w:val="00ED0997"/>
    <w:rsid w:val="00ED0EDB"/>
    <w:rsid w:val="00ED1715"/>
    <w:rsid w:val="00ED1AF8"/>
    <w:rsid w:val="00ED389E"/>
    <w:rsid w:val="00ED3D5A"/>
    <w:rsid w:val="00ED3F97"/>
    <w:rsid w:val="00ED4578"/>
    <w:rsid w:val="00ED4BA2"/>
    <w:rsid w:val="00ED5603"/>
    <w:rsid w:val="00ED5868"/>
    <w:rsid w:val="00ED608A"/>
    <w:rsid w:val="00ED68FE"/>
    <w:rsid w:val="00ED6C70"/>
    <w:rsid w:val="00ED7906"/>
    <w:rsid w:val="00ED792A"/>
    <w:rsid w:val="00ED7B94"/>
    <w:rsid w:val="00EE03AD"/>
    <w:rsid w:val="00EE0624"/>
    <w:rsid w:val="00EE189A"/>
    <w:rsid w:val="00EE2503"/>
    <w:rsid w:val="00EE264E"/>
    <w:rsid w:val="00EE2AF4"/>
    <w:rsid w:val="00EE4474"/>
    <w:rsid w:val="00EE4D78"/>
    <w:rsid w:val="00EE57E9"/>
    <w:rsid w:val="00EE5B73"/>
    <w:rsid w:val="00EE6790"/>
    <w:rsid w:val="00EE69AD"/>
    <w:rsid w:val="00EE74AE"/>
    <w:rsid w:val="00EE77BE"/>
    <w:rsid w:val="00EE7B7F"/>
    <w:rsid w:val="00EE7E13"/>
    <w:rsid w:val="00EF00DB"/>
    <w:rsid w:val="00EF0501"/>
    <w:rsid w:val="00EF0AAE"/>
    <w:rsid w:val="00EF34DE"/>
    <w:rsid w:val="00EF3ECB"/>
    <w:rsid w:val="00EF40DC"/>
    <w:rsid w:val="00EF468B"/>
    <w:rsid w:val="00EF4A05"/>
    <w:rsid w:val="00EF4EAD"/>
    <w:rsid w:val="00EF62E6"/>
    <w:rsid w:val="00EF7138"/>
    <w:rsid w:val="00EF7748"/>
    <w:rsid w:val="00F0036F"/>
    <w:rsid w:val="00F021A3"/>
    <w:rsid w:val="00F029E5"/>
    <w:rsid w:val="00F03625"/>
    <w:rsid w:val="00F04A68"/>
    <w:rsid w:val="00F04B3C"/>
    <w:rsid w:val="00F04CB1"/>
    <w:rsid w:val="00F0563C"/>
    <w:rsid w:val="00F05826"/>
    <w:rsid w:val="00F05ADA"/>
    <w:rsid w:val="00F064FA"/>
    <w:rsid w:val="00F06FD3"/>
    <w:rsid w:val="00F06FF8"/>
    <w:rsid w:val="00F079A9"/>
    <w:rsid w:val="00F07B9C"/>
    <w:rsid w:val="00F07C94"/>
    <w:rsid w:val="00F10409"/>
    <w:rsid w:val="00F10B31"/>
    <w:rsid w:val="00F110A7"/>
    <w:rsid w:val="00F13C6F"/>
    <w:rsid w:val="00F13F07"/>
    <w:rsid w:val="00F141D9"/>
    <w:rsid w:val="00F1522C"/>
    <w:rsid w:val="00F15F35"/>
    <w:rsid w:val="00F16706"/>
    <w:rsid w:val="00F16A21"/>
    <w:rsid w:val="00F16E95"/>
    <w:rsid w:val="00F17C53"/>
    <w:rsid w:val="00F20D4F"/>
    <w:rsid w:val="00F20F30"/>
    <w:rsid w:val="00F213E4"/>
    <w:rsid w:val="00F21D0F"/>
    <w:rsid w:val="00F22191"/>
    <w:rsid w:val="00F22660"/>
    <w:rsid w:val="00F22FA3"/>
    <w:rsid w:val="00F24410"/>
    <w:rsid w:val="00F246FB"/>
    <w:rsid w:val="00F248DE"/>
    <w:rsid w:val="00F24AEC"/>
    <w:rsid w:val="00F24E94"/>
    <w:rsid w:val="00F26009"/>
    <w:rsid w:val="00F26078"/>
    <w:rsid w:val="00F26413"/>
    <w:rsid w:val="00F274FD"/>
    <w:rsid w:val="00F27773"/>
    <w:rsid w:val="00F27D16"/>
    <w:rsid w:val="00F27E8B"/>
    <w:rsid w:val="00F27F92"/>
    <w:rsid w:val="00F30074"/>
    <w:rsid w:val="00F300ED"/>
    <w:rsid w:val="00F302D9"/>
    <w:rsid w:val="00F312FF"/>
    <w:rsid w:val="00F31485"/>
    <w:rsid w:val="00F32D4D"/>
    <w:rsid w:val="00F32E38"/>
    <w:rsid w:val="00F33E1A"/>
    <w:rsid w:val="00F34004"/>
    <w:rsid w:val="00F349BE"/>
    <w:rsid w:val="00F34AC9"/>
    <w:rsid w:val="00F358E0"/>
    <w:rsid w:val="00F37AF9"/>
    <w:rsid w:val="00F401CD"/>
    <w:rsid w:val="00F40E5F"/>
    <w:rsid w:val="00F4130E"/>
    <w:rsid w:val="00F41F9C"/>
    <w:rsid w:val="00F430B8"/>
    <w:rsid w:val="00F44377"/>
    <w:rsid w:val="00F445EB"/>
    <w:rsid w:val="00F44933"/>
    <w:rsid w:val="00F44BD3"/>
    <w:rsid w:val="00F456A9"/>
    <w:rsid w:val="00F45986"/>
    <w:rsid w:val="00F45F83"/>
    <w:rsid w:val="00F46C1C"/>
    <w:rsid w:val="00F46ED0"/>
    <w:rsid w:val="00F47142"/>
    <w:rsid w:val="00F479B3"/>
    <w:rsid w:val="00F47F57"/>
    <w:rsid w:val="00F502EC"/>
    <w:rsid w:val="00F50C4A"/>
    <w:rsid w:val="00F52CE3"/>
    <w:rsid w:val="00F53C50"/>
    <w:rsid w:val="00F53CF5"/>
    <w:rsid w:val="00F53DCE"/>
    <w:rsid w:val="00F53F9A"/>
    <w:rsid w:val="00F54483"/>
    <w:rsid w:val="00F54755"/>
    <w:rsid w:val="00F554AD"/>
    <w:rsid w:val="00F55B14"/>
    <w:rsid w:val="00F561B3"/>
    <w:rsid w:val="00F56ADE"/>
    <w:rsid w:val="00F56F02"/>
    <w:rsid w:val="00F57365"/>
    <w:rsid w:val="00F60290"/>
    <w:rsid w:val="00F60E4E"/>
    <w:rsid w:val="00F616B0"/>
    <w:rsid w:val="00F61892"/>
    <w:rsid w:val="00F61990"/>
    <w:rsid w:val="00F61CC6"/>
    <w:rsid w:val="00F6203C"/>
    <w:rsid w:val="00F62375"/>
    <w:rsid w:val="00F630BD"/>
    <w:rsid w:val="00F63BA2"/>
    <w:rsid w:val="00F63D1C"/>
    <w:rsid w:val="00F63F37"/>
    <w:rsid w:val="00F6436D"/>
    <w:rsid w:val="00F647C0"/>
    <w:rsid w:val="00F64862"/>
    <w:rsid w:val="00F654DB"/>
    <w:rsid w:val="00F65761"/>
    <w:rsid w:val="00F67208"/>
    <w:rsid w:val="00F67365"/>
    <w:rsid w:val="00F675B3"/>
    <w:rsid w:val="00F67C70"/>
    <w:rsid w:val="00F67D5D"/>
    <w:rsid w:val="00F70898"/>
    <w:rsid w:val="00F71E58"/>
    <w:rsid w:val="00F7316C"/>
    <w:rsid w:val="00F73FE2"/>
    <w:rsid w:val="00F7410C"/>
    <w:rsid w:val="00F747A3"/>
    <w:rsid w:val="00F74817"/>
    <w:rsid w:val="00F749B1"/>
    <w:rsid w:val="00F74EB9"/>
    <w:rsid w:val="00F75AE3"/>
    <w:rsid w:val="00F75BF8"/>
    <w:rsid w:val="00F762E7"/>
    <w:rsid w:val="00F76649"/>
    <w:rsid w:val="00F76BDA"/>
    <w:rsid w:val="00F779A0"/>
    <w:rsid w:val="00F779B7"/>
    <w:rsid w:val="00F779C5"/>
    <w:rsid w:val="00F77FE3"/>
    <w:rsid w:val="00F805F1"/>
    <w:rsid w:val="00F809E9"/>
    <w:rsid w:val="00F8157E"/>
    <w:rsid w:val="00F81D12"/>
    <w:rsid w:val="00F81F77"/>
    <w:rsid w:val="00F8282F"/>
    <w:rsid w:val="00F82F8F"/>
    <w:rsid w:val="00F83493"/>
    <w:rsid w:val="00F83ACE"/>
    <w:rsid w:val="00F8424F"/>
    <w:rsid w:val="00F845B5"/>
    <w:rsid w:val="00F84E35"/>
    <w:rsid w:val="00F856F8"/>
    <w:rsid w:val="00F85FD6"/>
    <w:rsid w:val="00F860B9"/>
    <w:rsid w:val="00F86124"/>
    <w:rsid w:val="00F86B8A"/>
    <w:rsid w:val="00F8739A"/>
    <w:rsid w:val="00F87474"/>
    <w:rsid w:val="00F874CE"/>
    <w:rsid w:val="00F8785A"/>
    <w:rsid w:val="00F90140"/>
    <w:rsid w:val="00F9071D"/>
    <w:rsid w:val="00F90B9C"/>
    <w:rsid w:val="00F90DA2"/>
    <w:rsid w:val="00F91AC0"/>
    <w:rsid w:val="00F92671"/>
    <w:rsid w:val="00F9315C"/>
    <w:rsid w:val="00F931F2"/>
    <w:rsid w:val="00F93346"/>
    <w:rsid w:val="00F937C6"/>
    <w:rsid w:val="00F94125"/>
    <w:rsid w:val="00F949E6"/>
    <w:rsid w:val="00F94DDA"/>
    <w:rsid w:val="00F95944"/>
    <w:rsid w:val="00F95DB2"/>
    <w:rsid w:val="00F960EE"/>
    <w:rsid w:val="00F96F90"/>
    <w:rsid w:val="00F9705B"/>
    <w:rsid w:val="00F9736F"/>
    <w:rsid w:val="00F97C20"/>
    <w:rsid w:val="00F97FE8"/>
    <w:rsid w:val="00FA0031"/>
    <w:rsid w:val="00FA048C"/>
    <w:rsid w:val="00FA1148"/>
    <w:rsid w:val="00FA1F84"/>
    <w:rsid w:val="00FA22E7"/>
    <w:rsid w:val="00FA2758"/>
    <w:rsid w:val="00FA2F00"/>
    <w:rsid w:val="00FA2F0C"/>
    <w:rsid w:val="00FA3810"/>
    <w:rsid w:val="00FA39E8"/>
    <w:rsid w:val="00FA3D6B"/>
    <w:rsid w:val="00FA469B"/>
    <w:rsid w:val="00FA4E32"/>
    <w:rsid w:val="00FA5224"/>
    <w:rsid w:val="00FA52EA"/>
    <w:rsid w:val="00FA5E3F"/>
    <w:rsid w:val="00FA641B"/>
    <w:rsid w:val="00FA64AC"/>
    <w:rsid w:val="00FA66D9"/>
    <w:rsid w:val="00FA7263"/>
    <w:rsid w:val="00FA78C3"/>
    <w:rsid w:val="00FA7F69"/>
    <w:rsid w:val="00FB00A3"/>
    <w:rsid w:val="00FB0144"/>
    <w:rsid w:val="00FB022F"/>
    <w:rsid w:val="00FB052E"/>
    <w:rsid w:val="00FB06DD"/>
    <w:rsid w:val="00FB103F"/>
    <w:rsid w:val="00FB248D"/>
    <w:rsid w:val="00FB2630"/>
    <w:rsid w:val="00FB41EF"/>
    <w:rsid w:val="00FB4A57"/>
    <w:rsid w:val="00FB4BF2"/>
    <w:rsid w:val="00FB4ED1"/>
    <w:rsid w:val="00FB59EC"/>
    <w:rsid w:val="00FB5D1E"/>
    <w:rsid w:val="00FB6797"/>
    <w:rsid w:val="00FB7150"/>
    <w:rsid w:val="00FB7C37"/>
    <w:rsid w:val="00FC02F1"/>
    <w:rsid w:val="00FC0D2B"/>
    <w:rsid w:val="00FC14EB"/>
    <w:rsid w:val="00FC1693"/>
    <w:rsid w:val="00FC21C7"/>
    <w:rsid w:val="00FC2576"/>
    <w:rsid w:val="00FC2652"/>
    <w:rsid w:val="00FC2B94"/>
    <w:rsid w:val="00FC2D4E"/>
    <w:rsid w:val="00FC3936"/>
    <w:rsid w:val="00FC46C3"/>
    <w:rsid w:val="00FC4C3C"/>
    <w:rsid w:val="00FC53D5"/>
    <w:rsid w:val="00FC69BE"/>
    <w:rsid w:val="00FC6C81"/>
    <w:rsid w:val="00FC6DC0"/>
    <w:rsid w:val="00FD02FE"/>
    <w:rsid w:val="00FD06B0"/>
    <w:rsid w:val="00FD1DA1"/>
    <w:rsid w:val="00FD2733"/>
    <w:rsid w:val="00FD2E22"/>
    <w:rsid w:val="00FD2F02"/>
    <w:rsid w:val="00FD3B15"/>
    <w:rsid w:val="00FD448F"/>
    <w:rsid w:val="00FD488F"/>
    <w:rsid w:val="00FD4895"/>
    <w:rsid w:val="00FD4B32"/>
    <w:rsid w:val="00FD60C8"/>
    <w:rsid w:val="00FD65D1"/>
    <w:rsid w:val="00FD6DE7"/>
    <w:rsid w:val="00FD768C"/>
    <w:rsid w:val="00FD7BB5"/>
    <w:rsid w:val="00FD7CBE"/>
    <w:rsid w:val="00FD7E7C"/>
    <w:rsid w:val="00FE0D47"/>
    <w:rsid w:val="00FE0EA8"/>
    <w:rsid w:val="00FE2086"/>
    <w:rsid w:val="00FE219B"/>
    <w:rsid w:val="00FE27E1"/>
    <w:rsid w:val="00FE34CE"/>
    <w:rsid w:val="00FE4CD2"/>
    <w:rsid w:val="00FE587E"/>
    <w:rsid w:val="00FE58D2"/>
    <w:rsid w:val="00FE62C9"/>
    <w:rsid w:val="00FE664C"/>
    <w:rsid w:val="00FE6D1B"/>
    <w:rsid w:val="00FE6E07"/>
    <w:rsid w:val="00FE6F94"/>
    <w:rsid w:val="00FE75A5"/>
    <w:rsid w:val="00FE77E7"/>
    <w:rsid w:val="00FE79BA"/>
    <w:rsid w:val="00FE7F58"/>
    <w:rsid w:val="00FF06B9"/>
    <w:rsid w:val="00FF083F"/>
    <w:rsid w:val="00FF100C"/>
    <w:rsid w:val="00FF12A6"/>
    <w:rsid w:val="00FF1491"/>
    <w:rsid w:val="00FF17FB"/>
    <w:rsid w:val="00FF2AD6"/>
    <w:rsid w:val="00FF2ECD"/>
    <w:rsid w:val="00FF30B2"/>
    <w:rsid w:val="00FF3406"/>
    <w:rsid w:val="00FF3E79"/>
    <w:rsid w:val="00FF4263"/>
    <w:rsid w:val="00FF4371"/>
    <w:rsid w:val="00FF496C"/>
    <w:rsid w:val="00FF4B47"/>
    <w:rsid w:val="00FF5F9D"/>
    <w:rsid w:val="00FF649C"/>
    <w:rsid w:val="00FF692E"/>
    <w:rsid w:val="00FF7364"/>
    <w:rsid w:val="00FF767E"/>
    <w:rsid w:val="00FF7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7B7330"/>
  <w15:docId w15:val="{101AEBB2-C4F9-4CF0-89B5-FA46D076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C9"/>
    <w:rPr>
      <w:rFonts w:ascii="CG Omega" w:hAnsi="CG Omega"/>
      <w:sz w:val="22"/>
      <w:lang w:val="es-ES_tradnl" w:eastAsia="en-US"/>
    </w:rPr>
  </w:style>
  <w:style w:type="paragraph" w:styleId="Ttulo1">
    <w:name w:val="heading 1"/>
    <w:basedOn w:val="Normal"/>
    <w:next w:val="Normal"/>
    <w:link w:val="Ttulo1Car"/>
    <w:qFormat/>
    <w:rsid w:val="00091258"/>
    <w:pPr>
      <w:keepNext/>
      <w:widowControl w:val="0"/>
      <w:outlineLvl w:val="0"/>
    </w:pPr>
    <w:rPr>
      <w:snapToGrid w:val="0"/>
      <w:color w:val="000000"/>
      <w:sz w:val="24"/>
      <w:u w:val="single"/>
      <w:lang w:eastAsia="es-ES"/>
    </w:rPr>
  </w:style>
  <w:style w:type="paragraph" w:styleId="Ttulo2">
    <w:name w:val="heading 2"/>
    <w:basedOn w:val="Normal"/>
    <w:next w:val="Normal"/>
    <w:link w:val="Ttulo2Car"/>
    <w:qFormat/>
    <w:rsid w:val="00091258"/>
    <w:pPr>
      <w:keepNext/>
      <w:widowControl w:val="0"/>
      <w:jc w:val="center"/>
      <w:outlineLvl w:val="1"/>
    </w:pPr>
    <w:rPr>
      <w:b/>
      <w:snapToGrid w:val="0"/>
      <w:color w:val="000000"/>
      <w:lang w:eastAsia="es-ES"/>
    </w:rPr>
  </w:style>
  <w:style w:type="paragraph" w:styleId="Ttulo3">
    <w:name w:val="heading 3"/>
    <w:basedOn w:val="Normal"/>
    <w:next w:val="Normal"/>
    <w:link w:val="Ttulo3Car"/>
    <w:qFormat/>
    <w:rsid w:val="00091258"/>
    <w:pPr>
      <w:keepNext/>
      <w:widowControl w:val="0"/>
      <w:tabs>
        <w:tab w:val="left" w:pos="737"/>
        <w:tab w:val="left" w:pos="1474"/>
        <w:tab w:val="left" w:pos="2324"/>
        <w:tab w:val="decimal" w:pos="6520"/>
        <w:tab w:val="right" w:pos="8505"/>
      </w:tabs>
      <w:ind w:left="1701"/>
      <w:outlineLvl w:val="2"/>
    </w:pPr>
    <w:rPr>
      <w:snapToGrid w:val="0"/>
      <w:color w:val="000000"/>
      <w:sz w:val="28"/>
      <w:lang w:eastAsia="es-ES"/>
    </w:rPr>
  </w:style>
  <w:style w:type="paragraph" w:styleId="Ttulo4">
    <w:name w:val="heading 4"/>
    <w:basedOn w:val="Normal"/>
    <w:next w:val="Normal"/>
    <w:link w:val="Ttulo4Car"/>
    <w:qFormat/>
    <w:rsid w:val="0009125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snapToGrid w:val="0"/>
      <w:color w:val="000000"/>
      <w:u w:val="single"/>
      <w:lang w:eastAsia="es-ES"/>
    </w:rPr>
  </w:style>
  <w:style w:type="paragraph" w:styleId="Ttulo5">
    <w:name w:val="heading 5"/>
    <w:basedOn w:val="Normal"/>
    <w:next w:val="Normal"/>
    <w:link w:val="Ttulo5Car"/>
    <w:qFormat/>
    <w:rsid w:val="00091258"/>
    <w:pPr>
      <w:keepNext/>
      <w:widowControl w:val="0"/>
      <w:ind w:left="737" w:right="85"/>
      <w:jc w:val="both"/>
      <w:outlineLvl w:val="4"/>
    </w:pPr>
    <w:rPr>
      <w:b/>
      <w:snapToGrid w:val="0"/>
      <w:color w:val="000000"/>
      <w:lang w:eastAsia="es-ES"/>
    </w:rPr>
  </w:style>
  <w:style w:type="paragraph" w:styleId="Ttulo6">
    <w:name w:val="heading 6"/>
    <w:basedOn w:val="Normal"/>
    <w:next w:val="Normal"/>
    <w:link w:val="Ttulo6Car"/>
    <w:qFormat/>
    <w:rsid w:val="00091258"/>
    <w:pPr>
      <w:keepNext/>
      <w:widowControl w:val="0"/>
      <w:spacing w:line="187" w:lineRule="exact"/>
      <w:outlineLvl w:val="5"/>
    </w:pPr>
    <w:rPr>
      <w:b/>
      <w:snapToGrid w:val="0"/>
      <w:color w:val="000000"/>
      <w:sz w:val="20"/>
      <w:lang w:eastAsia="es-ES"/>
    </w:rPr>
  </w:style>
  <w:style w:type="paragraph" w:styleId="Ttulo7">
    <w:name w:val="heading 7"/>
    <w:basedOn w:val="Normal"/>
    <w:next w:val="Normal"/>
    <w:link w:val="Ttulo7Car"/>
    <w:qFormat/>
    <w:rsid w:val="00091258"/>
    <w:pPr>
      <w:keepNext/>
      <w:widowControl w:val="0"/>
      <w:spacing w:line="187" w:lineRule="exact"/>
      <w:outlineLvl w:val="6"/>
    </w:pPr>
    <w:rPr>
      <w:b/>
      <w:snapToGrid w:val="0"/>
      <w:color w:val="000000"/>
      <w:sz w:val="18"/>
      <w:lang w:eastAsia="es-ES"/>
    </w:rPr>
  </w:style>
  <w:style w:type="paragraph" w:styleId="Ttulo8">
    <w:name w:val="heading 8"/>
    <w:basedOn w:val="Normal"/>
    <w:next w:val="Normal"/>
    <w:link w:val="Ttulo8Car"/>
    <w:qFormat/>
    <w:rsid w:val="00091258"/>
    <w:pPr>
      <w:keepNext/>
      <w:widowControl w:val="0"/>
      <w:outlineLvl w:val="7"/>
    </w:pPr>
    <w:rPr>
      <w:b/>
      <w:snapToGrid w:val="0"/>
      <w:color w:val="000000"/>
      <w:sz w:val="18"/>
      <w:u w:val="single"/>
      <w:lang w:eastAsia="es-ES"/>
    </w:rPr>
  </w:style>
  <w:style w:type="paragraph" w:styleId="Ttulo9">
    <w:name w:val="heading 9"/>
    <w:basedOn w:val="Normal"/>
    <w:next w:val="Normal"/>
    <w:link w:val="Ttulo9Car"/>
    <w:qFormat/>
    <w:rsid w:val="00091258"/>
    <w:pPr>
      <w:keepNext/>
      <w:widowControl w:val="0"/>
      <w:jc w:val="right"/>
      <w:outlineLvl w:val="8"/>
    </w:pPr>
    <w:rPr>
      <w:b/>
      <w:snapToGrid w:val="0"/>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912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pPr>
    <w:rPr>
      <w:snapToGrid w:val="0"/>
      <w:color w:val="000000"/>
      <w:sz w:val="24"/>
      <w:lang w:eastAsia="es-ES"/>
    </w:rPr>
  </w:style>
  <w:style w:type="paragraph" w:styleId="Encabezado">
    <w:name w:val="header"/>
    <w:basedOn w:val="Normal"/>
    <w:link w:val="EncabezadoCar"/>
    <w:uiPriority w:val="99"/>
    <w:rsid w:val="00091258"/>
    <w:pPr>
      <w:tabs>
        <w:tab w:val="center" w:pos="4252"/>
        <w:tab w:val="right" w:pos="8504"/>
      </w:tabs>
    </w:pPr>
  </w:style>
  <w:style w:type="paragraph" w:styleId="Piedepgina">
    <w:name w:val="footer"/>
    <w:basedOn w:val="Normal"/>
    <w:link w:val="PiedepginaCar"/>
    <w:uiPriority w:val="99"/>
    <w:rsid w:val="00091258"/>
    <w:pPr>
      <w:tabs>
        <w:tab w:val="center" w:pos="4252"/>
        <w:tab w:val="right" w:pos="8504"/>
      </w:tabs>
    </w:pPr>
  </w:style>
  <w:style w:type="paragraph" w:styleId="Mapadeldocumento">
    <w:name w:val="Document Map"/>
    <w:basedOn w:val="Normal"/>
    <w:link w:val="MapadeldocumentoCar"/>
    <w:semiHidden/>
    <w:rsid w:val="00091258"/>
    <w:pPr>
      <w:shd w:val="clear" w:color="auto" w:fill="000080"/>
    </w:pPr>
    <w:rPr>
      <w:rFonts w:ascii="Tahoma" w:hAnsi="Tahoma"/>
    </w:rPr>
  </w:style>
  <w:style w:type="character" w:styleId="Nmerodepgina">
    <w:name w:val="page number"/>
    <w:basedOn w:val="Fuentedeprrafopredeter"/>
    <w:rsid w:val="00091258"/>
  </w:style>
  <w:style w:type="paragraph" w:styleId="Textoindependiente">
    <w:name w:val="Body Text"/>
    <w:basedOn w:val="Normal"/>
    <w:link w:val="TextoindependienteCar"/>
    <w:rsid w:val="000912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i/>
      <w:snapToGrid w:val="0"/>
      <w:color w:val="FF0000"/>
      <w:sz w:val="28"/>
      <w:lang w:eastAsia="es-ES"/>
    </w:rPr>
  </w:style>
  <w:style w:type="paragraph" w:styleId="Sangra2detindependiente">
    <w:name w:val="Body Text Indent 2"/>
    <w:basedOn w:val="Normal"/>
    <w:link w:val="Sangra2detindependienteCar"/>
    <w:rsid w:val="00091258"/>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Pr>
      <w:snapToGrid w:val="0"/>
      <w:color w:val="000000"/>
      <w:lang w:eastAsia="es-ES"/>
    </w:rPr>
  </w:style>
  <w:style w:type="paragraph" w:styleId="Textoindependiente2">
    <w:name w:val="Body Text 2"/>
    <w:basedOn w:val="Normal"/>
    <w:link w:val="Textoindependiente2Car"/>
    <w:rsid w:val="00091258"/>
    <w:pPr>
      <w:widowControl w:val="0"/>
      <w:jc w:val="both"/>
    </w:pPr>
    <w:rPr>
      <w:i/>
      <w:snapToGrid w:val="0"/>
      <w:color w:val="000000"/>
      <w:lang w:eastAsia="es-ES"/>
    </w:rPr>
  </w:style>
  <w:style w:type="paragraph" w:styleId="Textoindependiente3">
    <w:name w:val="Body Text 3"/>
    <w:basedOn w:val="Normal"/>
    <w:link w:val="Textoindependiente3Car"/>
    <w:rsid w:val="00091258"/>
    <w:pPr>
      <w:widowControl w:val="0"/>
    </w:pPr>
    <w:rPr>
      <w:i/>
      <w:snapToGrid w:val="0"/>
      <w:color w:val="000000"/>
      <w:lang w:eastAsia="es-ES"/>
    </w:rPr>
  </w:style>
  <w:style w:type="paragraph" w:styleId="Sangra3detindependiente">
    <w:name w:val="Body Text Indent 3"/>
    <w:basedOn w:val="Normal"/>
    <w:link w:val="Sangra3detindependienteCar"/>
    <w:rsid w:val="000912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pPr>
    <w:rPr>
      <w:snapToGrid w:val="0"/>
      <w:color w:val="000000"/>
      <w:lang w:eastAsia="es-ES"/>
    </w:rPr>
  </w:style>
  <w:style w:type="character" w:styleId="Refdenotaalpie">
    <w:name w:val="footnote reference"/>
    <w:semiHidden/>
    <w:rsid w:val="00091258"/>
    <w:rPr>
      <w:vertAlign w:val="superscript"/>
    </w:rPr>
  </w:style>
  <w:style w:type="paragraph" w:customStyle="1" w:styleId="Disclaimer">
    <w:name w:val="Disclaimer"/>
    <w:basedOn w:val="Normal"/>
    <w:rsid w:val="00091258"/>
    <w:pPr>
      <w:spacing w:line="200" w:lineRule="exact"/>
    </w:pPr>
    <w:rPr>
      <w:rFonts w:ascii="Times New Roman" w:hAnsi="Times New Roman"/>
      <w:sz w:val="16"/>
    </w:rPr>
  </w:style>
  <w:style w:type="paragraph" w:customStyle="1" w:styleId="Address">
    <w:name w:val="Address"/>
    <w:basedOn w:val="Normal"/>
    <w:rsid w:val="00091258"/>
    <w:pPr>
      <w:pBdr>
        <w:left w:val="single" w:sz="4" w:space="6" w:color="auto"/>
      </w:pBdr>
      <w:spacing w:line="200" w:lineRule="exact"/>
    </w:pPr>
    <w:rPr>
      <w:rFonts w:ascii="Times New Roman" w:hAnsi="Times New Roman"/>
      <w:sz w:val="16"/>
    </w:rPr>
  </w:style>
  <w:style w:type="paragraph" w:customStyle="1" w:styleId="Indent3">
    <w:name w:val="Indent 3"/>
    <w:basedOn w:val="Normal"/>
    <w:rsid w:val="00091258"/>
    <w:pPr>
      <w:spacing w:line="290" w:lineRule="atLeast"/>
      <w:ind w:left="2160"/>
    </w:pPr>
    <w:rPr>
      <w:rFonts w:ascii="Times New Roman" w:hAnsi="Times New Roman"/>
      <w:sz w:val="24"/>
    </w:rPr>
  </w:style>
  <w:style w:type="paragraph" w:styleId="Textonotapie">
    <w:name w:val="footnote text"/>
    <w:basedOn w:val="Normal"/>
    <w:link w:val="TextonotapieCar"/>
    <w:semiHidden/>
    <w:rsid w:val="00091258"/>
    <w:rPr>
      <w:sz w:val="20"/>
    </w:rPr>
  </w:style>
  <w:style w:type="paragraph" w:customStyle="1" w:styleId="Estilo1">
    <w:name w:val="Estilo1"/>
    <w:basedOn w:val="Normal"/>
    <w:rsid w:val="00091258"/>
    <w:pPr>
      <w:tabs>
        <w:tab w:val="num" w:pos="1134"/>
      </w:tabs>
      <w:ind w:left="1134" w:hanging="1134"/>
    </w:pPr>
    <w:rPr>
      <w:b/>
      <w:caps/>
    </w:rPr>
  </w:style>
  <w:style w:type="paragraph" w:customStyle="1" w:styleId="Pdc">
    <w:name w:val="Pdc"/>
    <w:basedOn w:val="Normal"/>
    <w:rsid w:val="00091258"/>
    <w:pP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jc w:val="both"/>
      <w:textAlignment w:val="baseline"/>
    </w:pPr>
    <w:rPr>
      <w:rFonts w:ascii="Times New Roman" w:hAnsi="Times New Roman"/>
      <w:noProof/>
      <w:color w:val="FFFF00"/>
      <w:sz w:val="20"/>
      <w:lang w:eastAsia="es-ES"/>
    </w:rPr>
  </w:style>
  <w:style w:type="paragraph" w:customStyle="1" w:styleId="TextePrinc">
    <w:name w:val="TextePrinc"/>
    <w:basedOn w:val="Normal"/>
    <w:rsid w:val="00091258"/>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textAlignment w:val="baseline"/>
    </w:pPr>
    <w:rPr>
      <w:rFonts w:ascii="Arial" w:hAnsi="Arial"/>
      <w:noProof/>
      <w:color w:val="000000"/>
      <w:sz w:val="18"/>
      <w:lang w:eastAsia="es-ES"/>
    </w:rPr>
  </w:style>
  <w:style w:type="paragraph" w:customStyle="1" w:styleId="CelluleCourant">
    <w:name w:val="CelluleCourant"/>
    <w:basedOn w:val="Normal"/>
    <w:rsid w:val="00091258"/>
    <w:pPr>
      <w:overflowPunct w:val="0"/>
      <w:autoSpaceDE w:val="0"/>
      <w:autoSpaceDN w:val="0"/>
      <w:adjustRightInd w:val="0"/>
      <w:jc w:val="both"/>
      <w:textAlignment w:val="baseline"/>
    </w:pPr>
    <w:rPr>
      <w:rFonts w:ascii="Times New Roman" w:hAnsi="Times New Roman"/>
      <w:noProof/>
      <w:color w:val="000000"/>
      <w:sz w:val="24"/>
      <w:lang w:eastAsia="es-ES"/>
    </w:rPr>
  </w:style>
  <w:style w:type="character" w:customStyle="1" w:styleId="fmteuro">
    <w:name w:val="fmteuro"/>
    <w:rsid w:val="00091258"/>
    <w:rPr>
      <w:rFonts w:ascii="Times" w:hAnsi="Times"/>
      <w:sz w:val="24"/>
    </w:rPr>
  </w:style>
  <w:style w:type="paragraph" w:styleId="Remitedesobre">
    <w:name w:val="envelope return"/>
    <w:basedOn w:val="Normal"/>
    <w:rsid w:val="00091258"/>
    <w:rPr>
      <w:rFonts w:ascii="Frutiger-Light" w:hAnsi="Frutiger-Light"/>
      <w:sz w:val="20"/>
      <w:lang w:eastAsia="es-ES"/>
    </w:rPr>
  </w:style>
  <w:style w:type="paragraph" w:customStyle="1" w:styleId="Numeros">
    <w:name w:val="Numeros"/>
    <w:basedOn w:val="Normal"/>
    <w:rsid w:val="00091258"/>
    <w:pPr>
      <w:keepNext/>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textAlignment w:val="baseline"/>
    </w:pPr>
    <w:rPr>
      <w:rFonts w:ascii="Arial" w:hAnsi="Arial"/>
      <w:b/>
      <w:noProof/>
      <w:color w:val="FFFF00"/>
      <w:sz w:val="24"/>
      <w:lang w:eastAsia="es-ES"/>
    </w:rPr>
  </w:style>
  <w:style w:type="paragraph" w:customStyle="1" w:styleId="Style1">
    <w:name w:val="Style 1"/>
    <w:basedOn w:val="Normal"/>
    <w:rsid w:val="00091258"/>
    <w:pPr>
      <w:widowControl w:val="0"/>
      <w:autoSpaceDE w:val="0"/>
      <w:autoSpaceDN w:val="0"/>
      <w:adjustRightInd w:val="0"/>
    </w:pPr>
    <w:rPr>
      <w:rFonts w:ascii="Times New Roman" w:hAnsi="Times New Roman"/>
      <w:sz w:val="20"/>
      <w:szCs w:val="24"/>
      <w:lang w:val="en-US"/>
    </w:rPr>
  </w:style>
  <w:style w:type="paragraph" w:customStyle="1" w:styleId="Style2">
    <w:name w:val="Style 2"/>
    <w:basedOn w:val="Normal"/>
    <w:rsid w:val="00091258"/>
    <w:pPr>
      <w:widowControl w:val="0"/>
      <w:autoSpaceDE w:val="0"/>
      <w:autoSpaceDN w:val="0"/>
      <w:spacing w:line="240" w:lineRule="atLeast"/>
      <w:ind w:left="288" w:hanging="252"/>
    </w:pPr>
    <w:rPr>
      <w:rFonts w:ascii="Times New Roman" w:hAnsi="Times New Roman"/>
      <w:sz w:val="20"/>
      <w:szCs w:val="24"/>
      <w:lang w:val="en-US"/>
    </w:rPr>
  </w:style>
  <w:style w:type="paragraph" w:styleId="Textodeglobo">
    <w:name w:val="Balloon Text"/>
    <w:basedOn w:val="Normal"/>
    <w:link w:val="TextodegloboCar"/>
    <w:semiHidden/>
    <w:rsid w:val="00091258"/>
    <w:rPr>
      <w:rFonts w:ascii="Tahoma" w:hAnsi="Tahoma" w:cs="Tahoma"/>
      <w:sz w:val="16"/>
      <w:szCs w:val="16"/>
    </w:rPr>
  </w:style>
  <w:style w:type="paragraph" w:customStyle="1" w:styleId="Preci">
    <w:name w:val="Preci"/>
    <w:basedOn w:val="Normal"/>
    <w:rsid w:val="00091258"/>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pPr>
    <w:rPr>
      <w:rFonts w:ascii="Arial" w:hAnsi="Arial"/>
      <w:noProof/>
      <w:color w:val="000000"/>
      <w:sz w:val="18"/>
      <w:lang w:eastAsia="es-ES"/>
    </w:rPr>
  </w:style>
  <w:style w:type="paragraph" w:customStyle="1" w:styleId="TableFootnote">
    <w:name w:val="TableFootnote"/>
    <w:basedOn w:val="Normal"/>
    <w:rsid w:val="00091258"/>
    <w:rPr>
      <w:rFonts w:ascii="Times New Roman" w:hAnsi="Times New Roman"/>
      <w:noProof/>
      <w:color w:val="000000"/>
      <w:sz w:val="20"/>
      <w:lang w:eastAsia="es-ES"/>
    </w:rPr>
  </w:style>
  <w:style w:type="paragraph" w:customStyle="1" w:styleId="TableTitle">
    <w:name w:val="TableTitle"/>
    <w:basedOn w:val="Normal"/>
    <w:rsid w:val="00091258"/>
    <w:pPr>
      <w:overflowPunct w:val="0"/>
      <w:autoSpaceDE w:val="0"/>
      <w:autoSpaceDN w:val="0"/>
      <w:adjustRightInd w:val="0"/>
      <w:jc w:val="center"/>
      <w:textAlignment w:val="baseline"/>
    </w:pPr>
    <w:rPr>
      <w:rFonts w:ascii="Times New Roman" w:hAnsi="Times New Roman"/>
      <w:b/>
      <w:noProof/>
      <w:color w:val="000000"/>
      <w:sz w:val="24"/>
      <w:lang w:eastAsia="es-ES"/>
    </w:rPr>
  </w:style>
  <w:style w:type="paragraph" w:customStyle="1" w:styleId="Titre10">
    <w:name w:val="Titre 10"/>
    <w:basedOn w:val="Normal"/>
    <w:rsid w:val="00091258"/>
    <w:pPr>
      <w:keepNext/>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textAlignment w:val="baseline"/>
    </w:pPr>
    <w:rPr>
      <w:rFonts w:ascii="Times New Roman" w:hAnsi="Times New Roman"/>
      <w:b/>
      <w:noProof/>
      <w:color w:val="000000"/>
      <w:sz w:val="24"/>
      <w:lang w:eastAsia="es-ES"/>
    </w:rPr>
  </w:style>
  <w:style w:type="paragraph" w:customStyle="1" w:styleId="Style8">
    <w:name w:val="Style 8"/>
    <w:basedOn w:val="Normal"/>
    <w:rsid w:val="00091258"/>
    <w:pPr>
      <w:widowControl w:val="0"/>
      <w:autoSpaceDE w:val="0"/>
      <w:autoSpaceDN w:val="0"/>
      <w:spacing w:after="216" w:line="228" w:lineRule="atLeast"/>
      <w:jc w:val="center"/>
    </w:pPr>
    <w:rPr>
      <w:rFonts w:ascii="Times New Roman" w:hAnsi="Times New Roman"/>
      <w:sz w:val="20"/>
      <w:szCs w:val="24"/>
      <w:lang w:val="en-US"/>
    </w:rPr>
  </w:style>
  <w:style w:type="paragraph" w:customStyle="1" w:styleId="Style4">
    <w:name w:val="Style 4"/>
    <w:basedOn w:val="Normal"/>
    <w:rsid w:val="00091258"/>
    <w:pPr>
      <w:widowControl w:val="0"/>
      <w:autoSpaceDE w:val="0"/>
      <w:autoSpaceDN w:val="0"/>
      <w:spacing w:line="600" w:lineRule="atLeast"/>
    </w:pPr>
    <w:rPr>
      <w:rFonts w:ascii="Times New Roman" w:hAnsi="Times New Roman"/>
      <w:sz w:val="20"/>
      <w:szCs w:val="24"/>
      <w:lang w:val="en-US"/>
    </w:rPr>
  </w:style>
  <w:style w:type="paragraph" w:customStyle="1" w:styleId="Style3">
    <w:name w:val="Style 3"/>
    <w:basedOn w:val="Normal"/>
    <w:rsid w:val="00091258"/>
    <w:pPr>
      <w:widowControl w:val="0"/>
      <w:autoSpaceDE w:val="0"/>
      <w:autoSpaceDN w:val="0"/>
      <w:spacing w:before="324"/>
    </w:pPr>
    <w:rPr>
      <w:rFonts w:ascii="Times New Roman" w:hAnsi="Times New Roman"/>
      <w:sz w:val="20"/>
      <w:szCs w:val="24"/>
      <w:lang w:val="en-US"/>
    </w:rPr>
  </w:style>
  <w:style w:type="paragraph" w:customStyle="1" w:styleId="Style5">
    <w:name w:val="Style 5"/>
    <w:basedOn w:val="Normal"/>
    <w:rsid w:val="00091258"/>
    <w:pPr>
      <w:widowControl w:val="0"/>
      <w:autoSpaceDE w:val="0"/>
      <w:autoSpaceDN w:val="0"/>
      <w:spacing w:before="72" w:after="252" w:line="168" w:lineRule="exact"/>
      <w:ind w:right="216"/>
    </w:pPr>
    <w:rPr>
      <w:rFonts w:ascii="Times New Roman" w:hAnsi="Times New Roman"/>
      <w:sz w:val="20"/>
      <w:szCs w:val="24"/>
      <w:lang w:val="en-US"/>
    </w:rPr>
  </w:style>
  <w:style w:type="paragraph" w:customStyle="1" w:styleId="Style7">
    <w:name w:val="Style 7"/>
    <w:basedOn w:val="Normal"/>
    <w:rsid w:val="00091258"/>
    <w:pPr>
      <w:widowControl w:val="0"/>
      <w:autoSpaceDE w:val="0"/>
      <w:autoSpaceDN w:val="0"/>
      <w:spacing w:after="252" w:line="240" w:lineRule="atLeast"/>
      <w:jc w:val="center"/>
    </w:pPr>
    <w:rPr>
      <w:rFonts w:ascii="Times New Roman" w:hAnsi="Times New Roman"/>
      <w:sz w:val="20"/>
      <w:szCs w:val="24"/>
      <w:lang w:val="en-US"/>
    </w:rPr>
  </w:style>
  <w:style w:type="paragraph" w:customStyle="1" w:styleId="Style6">
    <w:name w:val="Style 6"/>
    <w:basedOn w:val="Normal"/>
    <w:rsid w:val="00091258"/>
    <w:pPr>
      <w:widowControl w:val="0"/>
      <w:autoSpaceDE w:val="0"/>
      <w:autoSpaceDN w:val="0"/>
      <w:ind w:left="576" w:hanging="288"/>
    </w:pPr>
    <w:rPr>
      <w:rFonts w:ascii="Times New Roman" w:hAnsi="Times New Roman"/>
      <w:sz w:val="20"/>
      <w:szCs w:val="24"/>
      <w:lang w:val="en-US"/>
    </w:rPr>
  </w:style>
  <w:style w:type="paragraph" w:customStyle="1" w:styleId="Style9">
    <w:name w:val="Style 9"/>
    <w:basedOn w:val="Normal"/>
    <w:rsid w:val="00091258"/>
    <w:pPr>
      <w:widowControl w:val="0"/>
      <w:autoSpaceDE w:val="0"/>
      <w:autoSpaceDN w:val="0"/>
      <w:spacing w:before="72" w:after="252" w:line="168" w:lineRule="exact"/>
      <w:ind w:right="216" w:firstLine="576"/>
    </w:pPr>
    <w:rPr>
      <w:rFonts w:ascii="Times New Roman" w:hAnsi="Times New Roman"/>
      <w:sz w:val="20"/>
      <w:szCs w:val="24"/>
      <w:lang w:val="en-US"/>
    </w:rPr>
  </w:style>
  <w:style w:type="paragraph" w:customStyle="1" w:styleId="Style10">
    <w:name w:val="Style 10"/>
    <w:basedOn w:val="Normal"/>
    <w:rsid w:val="00091258"/>
    <w:pPr>
      <w:widowControl w:val="0"/>
      <w:autoSpaceDE w:val="0"/>
      <w:autoSpaceDN w:val="0"/>
      <w:spacing w:before="72" w:after="252" w:line="168" w:lineRule="exact"/>
      <w:ind w:left="216"/>
    </w:pPr>
    <w:rPr>
      <w:rFonts w:ascii="Times New Roman" w:hAnsi="Times New Roman"/>
      <w:sz w:val="20"/>
      <w:szCs w:val="24"/>
      <w:lang w:val="en-US"/>
    </w:rPr>
  </w:style>
  <w:style w:type="paragraph" w:customStyle="1" w:styleId="Style11">
    <w:name w:val="Style 11"/>
    <w:basedOn w:val="Normal"/>
    <w:rsid w:val="00091258"/>
    <w:pPr>
      <w:widowControl w:val="0"/>
      <w:autoSpaceDE w:val="0"/>
      <w:autoSpaceDN w:val="0"/>
      <w:spacing w:line="624" w:lineRule="exact"/>
      <w:jc w:val="center"/>
    </w:pPr>
    <w:rPr>
      <w:rFonts w:ascii="Times New Roman" w:hAnsi="Times New Roman"/>
      <w:sz w:val="20"/>
      <w:szCs w:val="24"/>
      <w:lang w:val="en-US"/>
    </w:rPr>
  </w:style>
  <w:style w:type="paragraph" w:styleId="Textodebloque">
    <w:name w:val="Block Text"/>
    <w:basedOn w:val="Normal"/>
    <w:rsid w:val="00091258"/>
    <w:pPr>
      <w:widowControl w:val="0"/>
      <w:autoSpaceDE w:val="0"/>
      <w:autoSpaceDN w:val="0"/>
      <w:ind w:left="576" w:right="142"/>
    </w:pPr>
    <w:rPr>
      <w:rFonts w:ascii="Times New Roman" w:hAnsi="Times New Roman"/>
      <w:spacing w:val="-2"/>
      <w:sz w:val="16"/>
      <w:szCs w:val="16"/>
      <w:lang w:val="en-US"/>
    </w:rPr>
  </w:style>
  <w:style w:type="paragraph" w:styleId="Listaconvietas">
    <w:name w:val="List Bullet"/>
    <w:basedOn w:val="Normal"/>
    <w:rsid w:val="00091258"/>
    <w:pPr>
      <w:tabs>
        <w:tab w:val="num" w:pos="735"/>
      </w:tabs>
      <w:spacing w:after="240" w:line="240" w:lineRule="atLeast"/>
      <w:ind w:left="735" w:hanging="735"/>
    </w:pPr>
    <w:rPr>
      <w:rFonts w:ascii="Arial" w:hAnsi="Arial"/>
      <w:sz w:val="20"/>
      <w:lang w:val="en-GB"/>
    </w:rPr>
  </w:style>
  <w:style w:type="paragraph" w:styleId="Listaconvietas2">
    <w:name w:val="List Bullet 2"/>
    <w:basedOn w:val="Normal"/>
    <w:rsid w:val="00091258"/>
    <w:pPr>
      <w:tabs>
        <w:tab w:val="num" w:pos="735"/>
      </w:tabs>
      <w:spacing w:after="240" w:line="240" w:lineRule="atLeast"/>
      <w:ind w:left="735" w:hanging="735"/>
    </w:pPr>
    <w:rPr>
      <w:rFonts w:ascii="Arial" w:hAnsi="Arial"/>
      <w:sz w:val="20"/>
      <w:lang w:val="en-GB"/>
    </w:rPr>
  </w:style>
  <w:style w:type="paragraph" w:styleId="Listaconvietas3">
    <w:name w:val="List Bullet 3"/>
    <w:basedOn w:val="Normal"/>
    <w:rsid w:val="00091258"/>
    <w:pPr>
      <w:tabs>
        <w:tab w:val="num" w:pos="735"/>
      </w:tabs>
      <w:spacing w:after="240" w:line="240" w:lineRule="atLeast"/>
      <w:ind w:left="735" w:hanging="735"/>
    </w:pPr>
    <w:rPr>
      <w:rFonts w:ascii="Arial" w:hAnsi="Arial"/>
      <w:sz w:val="20"/>
      <w:lang w:val="en-GB"/>
    </w:rPr>
  </w:style>
  <w:style w:type="paragraph" w:styleId="Listaconvietas4">
    <w:name w:val="List Bullet 4"/>
    <w:basedOn w:val="Normal"/>
    <w:rsid w:val="00091258"/>
    <w:pPr>
      <w:tabs>
        <w:tab w:val="num" w:pos="735"/>
      </w:tabs>
      <w:spacing w:after="240" w:line="240" w:lineRule="atLeast"/>
      <w:ind w:left="735" w:hanging="735"/>
    </w:pPr>
    <w:rPr>
      <w:rFonts w:ascii="Arial" w:hAnsi="Arial"/>
      <w:sz w:val="20"/>
      <w:lang w:val="en-GB"/>
    </w:rPr>
  </w:style>
  <w:style w:type="paragraph" w:styleId="Listaconvietas5">
    <w:name w:val="List Bullet 5"/>
    <w:basedOn w:val="Normal"/>
    <w:rsid w:val="00091258"/>
    <w:pPr>
      <w:tabs>
        <w:tab w:val="num" w:pos="735"/>
      </w:tabs>
      <w:spacing w:after="240" w:line="240" w:lineRule="atLeast"/>
      <w:ind w:left="735" w:hanging="735"/>
    </w:pPr>
    <w:rPr>
      <w:rFonts w:ascii="Arial" w:hAnsi="Arial"/>
      <w:sz w:val="20"/>
      <w:lang w:val="en-GB"/>
    </w:rPr>
  </w:style>
  <w:style w:type="paragraph" w:styleId="Listaconnmeros">
    <w:name w:val="List Number"/>
    <w:basedOn w:val="Normal"/>
    <w:rsid w:val="00091258"/>
    <w:pPr>
      <w:numPr>
        <w:numId w:val="1"/>
      </w:numPr>
      <w:spacing w:after="240" w:line="240" w:lineRule="atLeast"/>
    </w:pPr>
    <w:rPr>
      <w:rFonts w:ascii="Arial" w:hAnsi="Arial"/>
      <w:sz w:val="20"/>
      <w:lang w:val="en-GB"/>
    </w:rPr>
  </w:style>
  <w:style w:type="paragraph" w:styleId="Listaconnmeros2">
    <w:name w:val="List Number 2"/>
    <w:basedOn w:val="Normal"/>
    <w:rsid w:val="00091258"/>
    <w:pPr>
      <w:numPr>
        <w:ilvl w:val="1"/>
        <w:numId w:val="1"/>
      </w:numPr>
      <w:spacing w:after="240" w:line="240" w:lineRule="atLeast"/>
    </w:pPr>
    <w:rPr>
      <w:rFonts w:ascii="Arial" w:hAnsi="Arial"/>
      <w:sz w:val="20"/>
      <w:lang w:val="en-GB"/>
    </w:rPr>
  </w:style>
  <w:style w:type="paragraph" w:styleId="Listaconnmeros3">
    <w:name w:val="List Number 3"/>
    <w:basedOn w:val="Normal"/>
    <w:rsid w:val="00091258"/>
    <w:pPr>
      <w:numPr>
        <w:ilvl w:val="2"/>
        <w:numId w:val="1"/>
      </w:numPr>
      <w:spacing w:after="240" w:line="240" w:lineRule="atLeast"/>
    </w:pPr>
    <w:rPr>
      <w:rFonts w:ascii="Arial" w:hAnsi="Arial"/>
      <w:sz w:val="20"/>
      <w:lang w:val="en-GB"/>
    </w:rPr>
  </w:style>
  <w:style w:type="paragraph" w:styleId="Listaconnmeros4">
    <w:name w:val="List Number 4"/>
    <w:basedOn w:val="Normal"/>
    <w:rsid w:val="00091258"/>
    <w:pPr>
      <w:numPr>
        <w:ilvl w:val="3"/>
        <w:numId w:val="1"/>
      </w:numPr>
      <w:spacing w:after="240" w:line="240" w:lineRule="atLeast"/>
    </w:pPr>
    <w:rPr>
      <w:rFonts w:ascii="Arial" w:hAnsi="Arial"/>
      <w:sz w:val="20"/>
      <w:lang w:val="en-GB"/>
    </w:rPr>
  </w:style>
  <w:style w:type="paragraph" w:styleId="Listaconnmeros5">
    <w:name w:val="List Number 5"/>
    <w:basedOn w:val="Normal"/>
    <w:rsid w:val="00091258"/>
    <w:pPr>
      <w:numPr>
        <w:ilvl w:val="4"/>
        <w:numId w:val="1"/>
      </w:numPr>
      <w:spacing w:after="240" w:line="240" w:lineRule="atLeast"/>
    </w:pPr>
    <w:rPr>
      <w:rFonts w:ascii="Arial" w:hAnsi="Arial"/>
      <w:sz w:val="20"/>
      <w:lang w:val="en-GB"/>
    </w:rPr>
  </w:style>
  <w:style w:type="paragraph" w:customStyle="1" w:styleId="TableBullet">
    <w:name w:val="Table Bullet"/>
    <w:basedOn w:val="TableText"/>
    <w:rsid w:val="00091258"/>
    <w:pPr>
      <w:numPr>
        <w:numId w:val="2"/>
      </w:numPr>
    </w:pPr>
  </w:style>
  <w:style w:type="paragraph" w:customStyle="1" w:styleId="TableText">
    <w:name w:val="Table Text"/>
    <w:basedOn w:val="Normal"/>
    <w:rsid w:val="00091258"/>
    <w:pPr>
      <w:spacing w:before="120" w:after="170" w:line="240" w:lineRule="atLeast"/>
    </w:pPr>
    <w:rPr>
      <w:rFonts w:ascii="Arial" w:hAnsi="Arial"/>
      <w:sz w:val="20"/>
      <w:lang w:val="en-GB"/>
    </w:rPr>
  </w:style>
  <w:style w:type="paragraph" w:customStyle="1" w:styleId="TableListNumber">
    <w:name w:val="Table List Number"/>
    <w:basedOn w:val="TableText"/>
    <w:rsid w:val="00091258"/>
    <w:pPr>
      <w:numPr>
        <w:numId w:val="3"/>
      </w:numPr>
      <w:tabs>
        <w:tab w:val="left" w:pos="298"/>
      </w:tabs>
    </w:pPr>
  </w:style>
  <w:style w:type="paragraph" w:customStyle="1" w:styleId="TableColumnHeader">
    <w:name w:val="Table Column Header"/>
    <w:basedOn w:val="TableText"/>
    <w:rsid w:val="00091258"/>
    <w:rPr>
      <w:b/>
    </w:rPr>
  </w:style>
  <w:style w:type="paragraph" w:styleId="Textocomentario">
    <w:name w:val="annotation text"/>
    <w:basedOn w:val="Normal"/>
    <w:link w:val="TextocomentarioCar"/>
    <w:uiPriority w:val="99"/>
    <w:semiHidden/>
    <w:rsid w:val="00091258"/>
    <w:pPr>
      <w:spacing w:line="240" w:lineRule="atLeast"/>
    </w:pPr>
    <w:rPr>
      <w:rFonts w:ascii="Arial" w:hAnsi="Arial"/>
      <w:sz w:val="20"/>
      <w:lang w:val="fr-FR"/>
    </w:rPr>
  </w:style>
  <w:style w:type="paragraph" w:styleId="Descripcin">
    <w:name w:val="caption"/>
    <w:basedOn w:val="Normal"/>
    <w:next w:val="Normal"/>
    <w:qFormat/>
    <w:rsid w:val="00091258"/>
    <w:pPr>
      <w:widowControl w:val="0"/>
      <w:autoSpaceDE w:val="0"/>
      <w:autoSpaceDN w:val="0"/>
      <w:ind w:left="-142" w:right="-196"/>
    </w:pPr>
    <w:rPr>
      <w:rFonts w:ascii="Times New Roman" w:hAnsi="Times New Roman"/>
      <w:b/>
      <w:color w:val="FF0000"/>
      <w:sz w:val="14"/>
      <w:szCs w:val="16"/>
      <w:lang w:val="en-GB"/>
    </w:rPr>
  </w:style>
  <w:style w:type="character" w:styleId="Refdecomentario">
    <w:name w:val="annotation reference"/>
    <w:uiPriority w:val="99"/>
    <w:semiHidden/>
    <w:rsid w:val="00091258"/>
    <w:rPr>
      <w:sz w:val="16"/>
      <w:szCs w:val="16"/>
    </w:rPr>
  </w:style>
  <w:style w:type="paragraph" w:customStyle="1" w:styleId="TableRowHeader">
    <w:name w:val="Table Row Header"/>
    <w:basedOn w:val="Normal"/>
    <w:rsid w:val="00091258"/>
    <w:pPr>
      <w:widowControl w:val="0"/>
      <w:autoSpaceDE w:val="0"/>
      <w:autoSpaceDN w:val="0"/>
      <w:ind w:left="-108"/>
    </w:pPr>
    <w:rPr>
      <w:rFonts w:ascii="Times New Roman" w:hAnsi="Times New Roman"/>
      <w:spacing w:val="-2"/>
      <w:sz w:val="16"/>
      <w:szCs w:val="16"/>
      <w:lang w:val="en-GB"/>
    </w:rPr>
  </w:style>
  <w:style w:type="paragraph" w:styleId="Textonotaalfinal">
    <w:name w:val="endnote text"/>
    <w:basedOn w:val="Normal"/>
    <w:link w:val="TextonotaalfinalCar"/>
    <w:semiHidden/>
    <w:rsid w:val="00091258"/>
    <w:rPr>
      <w:sz w:val="20"/>
    </w:rPr>
  </w:style>
  <w:style w:type="character" w:styleId="Refdenotaalfinal">
    <w:name w:val="endnote reference"/>
    <w:semiHidden/>
    <w:rsid w:val="00091258"/>
    <w:rPr>
      <w:vertAlign w:val="superscript"/>
    </w:rPr>
  </w:style>
  <w:style w:type="paragraph" w:customStyle="1" w:styleId="Body">
    <w:name w:val="Body"/>
    <w:basedOn w:val="Normal"/>
    <w:rsid w:val="00091258"/>
    <w:pPr>
      <w:overflowPunct w:val="0"/>
      <w:autoSpaceDE w:val="0"/>
      <w:autoSpaceDN w:val="0"/>
      <w:adjustRightInd w:val="0"/>
      <w:textAlignment w:val="baseline"/>
    </w:pPr>
    <w:rPr>
      <w:rFonts w:ascii="Times New Roman" w:hAnsi="Times New Roman"/>
      <w:noProof/>
      <w:color w:val="000000"/>
      <w:sz w:val="24"/>
      <w:lang w:eastAsia="es-ES"/>
    </w:rPr>
  </w:style>
  <w:style w:type="paragraph" w:customStyle="1" w:styleId="Bulleted">
    <w:name w:val="Bulleted"/>
    <w:basedOn w:val="Normal"/>
    <w:rsid w:val="00091258"/>
    <w:pPr>
      <w:tabs>
        <w:tab w:val="left" w:pos="285"/>
      </w:tabs>
      <w:overflowPunct w:val="0"/>
      <w:autoSpaceDE w:val="0"/>
      <w:autoSpaceDN w:val="0"/>
      <w:adjustRightInd w:val="0"/>
      <w:ind w:left="285" w:hanging="285"/>
      <w:textAlignment w:val="baseline"/>
    </w:pPr>
    <w:rPr>
      <w:rFonts w:ascii="Times New Roman" w:hAnsi="Times New Roman"/>
      <w:noProof/>
      <w:color w:val="000000"/>
      <w:sz w:val="24"/>
      <w:lang w:eastAsia="es-ES"/>
    </w:rPr>
  </w:style>
  <w:style w:type="paragraph" w:customStyle="1" w:styleId="CellBody">
    <w:name w:val="CellBody"/>
    <w:basedOn w:val="Normal"/>
    <w:rsid w:val="00091258"/>
    <w:pPr>
      <w:overflowPunct w:val="0"/>
      <w:autoSpaceDE w:val="0"/>
      <w:autoSpaceDN w:val="0"/>
      <w:adjustRightInd w:val="0"/>
      <w:textAlignment w:val="baseline"/>
    </w:pPr>
    <w:rPr>
      <w:rFonts w:ascii="Times New Roman" w:hAnsi="Times New Roman"/>
      <w:noProof/>
      <w:color w:val="000000"/>
      <w:sz w:val="24"/>
      <w:lang w:eastAsia="es-ES"/>
    </w:rPr>
  </w:style>
  <w:style w:type="paragraph" w:customStyle="1" w:styleId="CellHeading">
    <w:name w:val="CellHeading"/>
    <w:basedOn w:val="Normal"/>
    <w:rsid w:val="00091258"/>
    <w:pPr>
      <w:overflowPunct w:val="0"/>
      <w:autoSpaceDE w:val="0"/>
      <w:autoSpaceDN w:val="0"/>
      <w:adjustRightInd w:val="0"/>
      <w:jc w:val="center"/>
      <w:textAlignment w:val="baseline"/>
    </w:pPr>
    <w:rPr>
      <w:rFonts w:ascii="Times New Roman" w:hAnsi="Times New Roman"/>
      <w:noProof/>
      <w:color w:val="000000"/>
      <w:sz w:val="24"/>
      <w:lang w:eastAsia="es-ES"/>
    </w:rPr>
  </w:style>
  <w:style w:type="paragraph" w:customStyle="1" w:styleId="CelluleIntitul">
    <w:name w:val="Cellule Intitulé"/>
    <w:basedOn w:val="Normal"/>
    <w:rsid w:val="00091258"/>
    <w:pPr>
      <w:overflowPunct w:val="0"/>
      <w:autoSpaceDE w:val="0"/>
      <w:autoSpaceDN w:val="0"/>
      <w:adjustRightInd w:val="0"/>
      <w:jc w:val="both"/>
      <w:textAlignment w:val="baseline"/>
    </w:pPr>
    <w:rPr>
      <w:rFonts w:ascii="Times New Roman" w:hAnsi="Times New Roman"/>
      <w:noProof/>
      <w:color w:val="000000"/>
      <w:sz w:val="24"/>
      <w:lang w:eastAsia="es-ES"/>
    </w:rPr>
  </w:style>
  <w:style w:type="paragraph" w:customStyle="1" w:styleId="Footnote">
    <w:name w:val="Footnote"/>
    <w:basedOn w:val="Normal"/>
    <w:rsid w:val="00091258"/>
    <w:rPr>
      <w:rFonts w:ascii="Times New Roman" w:hAnsi="Times New Roman"/>
      <w:noProof/>
      <w:color w:val="000000"/>
      <w:sz w:val="20"/>
      <w:lang w:eastAsia="es-ES"/>
    </w:rPr>
  </w:style>
  <w:style w:type="paragraph" w:customStyle="1" w:styleId="Heading1">
    <w:name w:val="Heading1"/>
    <w:basedOn w:val="Normal"/>
    <w:rsid w:val="00091258"/>
    <w:pPr>
      <w:keepNext/>
      <w:overflowPunct w:val="0"/>
      <w:autoSpaceDE w:val="0"/>
      <w:autoSpaceDN w:val="0"/>
      <w:adjustRightInd w:val="0"/>
      <w:spacing w:before="280" w:after="120"/>
      <w:textAlignment w:val="baseline"/>
    </w:pPr>
    <w:rPr>
      <w:rFonts w:ascii="Times New Roman" w:hAnsi="Times New Roman"/>
      <w:b/>
      <w:noProof/>
      <w:color w:val="000000"/>
      <w:sz w:val="28"/>
      <w:lang w:eastAsia="es-ES"/>
    </w:rPr>
  </w:style>
  <w:style w:type="paragraph" w:customStyle="1" w:styleId="Heading2">
    <w:name w:val="Heading2"/>
    <w:basedOn w:val="Normal"/>
    <w:rsid w:val="00091258"/>
    <w:pPr>
      <w:keepNext/>
      <w:overflowPunct w:val="0"/>
      <w:autoSpaceDE w:val="0"/>
      <w:autoSpaceDN w:val="0"/>
      <w:adjustRightInd w:val="0"/>
      <w:spacing w:before="240" w:after="60"/>
      <w:textAlignment w:val="baseline"/>
    </w:pPr>
    <w:rPr>
      <w:rFonts w:ascii="Times New Roman" w:hAnsi="Times New Roman"/>
      <w:b/>
      <w:noProof/>
      <w:color w:val="000000"/>
      <w:sz w:val="24"/>
      <w:lang w:eastAsia="es-ES"/>
    </w:rPr>
  </w:style>
  <w:style w:type="paragraph" w:customStyle="1" w:styleId="HeadingRunIn">
    <w:name w:val="HeadingRunIn"/>
    <w:basedOn w:val="Normal"/>
    <w:rsid w:val="00091258"/>
    <w:pPr>
      <w:keepNext/>
      <w:overflowPunct w:val="0"/>
      <w:autoSpaceDE w:val="0"/>
      <w:autoSpaceDN w:val="0"/>
      <w:adjustRightInd w:val="0"/>
      <w:spacing w:before="120"/>
      <w:textAlignment w:val="baseline"/>
    </w:pPr>
    <w:rPr>
      <w:rFonts w:ascii="Times New Roman" w:hAnsi="Times New Roman"/>
      <w:b/>
      <w:noProof/>
      <w:color w:val="000000"/>
      <w:sz w:val="24"/>
      <w:lang w:eastAsia="es-ES"/>
    </w:rPr>
  </w:style>
  <w:style w:type="paragraph" w:customStyle="1" w:styleId="Indented">
    <w:name w:val="Indented"/>
    <w:basedOn w:val="Normal"/>
    <w:rsid w:val="00091258"/>
    <w:pPr>
      <w:tabs>
        <w:tab w:val="left" w:pos="285"/>
      </w:tabs>
      <w:overflowPunct w:val="0"/>
      <w:autoSpaceDE w:val="0"/>
      <w:autoSpaceDN w:val="0"/>
      <w:adjustRightInd w:val="0"/>
      <w:ind w:left="285"/>
      <w:textAlignment w:val="baseline"/>
    </w:pPr>
    <w:rPr>
      <w:rFonts w:ascii="Times New Roman" w:hAnsi="Times New Roman"/>
      <w:noProof/>
      <w:color w:val="000000"/>
      <w:sz w:val="24"/>
      <w:lang w:eastAsia="es-ES"/>
    </w:rPr>
  </w:style>
  <w:style w:type="paragraph" w:customStyle="1" w:styleId="Numbered">
    <w:name w:val="Numbered"/>
    <w:basedOn w:val="Normal"/>
    <w:rsid w:val="00091258"/>
    <w:pPr>
      <w:tabs>
        <w:tab w:val="left" w:pos="285"/>
      </w:tabs>
      <w:overflowPunct w:val="0"/>
      <w:autoSpaceDE w:val="0"/>
      <w:autoSpaceDN w:val="0"/>
      <w:adjustRightInd w:val="0"/>
      <w:ind w:left="285" w:hanging="285"/>
      <w:textAlignment w:val="baseline"/>
    </w:pPr>
    <w:rPr>
      <w:rFonts w:ascii="Times New Roman" w:hAnsi="Times New Roman"/>
      <w:noProof/>
      <w:color w:val="000000"/>
      <w:sz w:val="24"/>
      <w:lang w:eastAsia="es-ES"/>
    </w:rPr>
  </w:style>
  <w:style w:type="paragraph" w:customStyle="1" w:styleId="Numbered1">
    <w:name w:val="Numbered1"/>
    <w:basedOn w:val="Normal"/>
    <w:rsid w:val="00091258"/>
    <w:pPr>
      <w:tabs>
        <w:tab w:val="left" w:pos="285"/>
      </w:tabs>
      <w:overflowPunct w:val="0"/>
      <w:autoSpaceDE w:val="0"/>
      <w:autoSpaceDN w:val="0"/>
      <w:adjustRightInd w:val="0"/>
      <w:ind w:left="285" w:hanging="285"/>
      <w:textAlignment w:val="baseline"/>
    </w:pPr>
    <w:rPr>
      <w:rFonts w:ascii="Times New Roman" w:hAnsi="Times New Roman"/>
      <w:noProof/>
      <w:color w:val="000000"/>
      <w:sz w:val="24"/>
      <w:lang w:eastAsia="es-ES"/>
    </w:rPr>
  </w:style>
  <w:style w:type="paragraph" w:customStyle="1" w:styleId="TextePreci">
    <w:name w:val="TextePreci"/>
    <w:basedOn w:val="Normal"/>
    <w:rsid w:val="00091258"/>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pPr>
    <w:rPr>
      <w:rFonts w:ascii="Arial" w:hAnsi="Arial"/>
      <w:noProof/>
      <w:color w:val="000000"/>
      <w:sz w:val="18"/>
      <w:lang w:eastAsia="es-ES"/>
    </w:rPr>
  </w:style>
  <w:style w:type="paragraph" w:customStyle="1" w:styleId="TexteSecond">
    <w:name w:val="TexteSecond"/>
    <w:basedOn w:val="Normal"/>
    <w:rsid w:val="00091258"/>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pPr>
    <w:rPr>
      <w:rFonts w:ascii="Arial" w:hAnsi="Arial"/>
      <w:noProof/>
      <w:color w:val="000000"/>
      <w:sz w:val="18"/>
      <w:lang w:eastAsia="es-ES"/>
    </w:rPr>
  </w:style>
  <w:style w:type="paragraph" w:customStyle="1" w:styleId="TexteSecondNonRet">
    <w:name w:val="TexteSecondNonRet"/>
    <w:basedOn w:val="Normal"/>
    <w:rsid w:val="00091258"/>
    <w:pPr>
      <w:overflowPunct w:val="0"/>
      <w:autoSpaceDE w:val="0"/>
      <w:autoSpaceDN w:val="0"/>
      <w:adjustRightInd w:val="0"/>
      <w:jc w:val="both"/>
      <w:textAlignment w:val="baseline"/>
    </w:pPr>
    <w:rPr>
      <w:rFonts w:ascii="Arial" w:hAnsi="Arial"/>
      <w:noProof/>
      <w:color w:val="000000"/>
      <w:sz w:val="18"/>
      <w:lang w:eastAsia="es-ES"/>
    </w:rPr>
  </w:style>
  <w:style w:type="paragraph" w:customStyle="1" w:styleId="Title1">
    <w:name w:val="Title1"/>
    <w:basedOn w:val="Normal"/>
    <w:rsid w:val="00091258"/>
    <w:pPr>
      <w:keepNext/>
      <w:overflowPunct w:val="0"/>
      <w:autoSpaceDE w:val="0"/>
      <w:autoSpaceDN w:val="0"/>
      <w:adjustRightInd w:val="0"/>
      <w:spacing w:before="480" w:after="240" w:line="360" w:lineRule="atLeast"/>
      <w:jc w:val="center"/>
      <w:textAlignment w:val="baseline"/>
    </w:pPr>
    <w:rPr>
      <w:rFonts w:ascii="Times New Roman" w:hAnsi="Times New Roman"/>
      <w:b/>
      <w:noProof/>
      <w:color w:val="000000"/>
      <w:sz w:val="36"/>
      <w:lang w:eastAsia="es-ES"/>
    </w:rPr>
  </w:style>
  <w:style w:type="paragraph" w:customStyle="1" w:styleId="Titre1">
    <w:name w:val="Titre 1"/>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pPr>
    <w:rPr>
      <w:rFonts w:ascii="Times New Roman" w:hAnsi="Times New Roman"/>
      <w:b/>
      <w:noProof/>
      <w:color w:val="000000"/>
      <w:sz w:val="48"/>
      <w:lang w:eastAsia="es-ES"/>
    </w:rPr>
  </w:style>
  <w:style w:type="paragraph" w:customStyle="1" w:styleId="Titre1Intro">
    <w:name w:val="Titre 1 Intro"/>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pPr>
    <w:rPr>
      <w:rFonts w:ascii="Times New Roman" w:hAnsi="Times New Roman"/>
      <w:b/>
      <w:noProof/>
      <w:color w:val="000000"/>
      <w:sz w:val="32"/>
      <w:lang w:eastAsia="es-ES"/>
    </w:rPr>
  </w:style>
  <w:style w:type="paragraph" w:customStyle="1" w:styleId="Titre10Bis">
    <w:name w:val="Titre 10 Bis"/>
    <w:basedOn w:val="Normal"/>
    <w:rsid w:val="00091258"/>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pPr>
    <w:rPr>
      <w:rFonts w:ascii="Times New Roman" w:hAnsi="Times New Roman"/>
      <w:b/>
      <w:noProof/>
      <w:color w:val="0000FF"/>
      <w:sz w:val="28"/>
      <w:lang w:eastAsia="es-ES"/>
    </w:rPr>
  </w:style>
  <w:style w:type="paragraph" w:customStyle="1" w:styleId="Titre11">
    <w:name w:val="Titre 11"/>
    <w:basedOn w:val="Normal"/>
    <w:rsid w:val="00091258"/>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pPr>
    <w:rPr>
      <w:rFonts w:ascii="Times New Roman" w:hAnsi="Times New Roman"/>
      <w:b/>
      <w:noProof/>
      <w:color w:val="000000"/>
      <w:sz w:val="24"/>
      <w:lang w:eastAsia="es-ES"/>
    </w:rPr>
  </w:style>
  <w:style w:type="paragraph" w:customStyle="1" w:styleId="Titre2">
    <w:name w:val="Titre 2"/>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pPr>
    <w:rPr>
      <w:rFonts w:ascii="Times New Roman" w:hAnsi="Times New Roman"/>
      <w:b/>
      <w:noProof/>
      <w:color w:val="000000"/>
      <w:sz w:val="48"/>
      <w:lang w:eastAsia="es-ES"/>
    </w:rPr>
  </w:style>
  <w:style w:type="paragraph" w:customStyle="1" w:styleId="Titre2bis">
    <w:name w:val="Titre 2 bis"/>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pPr>
    <w:rPr>
      <w:rFonts w:ascii="Times New Roman" w:hAnsi="Times New Roman"/>
      <w:b/>
      <w:noProof/>
      <w:color w:val="000000"/>
      <w:sz w:val="48"/>
      <w:lang w:eastAsia="es-ES"/>
    </w:rPr>
  </w:style>
  <w:style w:type="paragraph" w:customStyle="1" w:styleId="Titre2Intro">
    <w:name w:val="Titre 2 Intro"/>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jc w:val="center"/>
      <w:textAlignment w:val="baseline"/>
    </w:pPr>
    <w:rPr>
      <w:rFonts w:ascii="Times New Roman" w:hAnsi="Times New Roman"/>
      <w:b/>
      <w:noProof/>
      <w:color w:val="000000"/>
      <w:sz w:val="32"/>
      <w:lang w:eastAsia="es-ES"/>
    </w:rPr>
  </w:style>
  <w:style w:type="paragraph" w:customStyle="1" w:styleId="Titre3">
    <w:name w:val="Titre 3"/>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pPr>
    <w:rPr>
      <w:rFonts w:ascii="Times New Roman" w:hAnsi="Times New Roman"/>
      <w:b/>
      <w:noProof/>
      <w:color w:val="000000"/>
      <w:sz w:val="32"/>
      <w:lang w:eastAsia="es-ES"/>
    </w:rPr>
  </w:style>
  <w:style w:type="paragraph" w:customStyle="1" w:styleId="Titre3Bis">
    <w:name w:val="Titre 3 Bis"/>
    <w:basedOn w:val="Normal"/>
    <w:rsid w:val="00091258"/>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pPr>
    <w:rPr>
      <w:rFonts w:ascii="Times New Roman" w:hAnsi="Times New Roman"/>
      <w:b/>
      <w:noProof/>
      <w:color w:val="000000"/>
      <w:sz w:val="32"/>
      <w:lang w:eastAsia="es-ES"/>
    </w:rPr>
  </w:style>
  <w:style w:type="paragraph" w:customStyle="1" w:styleId="Titre3Intro">
    <w:name w:val="Titre 3 Intro"/>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pPr>
    <w:rPr>
      <w:rFonts w:ascii="Arial" w:hAnsi="Arial"/>
      <w:b/>
      <w:noProof/>
      <w:color w:val="000000"/>
      <w:sz w:val="24"/>
      <w:lang w:eastAsia="es-ES"/>
    </w:rPr>
  </w:style>
  <w:style w:type="paragraph" w:customStyle="1" w:styleId="Titre4">
    <w:name w:val="Titre 4"/>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jc w:val="center"/>
      <w:textAlignment w:val="baseline"/>
    </w:pPr>
    <w:rPr>
      <w:rFonts w:ascii="Times New Roman" w:hAnsi="Times New Roman"/>
      <w:b/>
      <w:noProof/>
      <w:color w:val="000000"/>
      <w:sz w:val="28"/>
      <w:lang w:eastAsia="es-ES"/>
    </w:rPr>
  </w:style>
  <w:style w:type="paragraph" w:customStyle="1" w:styleId="Titre4Intro">
    <w:name w:val="Titre 4 Intro"/>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pPr>
    <w:rPr>
      <w:rFonts w:ascii="Arial" w:hAnsi="Arial"/>
      <w:b/>
      <w:noProof/>
      <w:color w:val="000000"/>
      <w:sz w:val="24"/>
      <w:lang w:eastAsia="es-ES"/>
    </w:rPr>
  </w:style>
  <w:style w:type="paragraph" w:customStyle="1" w:styleId="Titre5">
    <w:name w:val="Titre 5"/>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pPr>
    <w:rPr>
      <w:rFonts w:ascii="Times New Roman" w:hAnsi="Times New Roman"/>
      <w:b/>
      <w:noProof/>
      <w:color w:val="000000"/>
      <w:sz w:val="28"/>
      <w:lang w:eastAsia="es-ES"/>
    </w:rPr>
  </w:style>
  <w:style w:type="paragraph" w:customStyle="1" w:styleId="Titre6">
    <w:name w:val="Titre 6"/>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pPr>
    <w:rPr>
      <w:rFonts w:ascii="Times New Roman" w:hAnsi="Times New Roman"/>
      <w:b/>
      <w:noProof/>
      <w:color w:val="000000"/>
      <w:sz w:val="28"/>
      <w:lang w:eastAsia="es-ES"/>
    </w:rPr>
  </w:style>
  <w:style w:type="paragraph" w:customStyle="1" w:styleId="Titre7">
    <w:name w:val="Titre 7"/>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jc w:val="center"/>
      <w:textAlignment w:val="baseline"/>
    </w:pPr>
    <w:rPr>
      <w:rFonts w:ascii="Times New Roman" w:hAnsi="Times New Roman"/>
      <w:b/>
      <w:noProof/>
      <w:color w:val="000000"/>
      <w:sz w:val="24"/>
      <w:lang w:eastAsia="es-ES"/>
    </w:rPr>
  </w:style>
  <w:style w:type="paragraph" w:customStyle="1" w:styleId="Titre8">
    <w:name w:val="Titre 8"/>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jc w:val="center"/>
      <w:textAlignment w:val="baseline"/>
    </w:pPr>
    <w:rPr>
      <w:rFonts w:ascii="Times New Roman" w:hAnsi="Times New Roman"/>
      <w:b/>
      <w:noProof/>
      <w:color w:val="000000"/>
      <w:sz w:val="20"/>
      <w:lang w:eastAsia="es-ES"/>
    </w:rPr>
  </w:style>
  <w:style w:type="paragraph" w:customStyle="1" w:styleId="Titre9">
    <w:name w:val="Titre 9"/>
    <w:basedOn w:val="Normal"/>
    <w:rsid w:val="00091258"/>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pPr>
    <w:rPr>
      <w:rFonts w:ascii="Times New Roman" w:hAnsi="Times New Roman"/>
      <w:b/>
      <w:noProof/>
      <w:color w:val="FFFF00"/>
      <w:sz w:val="28"/>
      <w:lang w:eastAsia="es-ES"/>
    </w:rPr>
  </w:style>
  <w:style w:type="paragraph" w:customStyle="1" w:styleId="Titre9Bis">
    <w:name w:val="Titre 9 Bis"/>
    <w:basedOn w:val="Normal"/>
    <w:rsid w:val="00091258"/>
    <w:pPr>
      <w:keepNext/>
      <w:overflowPunct w:val="0"/>
      <w:autoSpaceDE w:val="0"/>
      <w:autoSpaceDN w:val="0"/>
      <w:adjustRightInd w:val="0"/>
      <w:jc w:val="both"/>
      <w:textAlignment w:val="baseline"/>
    </w:pPr>
    <w:rPr>
      <w:rFonts w:ascii="Times New Roman" w:hAnsi="Times New Roman"/>
      <w:noProof/>
      <w:color w:val="000000"/>
      <w:sz w:val="24"/>
      <w:lang w:eastAsia="es-ES"/>
    </w:rPr>
  </w:style>
  <w:style w:type="paragraph" w:customStyle="1" w:styleId="TitreTableau">
    <w:name w:val="TitreTableau"/>
    <w:basedOn w:val="Normal"/>
    <w:rsid w:val="00091258"/>
    <w:pPr>
      <w:overflowPunct w:val="0"/>
      <w:autoSpaceDE w:val="0"/>
      <w:autoSpaceDN w:val="0"/>
      <w:adjustRightInd w:val="0"/>
      <w:ind w:left="285"/>
      <w:textAlignment w:val="baseline"/>
    </w:pPr>
    <w:rPr>
      <w:rFonts w:ascii="Times New Roman" w:hAnsi="Times New Roman"/>
      <w:b/>
      <w:noProof/>
      <w:color w:val="000000"/>
      <w:sz w:val="20"/>
      <w:lang w:eastAsia="es-ES"/>
    </w:rPr>
  </w:style>
  <w:style w:type="paragraph" w:customStyle="1" w:styleId="TM">
    <w:name w:val="TM"/>
    <w:basedOn w:val="Normal"/>
    <w:rsid w:val="00091258"/>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pPr>
    <w:rPr>
      <w:rFonts w:ascii="Times New Roman" w:hAnsi="Times New Roman"/>
      <w:noProof/>
      <w:color w:val="0000FF"/>
      <w:sz w:val="26"/>
      <w:lang w:eastAsia="es-ES"/>
    </w:rPr>
  </w:style>
  <w:style w:type="paragraph" w:customStyle="1" w:styleId="Tniv">
    <w:name w:val="Tniv"/>
    <w:basedOn w:val="Normal"/>
    <w:rsid w:val="00091258"/>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pPr>
    <w:rPr>
      <w:rFonts w:ascii="Times New Roman" w:hAnsi="Times New Roman"/>
      <w:b/>
      <w:noProof/>
      <w:color w:val="000000"/>
      <w:sz w:val="24"/>
      <w:lang w:eastAsia="es-ES"/>
    </w:rPr>
  </w:style>
  <w:style w:type="paragraph" w:customStyle="1" w:styleId="TnivIntro">
    <w:name w:val="Tniv Intro"/>
    <w:basedOn w:val="Normal"/>
    <w:rsid w:val="00091258"/>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pPr>
    <w:rPr>
      <w:rFonts w:ascii="Times New Roman" w:hAnsi="Times New Roman"/>
      <w:b/>
      <w:noProof/>
      <w:color w:val="000000"/>
      <w:sz w:val="24"/>
      <w:lang w:eastAsia="es-ES"/>
    </w:rPr>
  </w:style>
  <w:style w:type="paragraph" w:customStyle="1" w:styleId="TP">
    <w:name w:val="TP"/>
    <w:basedOn w:val="Normal"/>
    <w:rsid w:val="00091258"/>
    <w:pPr>
      <w:overflowPunct w:val="0"/>
      <w:autoSpaceDE w:val="0"/>
      <w:autoSpaceDN w:val="0"/>
      <w:adjustRightInd w:val="0"/>
      <w:spacing w:before="100"/>
      <w:jc w:val="both"/>
      <w:textAlignment w:val="baseline"/>
    </w:pPr>
    <w:rPr>
      <w:rFonts w:ascii="Times New Roman" w:hAnsi="Times New Roman"/>
      <w:noProof/>
      <w:color w:val="000000"/>
      <w:sz w:val="24"/>
      <w:lang w:eastAsia="es-ES"/>
    </w:rPr>
  </w:style>
  <w:style w:type="paragraph" w:customStyle="1" w:styleId="Tpc">
    <w:name w:val="Tpc"/>
    <w:basedOn w:val="Normal"/>
    <w:rsid w:val="00091258"/>
    <w:pPr>
      <w:overflowPunct w:val="0"/>
      <w:autoSpaceDE w:val="0"/>
      <w:autoSpaceDN w:val="0"/>
      <w:adjustRightInd w:val="0"/>
      <w:ind w:left="433"/>
      <w:jc w:val="both"/>
      <w:textAlignment w:val="baseline"/>
    </w:pPr>
    <w:rPr>
      <w:rFonts w:ascii="Arial" w:hAnsi="Arial"/>
      <w:b/>
      <w:noProof/>
      <w:color w:val="000000"/>
      <w:sz w:val="20"/>
      <w:lang w:eastAsia="es-ES"/>
    </w:rPr>
  </w:style>
  <w:style w:type="character" w:customStyle="1" w:styleId="Emphasis1">
    <w:name w:val="Emphasis1"/>
    <w:rsid w:val="00091258"/>
    <w:rPr>
      <w:i/>
    </w:rPr>
  </w:style>
  <w:style w:type="character" w:customStyle="1" w:styleId="EquationVariables">
    <w:name w:val="EquationVariables"/>
    <w:rsid w:val="00091258"/>
    <w:rPr>
      <w:i/>
    </w:rPr>
  </w:style>
  <w:style w:type="character" w:customStyle="1" w:styleId="Euro">
    <w:name w:val="Euro"/>
    <w:rsid w:val="00091258"/>
    <w:rPr>
      <w:rFonts w:ascii="Times" w:hAnsi="Times"/>
      <w:sz w:val="24"/>
    </w:rPr>
  </w:style>
  <w:style w:type="character" w:customStyle="1" w:styleId="euro0">
    <w:name w:val="euro"/>
    <w:rsid w:val="00091258"/>
    <w:rPr>
      <w:rFonts w:ascii="Times New Roman" w:hAnsi="Times New Roman"/>
      <w:color w:val="000000"/>
      <w:sz w:val="22"/>
    </w:rPr>
  </w:style>
  <w:style w:type="character" w:customStyle="1" w:styleId="FmArial">
    <w:name w:val="FmArial"/>
    <w:rsid w:val="00091258"/>
    <w:rPr>
      <w:rFonts w:ascii="Arial" w:hAnsi="Arial"/>
      <w:sz w:val="24"/>
    </w:rPr>
  </w:style>
  <w:style w:type="character" w:customStyle="1" w:styleId="FmSymbol">
    <w:name w:val="FmSymbol"/>
    <w:rsid w:val="00091258"/>
    <w:rPr>
      <w:rFonts w:ascii="Symbol" w:hAnsi="Symbol"/>
      <w:sz w:val="24"/>
    </w:rPr>
  </w:style>
  <w:style w:type="character" w:customStyle="1" w:styleId="FmWingdings">
    <w:name w:val="FmWingdings"/>
    <w:rsid w:val="00091258"/>
    <w:rPr>
      <w:rFonts w:ascii="Wingdings" w:hAnsi="Wingdings"/>
      <w:sz w:val="24"/>
    </w:rPr>
  </w:style>
  <w:style w:type="character" w:customStyle="1" w:styleId="Gras">
    <w:name w:val="Gras"/>
    <w:rsid w:val="00091258"/>
    <w:rPr>
      <w:rFonts w:ascii="Arial" w:hAnsi="Arial"/>
      <w:b/>
      <w:sz w:val="24"/>
    </w:rPr>
  </w:style>
  <w:style w:type="character" w:customStyle="1" w:styleId="GrasItal">
    <w:name w:val="GrasItal"/>
    <w:rsid w:val="00091258"/>
    <w:rPr>
      <w:rFonts w:ascii="Arial" w:hAnsi="Arial"/>
      <w:b/>
      <w:i/>
      <w:sz w:val="24"/>
    </w:rPr>
  </w:style>
  <w:style w:type="character" w:customStyle="1" w:styleId="Refdoc">
    <w:name w:val="Refdoc"/>
    <w:basedOn w:val="Fuentedeprrafopredeter"/>
    <w:rsid w:val="00091258"/>
  </w:style>
  <w:style w:type="character" w:customStyle="1" w:styleId="Rtx">
    <w:name w:val="Rtx"/>
    <w:basedOn w:val="Fuentedeprrafopredeter"/>
    <w:rsid w:val="00091258"/>
  </w:style>
  <w:style w:type="character" w:customStyle="1" w:styleId="Sno">
    <w:name w:val="Sno"/>
    <w:rsid w:val="00091258"/>
    <w:rPr>
      <w:rFonts w:ascii="Times" w:hAnsi="Times"/>
      <w:sz w:val="18"/>
    </w:rPr>
  </w:style>
  <w:style w:type="paragraph" w:customStyle="1" w:styleId="xl27">
    <w:name w:val="xl27"/>
    <w:basedOn w:val="Normal"/>
    <w:rsid w:val="00091258"/>
    <w:pPr>
      <w:spacing w:before="100" w:beforeAutospacing="1" w:after="100" w:afterAutospacing="1"/>
      <w:jc w:val="center"/>
    </w:pPr>
    <w:rPr>
      <w:rFonts w:ascii="Frutiger-Bold" w:eastAsia="Arial Unicode MS" w:hAnsi="Frutiger-Bold" w:cs="Arial Unicode MS"/>
      <w:sz w:val="16"/>
      <w:szCs w:val="16"/>
      <w:lang w:eastAsia="es-ES"/>
    </w:rPr>
  </w:style>
  <w:style w:type="paragraph" w:customStyle="1" w:styleId="sangrado1">
    <w:name w:val="sangrado1"/>
    <w:basedOn w:val="Normal"/>
    <w:rsid w:val="00091258"/>
    <w:pPr>
      <w:ind w:left="709" w:hanging="709"/>
      <w:jc w:val="both"/>
    </w:pPr>
    <w:rPr>
      <w:rFonts w:ascii="Univers" w:hAnsi="Univers"/>
      <w:lang w:eastAsia="es-ES"/>
    </w:rPr>
  </w:style>
  <w:style w:type="paragraph" w:customStyle="1" w:styleId="sangrado2">
    <w:name w:val="sangrado2"/>
    <w:basedOn w:val="Normal"/>
    <w:rsid w:val="00091258"/>
    <w:pPr>
      <w:ind w:left="1418" w:hanging="709"/>
      <w:jc w:val="both"/>
    </w:pPr>
    <w:rPr>
      <w:rFonts w:ascii="Univers" w:hAnsi="Univers"/>
      <w:lang w:eastAsia="es-ES"/>
    </w:rPr>
  </w:style>
  <w:style w:type="table" w:styleId="Tablaconcuadrcula">
    <w:name w:val="Table Grid"/>
    <w:basedOn w:val="Tablanormal"/>
    <w:rsid w:val="00CB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047D3"/>
    <w:rPr>
      <w:rFonts w:ascii="Courier New" w:hAnsi="Courier New" w:cs="Courier New"/>
      <w:sz w:val="20"/>
      <w:lang w:eastAsia="es-ES"/>
    </w:rPr>
  </w:style>
  <w:style w:type="paragraph" w:styleId="Asuntodelcomentario">
    <w:name w:val="annotation subject"/>
    <w:basedOn w:val="Textocomentario"/>
    <w:next w:val="Textocomentario"/>
    <w:link w:val="AsuntodelcomentarioCar"/>
    <w:semiHidden/>
    <w:rsid w:val="001B4FAB"/>
    <w:pPr>
      <w:spacing w:line="240" w:lineRule="auto"/>
    </w:pPr>
    <w:rPr>
      <w:rFonts w:ascii="CG Omega" w:hAnsi="CG Omega"/>
      <w:b/>
      <w:bCs/>
      <w:lang w:val="es-ES"/>
    </w:rPr>
  </w:style>
  <w:style w:type="paragraph" w:customStyle="1" w:styleId="F2-normal">
    <w:name w:val="_F2-normal"/>
    <w:basedOn w:val="Normal"/>
    <w:rsid w:val="00FB0144"/>
    <w:pPr>
      <w:tabs>
        <w:tab w:val="left" w:pos="567"/>
      </w:tabs>
      <w:jc w:val="both"/>
    </w:pPr>
    <w:rPr>
      <w:rFonts w:ascii="CG Omega (W1)" w:hAnsi="CG Omega (W1)"/>
    </w:rPr>
  </w:style>
  <w:style w:type="paragraph" w:styleId="NormalWeb">
    <w:name w:val="Normal (Web)"/>
    <w:basedOn w:val="Normal"/>
    <w:uiPriority w:val="99"/>
    <w:rsid w:val="005C15F4"/>
    <w:pPr>
      <w:spacing w:before="100" w:beforeAutospacing="1" w:after="100" w:afterAutospacing="1"/>
    </w:pPr>
    <w:rPr>
      <w:rFonts w:ascii="Times New Roman" w:hAnsi="Times New Roman"/>
      <w:sz w:val="24"/>
      <w:szCs w:val="24"/>
      <w:lang w:eastAsia="es-ES"/>
    </w:rPr>
  </w:style>
  <w:style w:type="paragraph" w:customStyle="1" w:styleId="PARRAFO1">
    <w:name w:val="PARRAFO1"/>
    <w:basedOn w:val="Normal"/>
    <w:rsid w:val="005C15F4"/>
    <w:pPr>
      <w:spacing w:before="120" w:after="120" w:line="360" w:lineRule="exact"/>
      <w:ind w:firstLine="284"/>
      <w:jc w:val="both"/>
    </w:pPr>
    <w:rPr>
      <w:rFonts w:ascii="Times New Roman" w:hAnsi="Times New Roman"/>
      <w:sz w:val="24"/>
      <w:lang w:eastAsia="es-ES"/>
    </w:rPr>
  </w:style>
  <w:style w:type="paragraph" w:styleId="Prrafodelista">
    <w:name w:val="List Paragraph"/>
    <w:basedOn w:val="Normal"/>
    <w:qFormat/>
    <w:rsid w:val="005C15F4"/>
    <w:pPr>
      <w:ind w:left="708"/>
    </w:pPr>
    <w:rPr>
      <w:rFonts w:ascii="Times New Roman" w:hAnsi="Times New Roman"/>
      <w:sz w:val="20"/>
    </w:rPr>
  </w:style>
  <w:style w:type="character" w:customStyle="1" w:styleId="PiedepginaCar">
    <w:name w:val="Pie de página Car"/>
    <w:link w:val="Piedepgina"/>
    <w:uiPriority w:val="99"/>
    <w:rsid w:val="0042579D"/>
    <w:rPr>
      <w:rFonts w:ascii="CG Omega" w:hAnsi="CG Omega"/>
      <w:sz w:val="22"/>
      <w:lang w:eastAsia="en-US"/>
    </w:rPr>
  </w:style>
  <w:style w:type="paragraph" w:styleId="Puesto">
    <w:name w:val="Title"/>
    <w:basedOn w:val="Normal"/>
    <w:link w:val="PuestoCar"/>
    <w:qFormat/>
    <w:rsid w:val="002020E9"/>
    <w:pPr>
      <w:jc w:val="center"/>
    </w:pPr>
    <w:rPr>
      <w:rFonts w:ascii="Arial" w:hAnsi="Arial"/>
      <w:b/>
      <w:i/>
      <w:u w:val="single"/>
    </w:rPr>
  </w:style>
  <w:style w:type="character" w:customStyle="1" w:styleId="PuestoCar">
    <w:name w:val="Puesto Car"/>
    <w:link w:val="Puesto"/>
    <w:rsid w:val="002020E9"/>
    <w:rPr>
      <w:rFonts w:ascii="Arial" w:hAnsi="Arial"/>
      <w:b/>
      <w:i/>
      <w:sz w:val="22"/>
      <w:u w:val="single"/>
      <w:lang w:val="es-ES_tradnl"/>
    </w:rPr>
  </w:style>
  <w:style w:type="character" w:customStyle="1" w:styleId="TextocomentarioCar">
    <w:name w:val="Texto comentario Car"/>
    <w:link w:val="Textocomentario"/>
    <w:uiPriority w:val="99"/>
    <w:semiHidden/>
    <w:rsid w:val="0081684B"/>
    <w:rPr>
      <w:rFonts w:ascii="Arial" w:hAnsi="Arial"/>
      <w:lang w:val="fr-FR" w:eastAsia="en-US"/>
    </w:rPr>
  </w:style>
  <w:style w:type="paragraph" w:customStyle="1" w:styleId="BDONormal">
    <w:name w:val="BDO_Normal"/>
    <w:rsid w:val="00344831"/>
    <w:rPr>
      <w:rFonts w:ascii="Trebuchet MS" w:hAnsi="Trebuchet MS"/>
      <w:szCs w:val="24"/>
      <w:lang w:val="en-GB" w:eastAsia="en-GB"/>
    </w:rPr>
  </w:style>
  <w:style w:type="paragraph" w:customStyle="1" w:styleId="BDOAddress">
    <w:name w:val="BDO_Address"/>
    <w:basedOn w:val="BDONormal"/>
    <w:rsid w:val="00344831"/>
    <w:pPr>
      <w:spacing w:line="170" w:lineRule="exact"/>
    </w:pPr>
    <w:rPr>
      <w:color w:val="786860"/>
      <w:sz w:val="16"/>
    </w:rPr>
  </w:style>
  <w:style w:type="paragraph" w:customStyle="1" w:styleId="BDOAddressBold">
    <w:name w:val="BDO_Address (Bold)"/>
    <w:basedOn w:val="BDOAddress"/>
    <w:rsid w:val="00344831"/>
    <w:rPr>
      <w:b/>
    </w:rPr>
  </w:style>
  <w:style w:type="paragraph" w:customStyle="1" w:styleId="BDOFooter">
    <w:name w:val="BDO_Footer"/>
    <w:basedOn w:val="BDONormal"/>
    <w:rsid w:val="00344831"/>
    <w:pPr>
      <w:spacing w:line="144" w:lineRule="exact"/>
    </w:pPr>
    <w:rPr>
      <w:color w:val="786860"/>
      <w:sz w:val="12"/>
    </w:rPr>
  </w:style>
  <w:style w:type="character" w:customStyle="1" w:styleId="EncabezadoCar">
    <w:name w:val="Encabezado Car"/>
    <w:basedOn w:val="Fuentedeprrafopredeter"/>
    <w:link w:val="Encabezado"/>
    <w:uiPriority w:val="99"/>
    <w:rsid w:val="00E24C75"/>
    <w:rPr>
      <w:rFonts w:ascii="CG Omega" w:hAnsi="CG Omega"/>
      <w:sz w:val="22"/>
      <w:lang w:eastAsia="en-US"/>
    </w:rPr>
  </w:style>
  <w:style w:type="paragraph" w:styleId="Lista">
    <w:name w:val="List"/>
    <w:basedOn w:val="Normal"/>
    <w:unhideWhenUsed/>
    <w:rsid w:val="00D6097D"/>
    <w:pPr>
      <w:ind w:left="283" w:hanging="283"/>
      <w:contextualSpacing/>
    </w:pPr>
  </w:style>
  <w:style w:type="paragraph" w:styleId="Lista2">
    <w:name w:val="List 2"/>
    <w:basedOn w:val="Normal"/>
    <w:unhideWhenUsed/>
    <w:rsid w:val="00D6097D"/>
    <w:pPr>
      <w:ind w:left="566" w:hanging="283"/>
      <w:contextualSpacing/>
    </w:pPr>
  </w:style>
  <w:style w:type="paragraph" w:styleId="Lista3">
    <w:name w:val="List 3"/>
    <w:basedOn w:val="Normal"/>
    <w:unhideWhenUsed/>
    <w:rsid w:val="00D6097D"/>
    <w:pPr>
      <w:ind w:left="849" w:hanging="283"/>
      <w:contextualSpacing/>
    </w:pPr>
  </w:style>
  <w:style w:type="paragraph" w:styleId="Lista4">
    <w:name w:val="List 4"/>
    <w:basedOn w:val="Normal"/>
    <w:rsid w:val="00D6097D"/>
    <w:pPr>
      <w:ind w:left="1132" w:hanging="283"/>
      <w:contextualSpacing/>
    </w:pPr>
  </w:style>
  <w:style w:type="paragraph" w:styleId="Saludo">
    <w:name w:val="Salutation"/>
    <w:basedOn w:val="Normal"/>
    <w:next w:val="Normal"/>
    <w:link w:val="SaludoCar"/>
    <w:rsid w:val="00D6097D"/>
  </w:style>
  <w:style w:type="character" w:customStyle="1" w:styleId="SaludoCar">
    <w:name w:val="Saludo Car"/>
    <w:basedOn w:val="Fuentedeprrafopredeter"/>
    <w:link w:val="Saludo"/>
    <w:rsid w:val="00D6097D"/>
    <w:rPr>
      <w:rFonts w:ascii="CG Omega" w:hAnsi="CG Omega"/>
      <w:sz w:val="22"/>
      <w:lang w:eastAsia="en-US"/>
    </w:rPr>
  </w:style>
  <w:style w:type="paragraph" w:styleId="Continuarlista">
    <w:name w:val="List Continue"/>
    <w:basedOn w:val="Normal"/>
    <w:unhideWhenUsed/>
    <w:rsid w:val="00D6097D"/>
    <w:pPr>
      <w:spacing w:after="120"/>
      <w:ind w:left="283"/>
      <w:contextualSpacing/>
    </w:pPr>
  </w:style>
  <w:style w:type="paragraph" w:styleId="Continuarlista2">
    <w:name w:val="List Continue 2"/>
    <w:basedOn w:val="Normal"/>
    <w:unhideWhenUsed/>
    <w:rsid w:val="00D6097D"/>
    <w:pPr>
      <w:spacing w:after="120"/>
      <w:ind w:left="566"/>
      <w:contextualSpacing/>
    </w:pPr>
  </w:style>
  <w:style w:type="paragraph" w:styleId="Continuarlista3">
    <w:name w:val="List Continue 3"/>
    <w:basedOn w:val="Normal"/>
    <w:unhideWhenUsed/>
    <w:rsid w:val="00D6097D"/>
    <w:pPr>
      <w:spacing w:after="120"/>
      <w:ind w:left="849"/>
      <w:contextualSpacing/>
    </w:pPr>
  </w:style>
  <w:style w:type="paragraph" w:styleId="Continuarlista4">
    <w:name w:val="List Continue 4"/>
    <w:basedOn w:val="Normal"/>
    <w:unhideWhenUsed/>
    <w:rsid w:val="00D6097D"/>
    <w:pPr>
      <w:spacing w:after="120"/>
      <w:ind w:left="1132"/>
      <w:contextualSpacing/>
    </w:pPr>
  </w:style>
  <w:style w:type="paragraph" w:customStyle="1" w:styleId="Direccininterior">
    <w:name w:val="Dirección interior"/>
    <w:basedOn w:val="Normal"/>
    <w:rsid w:val="00D6097D"/>
  </w:style>
  <w:style w:type="paragraph" w:customStyle="1" w:styleId="Lneadereferencia">
    <w:name w:val="Línea de referencia"/>
    <w:basedOn w:val="Textoindependiente"/>
    <w:rsid w:val="00D6097D"/>
  </w:style>
  <w:style w:type="paragraph" w:styleId="Textoindependienteprimerasangra2">
    <w:name w:val="Body Text First Indent 2"/>
    <w:basedOn w:val="Sangradetextonormal"/>
    <w:link w:val="Textoindependienteprimerasangra2Car"/>
    <w:unhideWhenUsed/>
    <w:rsid w:val="00D6097D"/>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snapToGrid/>
      <w:color w:val="auto"/>
      <w:sz w:val="22"/>
      <w:lang w:eastAsia="en-US"/>
    </w:rPr>
  </w:style>
  <w:style w:type="character" w:customStyle="1" w:styleId="SangradetextonormalCar">
    <w:name w:val="Sangría de texto normal Car"/>
    <w:basedOn w:val="Fuentedeprrafopredeter"/>
    <w:link w:val="Sangradetextonormal"/>
    <w:rsid w:val="00D6097D"/>
    <w:rPr>
      <w:rFonts w:ascii="CG Omega" w:hAnsi="CG Omega"/>
      <w:snapToGrid w:val="0"/>
      <w:color w:val="000000"/>
      <w:sz w:val="24"/>
    </w:rPr>
  </w:style>
  <w:style w:type="character" w:customStyle="1" w:styleId="Textoindependienteprimerasangra2Car">
    <w:name w:val="Texto independiente primera sangría 2 Car"/>
    <w:basedOn w:val="SangradetextonormalCar"/>
    <w:link w:val="Textoindependienteprimerasangra2"/>
    <w:rsid w:val="00D6097D"/>
    <w:rPr>
      <w:rFonts w:ascii="CG Omega" w:hAnsi="CG Omega"/>
      <w:snapToGrid/>
      <w:color w:val="000000"/>
      <w:sz w:val="22"/>
      <w:lang w:eastAsia="en-US"/>
    </w:rPr>
  </w:style>
  <w:style w:type="character" w:customStyle="1" w:styleId="TextoindependienteCar">
    <w:name w:val="Texto independiente Car"/>
    <w:basedOn w:val="Fuentedeprrafopredeter"/>
    <w:link w:val="Textoindependiente"/>
    <w:rsid w:val="00975B0F"/>
    <w:rPr>
      <w:rFonts w:ascii="CG Omega" w:hAnsi="CG Omega"/>
      <w:i/>
      <w:snapToGrid w:val="0"/>
      <w:color w:val="FF0000"/>
      <w:sz w:val="28"/>
    </w:rPr>
  </w:style>
  <w:style w:type="character" w:customStyle="1" w:styleId="Textoindependiente2Car">
    <w:name w:val="Texto independiente 2 Car"/>
    <w:basedOn w:val="Fuentedeprrafopredeter"/>
    <w:link w:val="Textoindependiente2"/>
    <w:rsid w:val="00975B0F"/>
    <w:rPr>
      <w:rFonts w:ascii="CG Omega" w:hAnsi="CG Omega"/>
      <w:i/>
      <w:snapToGrid w:val="0"/>
      <w:color w:val="000000"/>
      <w:sz w:val="22"/>
    </w:rPr>
  </w:style>
  <w:style w:type="paragraph" w:customStyle="1" w:styleId="Default">
    <w:name w:val="Default"/>
    <w:rsid w:val="002703C2"/>
    <w:pPr>
      <w:autoSpaceDE w:val="0"/>
      <w:autoSpaceDN w:val="0"/>
      <w:adjustRightInd w:val="0"/>
    </w:pPr>
    <w:rPr>
      <w:color w:val="000000"/>
      <w:sz w:val="24"/>
      <w:szCs w:val="24"/>
    </w:rPr>
  </w:style>
  <w:style w:type="paragraph" w:styleId="Revisin">
    <w:name w:val="Revision"/>
    <w:hidden/>
    <w:uiPriority w:val="99"/>
    <w:semiHidden/>
    <w:rsid w:val="00F24AEC"/>
    <w:rPr>
      <w:rFonts w:ascii="CG Omega" w:hAnsi="CG Omega"/>
      <w:sz w:val="22"/>
      <w:lang w:eastAsia="en-US"/>
    </w:rPr>
  </w:style>
  <w:style w:type="table" w:customStyle="1" w:styleId="Tablanormal41">
    <w:name w:val="Tabla normal 41"/>
    <w:basedOn w:val="Tablanormal"/>
    <w:uiPriority w:val="44"/>
    <w:rsid w:val="003D44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1clara1">
    <w:name w:val="Tabla de lista 1 clara1"/>
    <w:basedOn w:val="Tablanormal"/>
    <w:uiPriority w:val="46"/>
    <w:rsid w:val="003D44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anormal"/>
    <w:uiPriority w:val="40"/>
    <w:rsid w:val="002129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2129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rsid w:val="00F8785A"/>
    <w:rPr>
      <w:rFonts w:ascii="CG Omega" w:hAnsi="CG Omega"/>
      <w:snapToGrid w:val="0"/>
      <w:color w:val="000000"/>
      <w:sz w:val="24"/>
      <w:u w:val="single"/>
      <w:lang w:val="es-ES_tradnl"/>
    </w:rPr>
  </w:style>
  <w:style w:type="character" w:customStyle="1" w:styleId="Ttulo2Car">
    <w:name w:val="Título 2 Car"/>
    <w:basedOn w:val="Fuentedeprrafopredeter"/>
    <w:link w:val="Ttulo2"/>
    <w:rsid w:val="00F8785A"/>
    <w:rPr>
      <w:rFonts w:ascii="CG Omega" w:hAnsi="CG Omega"/>
      <w:b/>
      <w:snapToGrid w:val="0"/>
      <w:color w:val="000000"/>
      <w:sz w:val="22"/>
      <w:lang w:val="es-ES_tradnl"/>
    </w:rPr>
  </w:style>
  <w:style w:type="character" w:customStyle="1" w:styleId="Ttulo3Car">
    <w:name w:val="Título 3 Car"/>
    <w:basedOn w:val="Fuentedeprrafopredeter"/>
    <w:link w:val="Ttulo3"/>
    <w:rsid w:val="00F8785A"/>
    <w:rPr>
      <w:rFonts w:ascii="CG Omega" w:hAnsi="CG Omega"/>
      <w:snapToGrid w:val="0"/>
      <w:color w:val="000000"/>
      <w:sz w:val="28"/>
      <w:lang w:val="es-ES_tradnl"/>
    </w:rPr>
  </w:style>
  <w:style w:type="character" w:customStyle="1" w:styleId="Ttulo4Car">
    <w:name w:val="Título 4 Car"/>
    <w:basedOn w:val="Fuentedeprrafopredeter"/>
    <w:link w:val="Ttulo4"/>
    <w:rsid w:val="00F8785A"/>
    <w:rPr>
      <w:rFonts w:ascii="CG Omega" w:hAnsi="CG Omega"/>
      <w:snapToGrid w:val="0"/>
      <w:color w:val="000000"/>
      <w:sz w:val="22"/>
      <w:u w:val="single"/>
      <w:lang w:val="es-ES_tradnl"/>
    </w:rPr>
  </w:style>
  <w:style w:type="character" w:customStyle="1" w:styleId="Ttulo5Car">
    <w:name w:val="Título 5 Car"/>
    <w:basedOn w:val="Fuentedeprrafopredeter"/>
    <w:link w:val="Ttulo5"/>
    <w:rsid w:val="00F8785A"/>
    <w:rPr>
      <w:rFonts w:ascii="CG Omega" w:hAnsi="CG Omega"/>
      <w:b/>
      <w:snapToGrid w:val="0"/>
      <w:color w:val="000000"/>
      <w:sz w:val="22"/>
      <w:lang w:val="es-ES_tradnl"/>
    </w:rPr>
  </w:style>
  <w:style w:type="character" w:customStyle="1" w:styleId="Ttulo6Car">
    <w:name w:val="Título 6 Car"/>
    <w:basedOn w:val="Fuentedeprrafopredeter"/>
    <w:link w:val="Ttulo6"/>
    <w:rsid w:val="00F8785A"/>
    <w:rPr>
      <w:rFonts w:ascii="CG Omega" w:hAnsi="CG Omega"/>
      <w:b/>
      <w:snapToGrid w:val="0"/>
      <w:color w:val="000000"/>
      <w:lang w:val="es-ES_tradnl"/>
    </w:rPr>
  </w:style>
  <w:style w:type="character" w:customStyle="1" w:styleId="Ttulo7Car">
    <w:name w:val="Título 7 Car"/>
    <w:basedOn w:val="Fuentedeprrafopredeter"/>
    <w:link w:val="Ttulo7"/>
    <w:rsid w:val="00F8785A"/>
    <w:rPr>
      <w:rFonts w:ascii="CG Omega" w:hAnsi="CG Omega"/>
      <w:b/>
      <w:snapToGrid w:val="0"/>
      <w:color w:val="000000"/>
      <w:sz w:val="18"/>
      <w:lang w:val="es-ES_tradnl"/>
    </w:rPr>
  </w:style>
  <w:style w:type="character" w:customStyle="1" w:styleId="Ttulo8Car">
    <w:name w:val="Título 8 Car"/>
    <w:basedOn w:val="Fuentedeprrafopredeter"/>
    <w:link w:val="Ttulo8"/>
    <w:rsid w:val="00F8785A"/>
    <w:rPr>
      <w:rFonts w:ascii="CG Omega" w:hAnsi="CG Omega"/>
      <w:b/>
      <w:snapToGrid w:val="0"/>
      <w:color w:val="000000"/>
      <w:sz w:val="18"/>
      <w:u w:val="single"/>
      <w:lang w:val="es-ES_tradnl"/>
    </w:rPr>
  </w:style>
  <w:style w:type="character" w:customStyle="1" w:styleId="Ttulo9Car">
    <w:name w:val="Título 9 Car"/>
    <w:basedOn w:val="Fuentedeprrafopredeter"/>
    <w:link w:val="Ttulo9"/>
    <w:rsid w:val="00F8785A"/>
    <w:rPr>
      <w:rFonts w:ascii="CG Omega" w:hAnsi="CG Omega"/>
      <w:b/>
      <w:snapToGrid w:val="0"/>
      <w:color w:val="000000"/>
      <w:sz w:val="18"/>
      <w:lang w:val="es-ES_tradnl"/>
    </w:rPr>
  </w:style>
  <w:style w:type="character" w:customStyle="1" w:styleId="MapadeldocumentoCar">
    <w:name w:val="Mapa del documento Car"/>
    <w:basedOn w:val="Fuentedeprrafopredeter"/>
    <w:link w:val="Mapadeldocumento"/>
    <w:semiHidden/>
    <w:rsid w:val="00F8785A"/>
    <w:rPr>
      <w:rFonts w:ascii="Tahoma" w:hAnsi="Tahoma"/>
      <w:sz w:val="22"/>
      <w:shd w:val="clear" w:color="auto" w:fill="000080"/>
      <w:lang w:val="es-ES_tradnl" w:eastAsia="en-US"/>
    </w:rPr>
  </w:style>
  <w:style w:type="character" w:customStyle="1" w:styleId="Sangra2detindependienteCar">
    <w:name w:val="Sangría 2 de t. independiente Car"/>
    <w:basedOn w:val="Fuentedeprrafopredeter"/>
    <w:link w:val="Sangra2detindependiente"/>
    <w:rsid w:val="00F8785A"/>
    <w:rPr>
      <w:rFonts w:ascii="CG Omega" w:hAnsi="CG Omega"/>
      <w:snapToGrid w:val="0"/>
      <w:color w:val="000000"/>
      <w:sz w:val="22"/>
      <w:lang w:val="es-ES_tradnl"/>
    </w:rPr>
  </w:style>
  <w:style w:type="character" w:customStyle="1" w:styleId="Textoindependiente3Car">
    <w:name w:val="Texto independiente 3 Car"/>
    <w:basedOn w:val="Fuentedeprrafopredeter"/>
    <w:link w:val="Textoindependiente3"/>
    <w:rsid w:val="00F8785A"/>
    <w:rPr>
      <w:rFonts w:ascii="CG Omega" w:hAnsi="CG Omega"/>
      <w:i/>
      <w:snapToGrid w:val="0"/>
      <w:color w:val="000000"/>
      <w:sz w:val="22"/>
      <w:lang w:val="es-ES_tradnl"/>
    </w:rPr>
  </w:style>
  <w:style w:type="character" w:customStyle="1" w:styleId="Sangra3detindependienteCar">
    <w:name w:val="Sangría 3 de t. independiente Car"/>
    <w:basedOn w:val="Fuentedeprrafopredeter"/>
    <w:link w:val="Sangra3detindependiente"/>
    <w:rsid w:val="00F8785A"/>
    <w:rPr>
      <w:rFonts w:ascii="CG Omega" w:hAnsi="CG Omega"/>
      <w:snapToGrid w:val="0"/>
      <w:color w:val="000000"/>
      <w:sz w:val="22"/>
      <w:lang w:val="es-ES_tradnl"/>
    </w:rPr>
  </w:style>
  <w:style w:type="character" w:customStyle="1" w:styleId="TextonotapieCar">
    <w:name w:val="Texto nota pie Car"/>
    <w:basedOn w:val="Fuentedeprrafopredeter"/>
    <w:link w:val="Textonotapie"/>
    <w:semiHidden/>
    <w:rsid w:val="00F8785A"/>
    <w:rPr>
      <w:rFonts w:ascii="CG Omega" w:hAnsi="CG Omega"/>
      <w:lang w:val="es-ES_tradnl" w:eastAsia="en-US"/>
    </w:rPr>
  </w:style>
  <w:style w:type="character" w:customStyle="1" w:styleId="TextodegloboCar">
    <w:name w:val="Texto de globo Car"/>
    <w:basedOn w:val="Fuentedeprrafopredeter"/>
    <w:link w:val="Textodeglobo"/>
    <w:semiHidden/>
    <w:rsid w:val="00F8785A"/>
    <w:rPr>
      <w:rFonts w:ascii="Tahoma" w:hAnsi="Tahoma" w:cs="Tahoma"/>
      <w:sz w:val="16"/>
      <w:szCs w:val="16"/>
      <w:lang w:val="es-ES_tradnl" w:eastAsia="en-US"/>
    </w:rPr>
  </w:style>
  <w:style w:type="character" w:customStyle="1" w:styleId="TextonotaalfinalCar">
    <w:name w:val="Texto nota al final Car"/>
    <w:basedOn w:val="Fuentedeprrafopredeter"/>
    <w:link w:val="Textonotaalfinal"/>
    <w:semiHidden/>
    <w:rsid w:val="00F8785A"/>
    <w:rPr>
      <w:rFonts w:ascii="CG Omega" w:hAnsi="CG Omega"/>
      <w:lang w:val="es-ES_tradnl" w:eastAsia="en-US"/>
    </w:rPr>
  </w:style>
  <w:style w:type="character" w:customStyle="1" w:styleId="TextosinformatoCar">
    <w:name w:val="Texto sin formato Car"/>
    <w:basedOn w:val="Fuentedeprrafopredeter"/>
    <w:link w:val="Textosinformato"/>
    <w:rsid w:val="00F8785A"/>
    <w:rPr>
      <w:rFonts w:ascii="Courier New" w:hAnsi="Courier New" w:cs="Courier New"/>
      <w:lang w:val="es-ES_tradnl"/>
    </w:rPr>
  </w:style>
  <w:style w:type="character" w:customStyle="1" w:styleId="AsuntodelcomentarioCar">
    <w:name w:val="Asunto del comentario Car"/>
    <w:basedOn w:val="TextocomentarioCar"/>
    <w:link w:val="Asuntodelcomentario"/>
    <w:semiHidden/>
    <w:rsid w:val="00F8785A"/>
    <w:rPr>
      <w:rFonts w:ascii="CG Omega" w:hAnsi="CG Omega"/>
      <w:b/>
      <w:bCs/>
      <w:lang w:val="fr-FR" w:eastAsia="en-US"/>
    </w:rPr>
  </w:style>
  <w:style w:type="paragraph" w:styleId="Encabezadodemensaje">
    <w:name w:val="Message Header"/>
    <w:basedOn w:val="Normal"/>
    <w:link w:val="EncabezadodemensajeCar"/>
    <w:unhideWhenUsed/>
    <w:rsid w:val="00F878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s-ES"/>
    </w:rPr>
  </w:style>
  <w:style w:type="character" w:customStyle="1" w:styleId="EncabezadodemensajeCar">
    <w:name w:val="Encabezado de mensaje Car"/>
    <w:basedOn w:val="Fuentedeprrafopredeter"/>
    <w:link w:val="Encabezadodemensaje"/>
    <w:rsid w:val="00F8785A"/>
    <w:rPr>
      <w:rFonts w:asciiTheme="majorHAnsi" w:eastAsiaTheme="majorEastAsia" w:hAnsiTheme="majorHAnsi" w:cstheme="majorBidi"/>
      <w:sz w:val="24"/>
      <w:szCs w:val="24"/>
      <w:shd w:val="pct20" w:color="auto" w:fill="auto"/>
      <w:lang w:eastAsia="en-US"/>
    </w:rPr>
  </w:style>
  <w:style w:type="character" w:customStyle="1" w:styleId="Fuentedeprrafopredeter1">
    <w:name w:val="Fuente de párrafo predeter.1"/>
    <w:rsid w:val="00F9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067">
      <w:bodyDiv w:val="1"/>
      <w:marLeft w:val="0"/>
      <w:marRight w:val="0"/>
      <w:marTop w:val="0"/>
      <w:marBottom w:val="0"/>
      <w:divBdr>
        <w:top w:val="none" w:sz="0" w:space="0" w:color="auto"/>
        <w:left w:val="none" w:sz="0" w:space="0" w:color="auto"/>
        <w:bottom w:val="none" w:sz="0" w:space="0" w:color="auto"/>
        <w:right w:val="none" w:sz="0" w:space="0" w:color="auto"/>
      </w:divBdr>
    </w:div>
    <w:div w:id="9114305">
      <w:bodyDiv w:val="1"/>
      <w:marLeft w:val="0"/>
      <w:marRight w:val="0"/>
      <w:marTop w:val="0"/>
      <w:marBottom w:val="0"/>
      <w:divBdr>
        <w:top w:val="none" w:sz="0" w:space="0" w:color="auto"/>
        <w:left w:val="none" w:sz="0" w:space="0" w:color="auto"/>
        <w:bottom w:val="none" w:sz="0" w:space="0" w:color="auto"/>
        <w:right w:val="none" w:sz="0" w:space="0" w:color="auto"/>
      </w:divBdr>
    </w:div>
    <w:div w:id="11231574">
      <w:bodyDiv w:val="1"/>
      <w:marLeft w:val="0"/>
      <w:marRight w:val="0"/>
      <w:marTop w:val="0"/>
      <w:marBottom w:val="0"/>
      <w:divBdr>
        <w:top w:val="none" w:sz="0" w:space="0" w:color="auto"/>
        <w:left w:val="none" w:sz="0" w:space="0" w:color="auto"/>
        <w:bottom w:val="none" w:sz="0" w:space="0" w:color="auto"/>
        <w:right w:val="none" w:sz="0" w:space="0" w:color="auto"/>
      </w:divBdr>
    </w:div>
    <w:div w:id="14310993">
      <w:bodyDiv w:val="1"/>
      <w:marLeft w:val="0"/>
      <w:marRight w:val="0"/>
      <w:marTop w:val="0"/>
      <w:marBottom w:val="0"/>
      <w:divBdr>
        <w:top w:val="none" w:sz="0" w:space="0" w:color="auto"/>
        <w:left w:val="none" w:sz="0" w:space="0" w:color="auto"/>
        <w:bottom w:val="none" w:sz="0" w:space="0" w:color="auto"/>
        <w:right w:val="none" w:sz="0" w:space="0" w:color="auto"/>
      </w:divBdr>
    </w:div>
    <w:div w:id="15812317">
      <w:bodyDiv w:val="1"/>
      <w:marLeft w:val="0"/>
      <w:marRight w:val="0"/>
      <w:marTop w:val="0"/>
      <w:marBottom w:val="0"/>
      <w:divBdr>
        <w:top w:val="none" w:sz="0" w:space="0" w:color="auto"/>
        <w:left w:val="none" w:sz="0" w:space="0" w:color="auto"/>
        <w:bottom w:val="none" w:sz="0" w:space="0" w:color="auto"/>
        <w:right w:val="none" w:sz="0" w:space="0" w:color="auto"/>
      </w:divBdr>
    </w:div>
    <w:div w:id="15928669">
      <w:bodyDiv w:val="1"/>
      <w:marLeft w:val="0"/>
      <w:marRight w:val="0"/>
      <w:marTop w:val="0"/>
      <w:marBottom w:val="0"/>
      <w:divBdr>
        <w:top w:val="none" w:sz="0" w:space="0" w:color="auto"/>
        <w:left w:val="none" w:sz="0" w:space="0" w:color="auto"/>
        <w:bottom w:val="none" w:sz="0" w:space="0" w:color="auto"/>
        <w:right w:val="none" w:sz="0" w:space="0" w:color="auto"/>
      </w:divBdr>
    </w:div>
    <w:div w:id="20789853">
      <w:bodyDiv w:val="1"/>
      <w:marLeft w:val="0"/>
      <w:marRight w:val="0"/>
      <w:marTop w:val="0"/>
      <w:marBottom w:val="0"/>
      <w:divBdr>
        <w:top w:val="none" w:sz="0" w:space="0" w:color="auto"/>
        <w:left w:val="none" w:sz="0" w:space="0" w:color="auto"/>
        <w:bottom w:val="none" w:sz="0" w:space="0" w:color="auto"/>
        <w:right w:val="none" w:sz="0" w:space="0" w:color="auto"/>
      </w:divBdr>
    </w:div>
    <w:div w:id="25913641">
      <w:bodyDiv w:val="1"/>
      <w:marLeft w:val="0"/>
      <w:marRight w:val="0"/>
      <w:marTop w:val="0"/>
      <w:marBottom w:val="0"/>
      <w:divBdr>
        <w:top w:val="none" w:sz="0" w:space="0" w:color="auto"/>
        <w:left w:val="none" w:sz="0" w:space="0" w:color="auto"/>
        <w:bottom w:val="none" w:sz="0" w:space="0" w:color="auto"/>
        <w:right w:val="none" w:sz="0" w:space="0" w:color="auto"/>
      </w:divBdr>
    </w:div>
    <w:div w:id="30231292">
      <w:bodyDiv w:val="1"/>
      <w:marLeft w:val="0"/>
      <w:marRight w:val="0"/>
      <w:marTop w:val="0"/>
      <w:marBottom w:val="0"/>
      <w:divBdr>
        <w:top w:val="none" w:sz="0" w:space="0" w:color="auto"/>
        <w:left w:val="none" w:sz="0" w:space="0" w:color="auto"/>
        <w:bottom w:val="none" w:sz="0" w:space="0" w:color="auto"/>
        <w:right w:val="none" w:sz="0" w:space="0" w:color="auto"/>
      </w:divBdr>
    </w:div>
    <w:div w:id="33626951">
      <w:bodyDiv w:val="1"/>
      <w:marLeft w:val="0"/>
      <w:marRight w:val="0"/>
      <w:marTop w:val="0"/>
      <w:marBottom w:val="0"/>
      <w:divBdr>
        <w:top w:val="none" w:sz="0" w:space="0" w:color="auto"/>
        <w:left w:val="none" w:sz="0" w:space="0" w:color="auto"/>
        <w:bottom w:val="none" w:sz="0" w:space="0" w:color="auto"/>
        <w:right w:val="none" w:sz="0" w:space="0" w:color="auto"/>
      </w:divBdr>
    </w:div>
    <w:div w:id="41487941">
      <w:bodyDiv w:val="1"/>
      <w:marLeft w:val="0"/>
      <w:marRight w:val="0"/>
      <w:marTop w:val="0"/>
      <w:marBottom w:val="0"/>
      <w:divBdr>
        <w:top w:val="none" w:sz="0" w:space="0" w:color="auto"/>
        <w:left w:val="none" w:sz="0" w:space="0" w:color="auto"/>
        <w:bottom w:val="none" w:sz="0" w:space="0" w:color="auto"/>
        <w:right w:val="none" w:sz="0" w:space="0" w:color="auto"/>
      </w:divBdr>
    </w:div>
    <w:div w:id="50928371">
      <w:bodyDiv w:val="1"/>
      <w:marLeft w:val="0"/>
      <w:marRight w:val="0"/>
      <w:marTop w:val="0"/>
      <w:marBottom w:val="0"/>
      <w:divBdr>
        <w:top w:val="none" w:sz="0" w:space="0" w:color="auto"/>
        <w:left w:val="none" w:sz="0" w:space="0" w:color="auto"/>
        <w:bottom w:val="none" w:sz="0" w:space="0" w:color="auto"/>
        <w:right w:val="none" w:sz="0" w:space="0" w:color="auto"/>
      </w:divBdr>
    </w:div>
    <w:div w:id="56325816">
      <w:bodyDiv w:val="1"/>
      <w:marLeft w:val="0"/>
      <w:marRight w:val="0"/>
      <w:marTop w:val="0"/>
      <w:marBottom w:val="0"/>
      <w:divBdr>
        <w:top w:val="none" w:sz="0" w:space="0" w:color="auto"/>
        <w:left w:val="none" w:sz="0" w:space="0" w:color="auto"/>
        <w:bottom w:val="none" w:sz="0" w:space="0" w:color="auto"/>
        <w:right w:val="none" w:sz="0" w:space="0" w:color="auto"/>
      </w:divBdr>
    </w:div>
    <w:div w:id="57024542">
      <w:bodyDiv w:val="1"/>
      <w:marLeft w:val="0"/>
      <w:marRight w:val="0"/>
      <w:marTop w:val="0"/>
      <w:marBottom w:val="0"/>
      <w:divBdr>
        <w:top w:val="none" w:sz="0" w:space="0" w:color="auto"/>
        <w:left w:val="none" w:sz="0" w:space="0" w:color="auto"/>
        <w:bottom w:val="none" w:sz="0" w:space="0" w:color="auto"/>
        <w:right w:val="none" w:sz="0" w:space="0" w:color="auto"/>
      </w:divBdr>
    </w:div>
    <w:div w:id="58014954">
      <w:bodyDiv w:val="1"/>
      <w:marLeft w:val="0"/>
      <w:marRight w:val="0"/>
      <w:marTop w:val="0"/>
      <w:marBottom w:val="0"/>
      <w:divBdr>
        <w:top w:val="none" w:sz="0" w:space="0" w:color="auto"/>
        <w:left w:val="none" w:sz="0" w:space="0" w:color="auto"/>
        <w:bottom w:val="none" w:sz="0" w:space="0" w:color="auto"/>
        <w:right w:val="none" w:sz="0" w:space="0" w:color="auto"/>
      </w:divBdr>
    </w:div>
    <w:div w:id="60950789">
      <w:bodyDiv w:val="1"/>
      <w:marLeft w:val="0"/>
      <w:marRight w:val="0"/>
      <w:marTop w:val="0"/>
      <w:marBottom w:val="0"/>
      <w:divBdr>
        <w:top w:val="none" w:sz="0" w:space="0" w:color="auto"/>
        <w:left w:val="none" w:sz="0" w:space="0" w:color="auto"/>
        <w:bottom w:val="none" w:sz="0" w:space="0" w:color="auto"/>
        <w:right w:val="none" w:sz="0" w:space="0" w:color="auto"/>
      </w:divBdr>
    </w:div>
    <w:div w:id="62996100">
      <w:bodyDiv w:val="1"/>
      <w:marLeft w:val="0"/>
      <w:marRight w:val="0"/>
      <w:marTop w:val="0"/>
      <w:marBottom w:val="0"/>
      <w:divBdr>
        <w:top w:val="none" w:sz="0" w:space="0" w:color="auto"/>
        <w:left w:val="none" w:sz="0" w:space="0" w:color="auto"/>
        <w:bottom w:val="none" w:sz="0" w:space="0" w:color="auto"/>
        <w:right w:val="none" w:sz="0" w:space="0" w:color="auto"/>
      </w:divBdr>
    </w:div>
    <w:div w:id="64495461">
      <w:bodyDiv w:val="1"/>
      <w:marLeft w:val="0"/>
      <w:marRight w:val="0"/>
      <w:marTop w:val="0"/>
      <w:marBottom w:val="0"/>
      <w:divBdr>
        <w:top w:val="none" w:sz="0" w:space="0" w:color="auto"/>
        <w:left w:val="none" w:sz="0" w:space="0" w:color="auto"/>
        <w:bottom w:val="none" w:sz="0" w:space="0" w:color="auto"/>
        <w:right w:val="none" w:sz="0" w:space="0" w:color="auto"/>
      </w:divBdr>
    </w:div>
    <w:div w:id="64693639">
      <w:bodyDiv w:val="1"/>
      <w:marLeft w:val="0"/>
      <w:marRight w:val="0"/>
      <w:marTop w:val="0"/>
      <w:marBottom w:val="0"/>
      <w:divBdr>
        <w:top w:val="none" w:sz="0" w:space="0" w:color="auto"/>
        <w:left w:val="none" w:sz="0" w:space="0" w:color="auto"/>
        <w:bottom w:val="none" w:sz="0" w:space="0" w:color="auto"/>
        <w:right w:val="none" w:sz="0" w:space="0" w:color="auto"/>
      </w:divBdr>
    </w:div>
    <w:div w:id="66929126">
      <w:bodyDiv w:val="1"/>
      <w:marLeft w:val="0"/>
      <w:marRight w:val="0"/>
      <w:marTop w:val="0"/>
      <w:marBottom w:val="0"/>
      <w:divBdr>
        <w:top w:val="none" w:sz="0" w:space="0" w:color="auto"/>
        <w:left w:val="none" w:sz="0" w:space="0" w:color="auto"/>
        <w:bottom w:val="none" w:sz="0" w:space="0" w:color="auto"/>
        <w:right w:val="none" w:sz="0" w:space="0" w:color="auto"/>
      </w:divBdr>
    </w:div>
    <w:div w:id="74129675">
      <w:bodyDiv w:val="1"/>
      <w:marLeft w:val="0"/>
      <w:marRight w:val="0"/>
      <w:marTop w:val="0"/>
      <w:marBottom w:val="0"/>
      <w:divBdr>
        <w:top w:val="none" w:sz="0" w:space="0" w:color="auto"/>
        <w:left w:val="none" w:sz="0" w:space="0" w:color="auto"/>
        <w:bottom w:val="none" w:sz="0" w:space="0" w:color="auto"/>
        <w:right w:val="none" w:sz="0" w:space="0" w:color="auto"/>
      </w:divBdr>
    </w:div>
    <w:div w:id="82143568">
      <w:bodyDiv w:val="1"/>
      <w:marLeft w:val="0"/>
      <w:marRight w:val="0"/>
      <w:marTop w:val="0"/>
      <w:marBottom w:val="0"/>
      <w:divBdr>
        <w:top w:val="none" w:sz="0" w:space="0" w:color="auto"/>
        <w:left w:val="none" w:sz="0" w:space="0" w:color="auto"/>
        <w:bottom w:val="none" w:sz="0" w:space="0" w:color="auto"/>
        <w:right w:val="none" w:sz="0" w:space="0" w:color="auto"/>
      </w:divBdr>
    </w:div>
    <w:div w:id="83459550">
      <w:bodyDiv w:val="1"/>
      <w:marLeft w:val="0"/>
      <w:marRight w:val="0"/>
      <w:marTop w:val="0"/>
      <w:marBottom w:val="0"/>
      <w:divBdr>
        <w:top w:val="none" w:sz="0" w:space="0" w:color="auto"/>
        <w:left w:val="none" w:sz="0" w:space="0" w:color="auto"/>
        <w:bottom w:val="none" w:sz="0" w:space="0" w:color="auto"/>
        <w:right w:val="none" w:sz="0" w:space="0" w:color="auto"/>
      </w:divBdr>
    </w:div>
    <w:div w:id="85351628">
      <w:bodyDiv w:val="1"/>
      <w:marLeft w:val="0"/>
      <w:marRight w:val="0"/>
      <w:marTop w:val="0"/>
      <w:marBottom w:val="0"/>
      <w:divBdr>
        <w:top w:val="none" w:sz="0" w:space="0" w:color="auto"/>
        <w:left w:val="none" w:sz="0" w:space="0" w:color="auto"/>
        <w:bottom w:val="none" w:sz="0" w:space="0" w:color="auto"/>
        <w:right w:val="none" w:sz="0" w:space="0" w:color="auto"/>
      </w:divBdr>
    </w:div>
    <w:div w:id="95255716">
      <w:bodyDiv w:val="1"/>
      <w:marLeft w:val="0"/>
      <w:marRight w:val="0"/>
      <w:marTop w:val="0"/>
      <w:marBottom w:val="0"/>
      <w:divBdr>
        <w:top w:val="none" w:sz="0" w:space="0" w:color="auto"/>
        <w:left w:val="none" w:sz="0" w:space="0" w:color="auto"/>
        <w:bottom w:val="none" w:sz="0" w:space="0" w:color="auto"/>
        <w:right w:val="none" w:sz="0" w:space="0" w:color="auto"/>
      </w:divBdr>
    </w:div>
    <w:div w:id="96292291">
      <w:bodyDiv w:val="1"/>
      <w:marLeft w:val="0"/>
      <w:marRight w:val="0"/>
      <w:marTop w:val="0"/>
      <w:marBottom w:val="0"/>
      <w:divBdr>
        <w:top w:val="none" w:sz="0" w:space="0" w:color="auto"/>
        <w:left w:val="none" w:sz="0" w:space="0" w:color="auto"/>
        <w:bottom w:val="none" w:sz="0" w:space="0" w:color="auto"/>
        <w:right w:val="none" w:sz="0" w:space="0" w:color="auto"/>
      </w:divBdr>
    </w:div>
    <w:div w:id="104152440">
      <w:bodyDiv w:val="1"/>
      <w:marLeft w:val="0"/>
      <w:marRight w:val="0"/>
      <w:marTop w:val="0"/>
      <w:marBottom w:val="0"/>
      <w:divBdr>
        <w:top w:val="none" w:sz="0" w:space="0" w:color="auto"/>
        <w:left w:val="none" w:sz="0" w:space="0" w:color="auto"/>
        <w:bottom w:val="none" w:sz="0" w:space="0" w:color="auto"/>
        <w:right w:val="none" w:sz="0" w:space="0" w:color="auto"/>
      </w:divBdr>
    </w:div>
    <w:div w:id="109401337">
      <w:bodyDiv w:val="1"/>
      <w:marLeft w:val="0"/>
      <w:marRight w:val="0"/>
      <w:marTop w:val="0"/>
      <w:marBottom w:val="0"/>
      <w:divBdr>
        <w:top w:val="none" w:sz="0" w:space="0" w:color="auto"/>
        <w:left w:val="none" w:sz="0" w:space="0" w:color="auto"/>
        <w:bottom w:val="none" w:sz="0" w:space="0" w:color="auto"/>
        <w:right w:val="none" w:sz="0" w:space="0" w:color="auto"/>
      </w:divBdr>
    </w:div>
    <w:div w:id="117142541">
      <w:bodyDiv w:val="1"/>
      <w:marLeft w:val="0"/>
      <w:marRight w:val="0"/>
      <w:marTop w:val="0"/>
      <w:marBottom w:val="0"/>
      <w:divBdr>
        <w:top w:val="none" w:sz="0" w:space="0" w:color="auto"/>
        <w:left w:val="none" w:sz="0" w:space="0" w:color="auto"/>
        <w:bottom w:val="none" w:sz="0" w:space="0" w:color="auto"/>
        <w:right w:val="none" w:sz="0" w:space="0" w:color="auto"/>
      </w:divBdr>
    </w:div>
    <w:div w:id="122968066">
      <w:bodyDiv w:val="1"/>
      <w:marLeft w:val="0"/>
      <w:marRight w:val="0"/>
      <w:marTop w:val="0"/>
      <w:marBottom w:val="0"/>
      <w:divBdr>
        <w:top w:val="none" w:sz="0" w:space="0" w:color="auto"/>
        <w:left w:val="none" w:sz="0" w:space="0" w:color="auto"/>
        <w:bottom w:val="none" w:sz="0" w:space="0" w:color="auto"/>
        <w:right w:val="none" w:sz="0" w:space="0" w:color="auto"/>
      </w:divBdr>
    </w:div>
    <w:div w:id="124665579">
      <w:bodyDiv w:val="1"/>
      <w:marLeft w:val="0"/>
      <w:marRight w:val="0"/>
      <w:marTop w:val="0"/>
      <w:marBottom w:val="0"/>
      <w:divBdr>
        <w:top w:val="none" w:sz="0" w:space="0" w:color="auto"/>
        <w:left w:val="none" w:sz="0" w:space="0" w:color="auto"/>
        <w:bottom w:val="none" w:sz="0" w:space="0" w:color="auto"/>
        <w:right w:val="none" w:sz="0" w:space="0" w:color="auto"/>
      </w:divBdr>
    </w:div>
    <w:div w:id="127163850">
      <w:bodyDiv w:val="1"/>
      <w:marLeft w:val="0"/>
      <w:marRight w:val="0"/>
      <w:marTop w:val="0"/>
      <w:marBottom w:val="0"/>
      <w:divBdr>
        <w:top w:val="none" w:sz="0" w:space="0" w:color="auto"/>
        <w:left w:val="none" w:sz="0" w:space="0" w:color="auto"/>
        <w:bottom w:val="none" w:sz="0" w:space="0" w:color="auto"/>
        <w:right w:val="none" w:sz="0" w:space="0" w:color="auto"/>
      </w:divBdr>
    </w:div>
    <w:div w:id="134955901">
      <w:bodyDiv w:val="1"/>
      <w:marLeft w:val="0"/>
      <w:marRight w:val="0"/>
      <w:marTop w:val="0"/>
      <w:marBottom w:val="0"/>
      <w:divBdr>
        <w:top w:val="none" w:sz="0" w:space="0" w:color="auto"/>
        <w:left w:val="none" w:sz="0" w:space="0" w:color="auto"/>
        <w:bottom w:val="none" w:sz="0" w:space="0" w:color="auto"/>
        <w:right w:val="none" w:sz="0" w:space="0" w:color="auto"/>
      </w:divBdr>
    </w:div>
    <w:div w:id="141242658">
      <w:bodyDiv w:val="1"/>
      <w:marLeft w:val="0"/>
      <w:marRight w:val="0"/>
      <w:marTop w:val="0"/>
      <w:marBottom w:val="0"/>
      <w:divBdr>
        <w:top w:val="none" w:sz="0" w:space="0" w:color="auto"/>
        <w:left w:val="none" w:sz="0" w:space="0" w:color="auto"/>
        <w:bottom w:val="none" w:sz="0" w:space="0" w:color="auto"/>
        <w:right w:val="none" w:sz="0" w:space="0" w:color="auto"/>
      </w:divBdr>
    </w:div>
    <w:div w:id="145097534">
      <w:bodyDiv w:val="1"/>
      <w:marLeft w:val="0"/>
      <w:marRight w:val="0"/>
      <w:marTop w:val="0"/>
      <w:marBottom w:val="0"/>
      <w:divBdr>
        <w:top w:val="none" w:sz="0" w:space="0" w:color="auto"/>
        <w:left w:val="none" w:sz="0" w:space="0" w:color="auto"/>
        <w:bottom w:val="none" w:sz="0" w:space="0" w:color="auto"/>
        <w:right w:val="none" w:sz="0" w:space="0" w:color="auto"/>
      </w:divBdr>
    </w:div>
    <w:div w:id="148788764">
      <w:bodyDiv w:val="1"/>
      <w:marLeft w:val="0"/>
      <w:marRight w:val="0"/>
      <w:marTop w:val="0"/>
      <w:marBottom w:val="0"/>
      <w:divBdr>
        <w:top w:val="none" w:sz="0" w:space="0" w:color="auto"/>
        <w:left w:val="none" w:sz="0" w:space="0" w:color="auto"/>
        <w:bottom w:val="none" w:sz="0" w:space="0" w:color="auto"/>
        <w:right w:val="none" w:sz="0" w:space="0" w:color="auto"/>
      </w:divBdr>
    </w:div>
    <w:div w:id="150802269">
      <w:bodyDiv w:val="1"/>
      <w:marLeft w:val="0"/>
      <w:marRight w:val="0"/>
      <w:marTop w:val="0"/>
      <w:marBottom w:val="0"/>
      <w:divBdr>
        <w:top w:val="none" w:sz="0" w:space="0" w:color="auto"/>
        <w:left w:val="none" w:sz="0" w:space="0" w:color="auto"/>
        <w:bottom w:val="none" w:sz="0" w:space="0" w:color="auto"/>
        <w:right w:val="none" w:sz="0" w:space="0" w:color="auto"/>
      </w:divBdr>
    </w:div>
    <w:div w:id="157698896">
      <w:bodyDiv w:val="1"/>
      <w:marLeft w:val="0"/>
      <w:marRight w:val="0"/>
      <w:marTop w:val="0"/>
      <w:marBottom w:val="0"/>
      <w:divBdr>
        <w:top w:val="none" w:sz="0" w:space="0" w:color="auto"/>
        <w:left w:val="none" w:sz="0" w:space="0" w:color="auto"/>
        <w:bottom w:val="none" w:sz="0" w:space="0" w:color="auto"/>
        <w:right w:val="none" w:sz="0" w:space="0" w:color="auto"/>
      </w:divBdr>
    </w:div>
    <w:div w:id="158154500">
      <w:bodyDiv w:val="1"/>
      <w:marLeft w:val="0"/>
      <w:marRight w:val="0"/>
      <w:marTop w:val="0"/>
      <w:marBottom w:val="0"/>
      <w:divBdr>
        <w:top w:val="none" w:sz="0" w:space="0" w:color="auto"/>
        <w:left w:val="none" w:sz="0" w:space="0" w:color="auto"/>
        <w:bottom w:val="none" w:sz="0" w:space="0" w:color="auto"/>
        <w:right w:val="none" w:sz="0" w:space="0" w:color="auto"/>
      </w:divBdr>
    </w:div>
    <w:div w:id="159856176">
      <w:bodyDiv w:val="1"/>
      <w:marLeft w:val="0"/>
      <w:marRight w:val="0"/>
      <w:marTop w:val="0"/>
      <w:marBottom w:val="0"/>
      <w:divBdr>
        <w:top w:val="none" w:sz="0" w:space="0" w:color="auto"/>
        <w:left w:val="none" w:sz="0" w:space="0" w:color="auto"/>
        <w:bottom w:val="none" w:sz="0" w:space="0" w:color="auto"/>
        <w:right w:val="none" w:sz="0" w:space="0" w:color="auto"/>
      </w:divBdr>
    </w:div>
    <w:div w:id="162863392">
      <w:bodyDiv w:val="1"/>
      <w:marLeft w:val="0"/>
      <w:marRight w:val="0"/>
      <w:marTop w:val="0"/>
      <w:marBottom w:val="0"/>
      <w:divBdr>
        <w:top w:val="none" w:sz="0" w:space="0" w:color="auto"/>
        <w:left w:val="none" w:sz="0" w:space="0" w:color="auto"/>
        <w:bottom w:val="none" w:sz="0" w:space="0" w:color="auto"/>
        <w:right w:val="none" w:sz="0" w:space="0" w:color="auto"/>
      </w:divBdr>
    </w:div>
    <w:div w:id="163055463">
      <w:bodyDiv w:val="1"/>
      <w:marLeft w:val="0"/>
      <w:marRight w:val="0"/>
      <w:marTop w:val="0"/>
      <w:marBottom w:val="0"/>
      <w:divBdr>
        <w:top w:val="none" w:sz="0" w:space="0" w:color="auto"/>
        <w:left w:val="none" w:sz="0" w:space="0" w:color="auto"/>
        <w:bottom w:val="none" w:sz="0" w:space="0" w:color="auto"/>
        <w:right w:val="none" w:sz="0" w:space="0" w:color="auto"/>
      </w:divBdr>
    </w:div>
    <w:div w:id="163404287">
      <w:bodyDiv w:val="1"/>
      <w:marLeft w:val="0"/>
      <w:marRight w:val="0"/>
      <w:marTop w:val="0"/>
      <w:marBottom w:val="0"/>
      <w:divBdr>
        <w:top w:val="none" w:sz="0" w:space="0" w:color="auto"/>
        <w:left w:val="none" w:sz="0" w:space="0" w:color="auto"/>
        <w:bottom w:val="none" w:sz="0" w:space="0" w:color="auto"/>
        <w:right w:val="none" w:sz="0" w:space="0" w:color="auto"/>
      </w:divBdr>
    </w:div>
    <w:div w:id="166139042">
      <w:bodyDiv w:val="1"/>
      <w:marLeft w:val="0"/>
      <w:marRight w:val="0"/>
      <w:marTop w:val="0"/>
      <w:marBottom w:val="0"/>
      <w:divBdr>
        <w:top w:val="none" w:sz="0" w:space="0" w:color="auto"/>
        <w:left w:val="none" w:sz="0" w:space="0" w:color="auto"/>
        <w:bottom w:val="none" w:sz="0" w:space="0" w:color="auto"/>
        <w:right w:val="none" w:sz="0" w:space="0" w:color="auto"/>
      </w:divBdr>
    </w:div>
    <w:div w:id="167717029">
      <w:bodyDiv w:val="1"/>
      <w:marLeft w:val="0"/>
      <w:marRight w:val="0"/>
      <w:marTop w:val="0"/>
      <w:marBottom w:val="0"/>
      <w:divBdr>
        <w:top w:val="none" w:sz="0" w:space="0" w:color="auto"/>
        <w:left w:val="none" w:sz="0" w:space="0" w:color="auto"/>
        <w:bottom w:val="none" w:sz="0" w:space="0" w:color="auto"/>
        <w:right w:val="none" w:sz="0" w:space="0" w:color="auto"/>
      </w:divBdr>
    </w:div>
    <w:div w:id="171191676">
      <w:bodyDiv w:val="1"/>
      <w:marLeft w:val="0"/>
      <w:marRight w:val="0"/>
      <w:marTop w:val="0"/>
      <w:marBottom w:val="0"/>
      <w:divBdr>
        <w:top w:val="none" w:sz="0" w:space="0" w:color="auto"/>
        <w:left w:val="none" w:sz="0" w:space="0" w:color="auto"/>
        <w:bottom w:val="none" w:sz="0" w:space="0" w:color="auto"/>
        <w:right w:val="none" w:sz="0" w:space="0" w:color="auto"/>
      </w:divBdr>
    </w:div>
    <w:div w:id="174735385">
      <w:bodyDiv w:val="1"/>
      <w:marLeft w:val="0"/>
      <w:marRight w:val="0"/>
      <w:marTop w:val="0"/>
      <w:marBottom w:val="0"/>
      <w:divBdr>
        <w:top w:val="none" w:sz="0" w:space="0" w:color="auto"/>
        <w:left w:val="none" w:sz="0" w:space="0" w:color="auto"/>
        <w:bottom w:val="none" w:sz="0" w:space="0" w:color="auto"/>
        <w:right w:val="none" w:sz="0" w:space="0" w:color="auto"/>
      </w:divBdr>
    </w:div>
    <w:div w:id="175507139">
      <w:bodyDiv w:val="1"/>
      <w:marLeft w:val="0"/>
      <w:marRight w:val="0"/>
      <w:marTop w:val="0"/>
      <w:marBottom w:val="0"/>
      <w:divBdr>
        <w:top w:val="none" w:sz="0" w:space="0" w:color="auto"/>
        <w:left w:val="none" w:sz="0" w:space="0" w:color="auto"/>
        <w:bottom w:val="none" w:sz="0" w:space="0" w:color="auto"/>
        <w:right w:val="none" w:sz="0" w:space="0" w:color="auto"/>
      </w:divBdr>
    </w:div>
    <w:div w:id="175732643">
      <w:bodyDiv w:val="1"/>
      <w:marLeft w:val="0"/>
      <w:marRight w:val="0"/>
      <w:marTop w:val="0"/>
      <w:marBottom w:val="0"/>
      <w:divBdr>
        <w:top w:val="none" w:sz="0" w:space="0" w:color="auto"/>
        <w:left w:val="none" w:sz="0" w:space="0" w:color="auto"/>
        <w:bottom w:val="none" w:sz="0" w:space="0" w:color="auto"/>
        <w:right w:val="none" w:sz="0" w:space="0" w:color="auto"/>
      </w:divBdr>
    </w:div>
    <w:div w:id="177428667">
      <w:bodyDiv w:val="1"/>
      <w:marLeft w:val="0"/>
      <w:marRight w:val="0"/>
      <w:marTop w:val="0"/>
      <w:marBottom w:val="0"/>
      <w:divBdr>
        <w:top w:val="none" w:sz="0" w:space="0" w:color="auto"/>
        <w:left w:val="none" w:sz="0" w:space="0" w:color="auto"/>
        <w:bottom w:val="none" w:sz="0" w:space="0" w:color="auto"/>
        <w:right w:val="none" w:sz="0" w:space="0" w:color="auto"/>
      </w:divBdr>
    </w:div>
    <w:div w:id="177697419">
      <w:bodyDiv w:val="1"/>
      <w:marLeft w:val="0"/>
      <w:marRight w:val="0"/>
      <w:marTop w:val="0"/>
      <w:marBottom w:val="0"/>
      <w:divBdr>
        <w:top w:val="none" w:sz="0" w:space="0" w:color="auto"/>
        <w:left w:val="none" w:sz="0" w:space="0" w:color="auto"/>
        <w:bottom w:val="none" w:sz="0" w:space="0" w:color="auto"/>
        <w:right w:val="none" w:sz="0" w:space="0" w:color="auto"/>
      </w:divBdr>
    </w:div>
    <w:div w:id="177736576">
      <w:bodyDiv w:val="1"/>
      <w:marLeft w:val="0"/>
      <w:marRight w:val="0"/>
      <w:marTop w:val="0"/>
      <w:marBottom w:val="0"/>
      <w:divBdr>
        <w:top w:val="none" w:sz="0" w:space="0" w:color="auto"/>
        <w:left w:val="none" w:sz="0" w:space="0" w:color="auto"/>
        <w:bottom w:val="none" w:sz="0" w:space="0" w:color="auto"/>
        <w:right w:val="none" w:sz="0" w:space="0" w:color="auto"/>
      </w:divBdr>
    </w:div>
    <w:div w:id="179248726">
      <w:bodyDiv w:val="1"/>
      <w:marLeft w:val="0"/>
      <w:marRight w:val="0"/>
      <w:marTop w:val="0"/>
      <w:marBottom w:val="0"/>
      <w:divBdr>
        <w:top w:val="none" w:sz="0" w:space="0" w:color="auto"/>
        <w:left w:val="none" w:sz="0" w:space="0" w:color="auto"/>
        <w:bottom w:val="none" w:sz="0" w:space="0" w:color="auto"/>
        <w:right w:val="none" w:sz="0" w:space="0" w:color="auto"/>
      </w:divBdr>
    </w:div>
    <w:div w:id="180583792">
      <w:bodyDiv w:val="1"/>
      <w:marLeft w:val="0"/>
      <w:marRight w:val="0"/>
      <w:marTop w:val="0"/>
      <w:marBottom w:val="0"/>
      <w:divBdr>
        <w:top w:val="none" w:sz="0" w:space="0" w:color="auto"/>
        <w:left w:val="none" w:sz="0" w:space="0" w:color="auto"/>
        <w:bottom w:val="none" w:sz="0" w:space="0" w:color="auto"/>
        <w:right w:val="none" w:sz="0" w:space="0" w:color="auto"/>
      </w:divBdr>
    </w:div>
    <w:div w:id="184249098">
      <w:bodyDiv w:val="1"/>
      <w:marLeft w:val="0"/>
      <w:marRight w:val="0"/>
      <w:marTop w:val="0"/>
      <w:marBottom w:val="0"/>
      <w:divBdr>
        <w:top w:val="none" w:sz="0" w:space="0" w:color="auto"/>
        <w:left w:val="none" w:sz="0" w:space="0" w:color="auto"/>
        <w:bottom w:val="none" w:sz="0" w:space="0" w:color="auto"/>
        <w:right w:val="none" w:sz="0" w:space="0" w:color="auto"/>
      </w:divBdr>
    </w:div>
    <w:div w:id="189806419">
      <w:bodyDiv w:val="1"/>
      <w:marLeft w:val="0"/>
      <w:marRight w:val="0"/>
      <w:marTop w:val="0"/>
      <w:marBottom w:val="0"/>
      <w:divBdr>
        <w:top w:val="none" w:sz="0" w:space="0" w:color="auto"/>
        <w:left w:val="none" w:sz="0" w:space="0" w:color="auto"/>
        <w:bottom w:val="none" w:sz="0" w:space="0" w:color="auto"/>
        <w:right w:val="none" w:sz="0" w:space="0" w:color="auto"/>
      </w:divBdr>
    </w:div>
    <w:div w:id="191304158">
      <w:bodyDiv w:val="1"/>
      <w:marLeft w:val="0"/>
      <w:marRight w:val="0"/>
      <w:marTop w:val="0"/>
      <w:marBottom w:val="0"/>
      <w:divBdr>
        <w:top w:val="none" w:sz="0" w:space="0" w:color="auto"/>
        <w:left w:val="none" w:sz="0" w:space="0" w:color="auto"/>
        <w:bottom w:val="none" w:sz="0" w:space="0" w:color="auto"/>
        <w:right w:val="none" w:sz="0" w:space="0" w:color="auto"/>
      </w:divBdr>
    </w:div>
    <w:div w:id="194126004">
      <w:bodyDiv w:val="1"/>
      <w:marLeft w:val="0"/>
      <w:marRight w:val="0"/>
      <w:marTop w:val="0"/>
      <w:marBottom w:val="0"/>
      <w:divBdr>
        <w:top w:val="none" w:sz="0" w:space="0" w:color="auto"/>
        <w:left w:val="none" w:sz="0" w:space="0" w:color="auto"/>
        <w:bottom w:val="none" w:sz="0" w:space="0" w:color="auto"/>
        <w:right w:val="none" w:sz="0" w:space="0" w:color="auto"/>
      </w:divBdr>
    </w:div>
    <w:div w:id="195394045">
      <w:bodyDiv w:val="1"/>
      <w:marLeft w:val="0"/>
      <w:marRight w:val="0"/>
      <w:marTop w:val="0"/>
      <w:marBottom w:val="0"/>
      <w:divBdr>
        <w:top w:val="none" w:sz="0" w:space="0" w:color="auto"/>
        <w:left w:val="none" w:sz="0" w:space="0" w:color="auto"/>
        <w:bottom w:val="none" w:sz="0" w:space="0" w:color="auto"/>
        <w:right w:val="none" w:sz="0" w:space="0" w:color="auto"/>
      </w:divBdr>
    </w:div>
    <w:div w:id="197865263">
      <w:bodyDiv w:val="1"/>
      <w:marLeft w:val="0"/>
      <w:marRight w:val="0"/>
      <w:marTop w:val="0"/>
      <w:marBottom w:val="0"/>
      <w:divBdr>
        <w:top w:val="none" w:sz="0" w:space="0" w:color="auto"/>
        <w:left w:val="none" w:sz="0" w:space="0" w:color="auto"/>
        <w:bottom w:val="none" w:sz="0" w:space="0" w:color="auto"/>
        <w:right w:val="none" w:sz="0" w:space="0" w:color="auto"/>
      </w:divBdr>
    </w:div>
    <w:div w:id="198053428">
      <w:bodyDiv w:val="1"/>
      <w:marLeft w:val="0"/>
      <w:marRight w:val="0"/>
      <w:marTop w:val="0"/>
      <w:marBottom w:val="0"/>
      <w:divBdr>
        <w:top w:val="none" w:sz="0" w:space="0" w:color="auto"/>
        <w:left w:val="none" w:sz="0" w:space="0" w:color="auto"/>
        <w:bottom w:val="none" w:sz="0" w:space="0" w:color="auto"/>
        <w:right w:val="none" w:sz="0" w:space="0" w:color="auto"/>
      </w:divBdr>
    </w:div>
    <w:div w:id="199786350">
      <w:bodyDiv w:val="1"/>
      <w:marLeft w:val="0"/>
      <w:marRight w:val="0"/>
      <w:marTop w:val="0"/>
      <w:marBottom w:val="0"/>
      <w:divBdr>
        <w:top w:val="none" w:sz="0" w:space="0" w:color="auto"/>
        <w:left w:val="none" w:sz="0" w:space="0" w:color="auto"/>
        <w:bottom w:val="none" w:sz="0" w:space="0" w:color="auto"/>
        <w:right w:val="none" w:sz="0" w:space="0" w:color="auto"/>
      </w:divBdr>
    </w:div>
    <w:div w:id="200478685">
      <w:bodyDiv w:val="1"/>
      <w:marLeft w:val="0"/>
      <w:marRight w:val="0"/>
      <w:marTop w:val="0"/>
      <w:marBottom w:val="0"/>
      <w:divBdr>
        <w:top w:val="none" w:sz="0" w:space="0" w:color="auto"/>
        <w:left w:val="none" w:sz="0" w:space="0" w:color="auto"/>
        <w:bottom w:val="none" w:sz="0" w:space="0" w:color="auto"/>
        <w:right w:val="none" w:sz="0" w:space="0" w:color="auto"/>
      </w:divBdr>
    </w:div>
    <w:div w:id="203255950">
      <w:bodyDiv w:val="1"/>
      <w:marLeft w:val="0"/>
      <w:marRight w:val="0"/>
      <w:marTop w:val="0"/>
      <w:marBottom w:val="0"/>
      <w:divBdr>
        <w:top w:val="none" w:sz="0" w:space="0" w:color="auto"/>
        <w:left w:val="none" w:sz="0" w:space="0" w:color="auto"/>
        <w:bottom w:val="none" w:sz="0" w:space="0" w:color="auto"/>
        <w:right w:val="none" w:sz="0" w:space="0" w:color="auto"/>
      </w:divBdr>
    </w:div>
    <w:div w:id="205071209">
      <w:bodyDiv w:val="1"/>
      <w:marLeft w:val="0"/>
      <w:marRight w:val="0"/>
      <w:marTop w:val="0"/>
      <w:marBottom w:val="0"/>
      <w:divBdr>
        <w:top w:val="none" w:sz="0" w:space="0" w:color="auto"/>
        <w:left w:val="none" w:sz="0" w:space="0" w:color="auto"/>
        <w:bottom w:val="none" w:sz="0" w:space="0" w:color="auto"/>
        <w:right w:val="none" w:sz="0" w:space="0" w:color="auto"/>
      </w:divBdr>
    </w:div>
    <w:div w:id="207764833">
      <w:bodyDiv w:val="1"/>
      <w:marLeft w:val="0"/>
      <w:marRight w:val="0"/>
      <w:marTop w:val="0"/>
      <w:marBottom w:val="0"/>
      <w:divBdr>
        <w:top w:val="none" w:sz="0" w:space="0" w:color="auto"/>
        <w:left w:val="none" w:sz="0" w:space="0" w:color="auto"/>
        <w:bottom w:val="none" w:sz="0" w:space="0" w:color="auto"/>
        <w:right w:val="none" w:sz="0" w:space="0" w:color="auto"/>
      </w:divBdr>
    </w:div>
    <w:div w:id="217789479">
      <w:bodyDiv w:val="1"/>
      <w:marLeft w:val="0"/>
      <w:marRight w:val="0"/>
      <w:marTop w:val="0"/>
      <w:marBottom w:val="0"/>
      <w:divBdr>
        <w:top w:val="none" w:sz="0" w:space="0" w:color="auto"/>
        <w:left w:val="none" w:sz="0" w:space="0" w:color="auto"/>
        <w:bottom w:val="none" w:sz="0" w:space="0" w:color="auto"/>
        <w:right w:val="none" w:sz="0" w:space="0" w:color="auto"/>
      </w:divBdr>
    </w:div>
    <w:div w:id="219248512">
      <w:bodyDiv w:val="1"/>
      <w:marLeft w:val="0"/>
      <w:marRight w:val="0"/>
      <w:marTop w:val="0"/>
      <w:marBottom w:val="0"/>
      <w:divBdr>
        <w:top w:val="none" w:sz="0" w:space="0" w:color="auto"/>
        <w:left w:val="none" w:sz="0" w:space="0" w:color="auto"/>
        <w:bottom w:val="none" w:sz="0" w:space="0" w:color="auto"/>
        <w:right w:val="none" w:sz="0" w:space="0" w:color="auto"/>
      </w:divBdr>
    </w:div>
    <w:div w:id="222639158">
      <w:bodyDiv w:val="1"/>
      <w:marLeft w:val="0"/>
      <w:marRight w:val="0"/>
      <w:marTop w:val="0"/>
      <w:marBottom w:val="0"/>
      <w:divBdr>
        <w:top w:val="none" w:sz="0" w:space="0" w:color="auto"/>
        <w:left w:val="none" w:sz="0" w:space="0" w:color="auto"/>
        <w:bottom w:val="none" w:sz="0" w:space="0" w:color="auto"/>
        <w:right w:val="none" w:sz="0" w:space="0" w:color="auto"/>
      </w:divBdr>
    </w:div>
    <w:div w:id="230194815">
      <w:bodyDiv w:val="1"/>
      <w:marLeft w:val="0"/>
      <w:marRight w:val="0"/>
      <w:marTop w:val="0"/>
      <w:marBottom w:val="0"/>
      <w:divBdr>
        <w:top w:val="none" w:sz="0" w:space="0" w:color="auto"/>
        <w:left w:val="none" w:sz="0" w:space="0" w:color="auto"/>
        <w:bottom w:val="none" w:sz="0" w:space="0" w:color="auto"/>
        <w:right w:val="none" w:sz="0" w:space="0" w:color="auto"/>
      </w:divBdr>
    </w:div>
    <w:div w:id="233513038">
      <w:bodyDiv w:val="1"/>
      <w:marLeft w:val="0"/>
      <w:marRight w:val="0"/>
      <w:marTop w:val="0"/>
      <w:marBottom w:val="0"/>
      <w:divBdr>
        <w:top w:val="none" w:sz="0" w:space="0" w:color="auto"/>
        <w:left w:val="none" w:sz="0" w:space="0" w:color="auto"/>
        <w:bottom w:val="none" w:sz="0" w:space="0" w:color="auto"/>
        <w:right w:val="none" w:sz="0" w:space="0" w:color="auto"/>
      </w:divBdr>
    </w:div>
    <w:div w:id="244145599">
      <w:bodyDiv w:val="1"/>
      <w:marLeft w:val="0"/>
      <w:marRight w:val="0"/>
      <w:marTop w:val="0"/>
      <w:marBottom w:val="0"/>
      <w:divBdr>
        <w:top w:val="none" w:sz="0" w:space="0" w:color="auto"/>
        <w:left w:val="none" w:sz="0" w:space="0" w:color="auto"/>
        <w:bottom w:val="none" w:sz="0" w:space="0" w:color="auto"/>
        <w:right w:val="none" w:sz="0" w:space="0" w:color="auto"/>
      </w:divBdr>
    </w:div>
    <w:div w:id="248539120">
      <w:bodyDiv w:val="1"/>
      <w:marLeft w:val="0"/>
      <w:marRight w:val="0"/>
      <w:marTop w:val="0"/>
      <w:marBottom w:val="0"/>
      <w:divBdr>
        <w:top w:val="none" w:sz="0" w:space="0" w:color="auto"/>
        <w:left w:val="none" w:sz="0" w:space="0" w:color="auto"/>
        <w:bottom w:val="none" w:sz="0" w:space="0" w:color="auto"/>
        <w:right w:val="none" w:sz="0" w:space="0" w:color="auto"/>
      </w:divBdr>
    </w:div>
    <w:div w:id="252519884">
      <w:bodyDiv w:val="1"/>
      <w:marLeft w:val="0"/>
      <w:marRight w:val="0"/>
      <w:marTop w:val="0"/>
      <w:marBottom w:val="0"/>
      <w:divBdr>
        <w:top w:val="none" w:sz="0" w:space="0" w:color="auto"/>
        <w:left w:val="none" w:sz="0" w:space="0" w:color="auto"/>
        <w:bottom w:val="none" w:sz="0" w:space="0" w:color="auto"/>
        <w:right w:val="none" w:sz="0" w:space="0" w:color="auto"/>
      </w:divBdr>
    </w:div>
    <w:div w:id="259147800">
      <w:bodyDiv w:val="1"/>
      <w:marLeft w:val="0"/>
      <w:marRight w:val="0"/>
      <w:marTop w:val="0"/>
      <w:marBottom w:val="0"/>
      <w:divBdr>
        <w:top w:val="none" w:sz="0" w:space="0" w:color="auto"/>
        <w:left w:val="none" w:sz="0" w:space="0" w:color="auto"/>
        <w:bottom w:val="none" w:sz="0" w:space="0" w:color="auto"/>
        <w:right w:val="none" w:sz="0" w:space="0" w:color="auto"/>
      </w:divBdr>
    </w:div>
    <w:div w:id="262298606">
      <w:bodyDiv w:val="1"/>
      <w:marLeft w:val="0"/>
      <w:marRight w:val="0"/>
      <w:marTop w:val="0"/>
      <w:marBottom w:val="0"/>
      <w:divBdr>
        <w:top w:val="none" w:sz="0" w:space="0" w:color="auto"/>
        <w:left w:val="none" w:sz="0" w:space="0" w:color="auto"/>
        <w:bottom w:val="none" w:sz="0" w:space="0" w:color="auto"/>
        <w:right w:val="none" w:sz="0" w:space="0" w:color="auto"/>
      </w:divBdr>
    </w:div>
    <w:div w:id="276062701">
      <w:bodyDiv w:val="1"/>
      <w:marLeft w:val="0"/>
      <w:marRight w:val="0"/>
      <w:marTop w:val="0"/>
      <w:marBottom w:val="0"/>
      <w:divBdr>
        <w:top w:val="none" w:sz="0" w:space="0" w:color="auto"/>
        <w:left w:val="none" w:sz="0" w:space="0" w:color="auto"/>
        <w:bottom w:val="none" w:sz="0" w:space="0" w:color="auto"/>
        <w:right w:val="none" w:sz="0" w:space="0" w:color="auto"/>
      </w:divBdr>
    </w:div>
    <w:div w:id="279266385">
      <w:bodyDiv w:val="1"/>
      <w:marLeft w:val="0"/>
      <w:marRight w:val="0"/>
      <w:marTop w:val="0"/>
      <w:marBottom w:val="0"/>
      <w:divBdr>
        <w:top w:val="none" w:sz="0" w:space="0" w:color="auto"/>
        <w:left w:val="none" w:sz="0" w:space="0" w:color="auto"/>
        <w:bottom w:val="none" w:sz="0" w:space="0" w:color="auto"/>
        <w:right w:val="none" w:sz="0" w:space="0" w:color="auto"/>
      </w:divBdr>
    </w:div>
    <w:div w:id="281108291">
      <w:bodyDiv w:val="1"/>
      <w:marLeft w:val="0"/>
      <w:marRight w:val="0"/>
      <w:marTop w:val="0"/>
      <w:marBottom w:val="0"/>
      <w:divBdr>
        <w:top w:val="none" w:sz="0" w:space="0" w:color="auto"/>
        <w:left w:val="none" w:sz="0" w:space="0" w:color="auto"/>
        <w:bottom w:val="none" w:sz="0" w:space="0" w:color="auto"/>
        <w:right w:val="none" w:sz="0" w:space="0" w:color="auto"/>
      </w:divBdr>
    </w:div>
    <w:div w:id="287317209">
      <w:bodyDiv w:val="1"/>
      <w:marLeft w:val="0"/>
      <w:marRight w:val="0"/>
      <w:marTop w:val="0"/>
      <w:marBottom w:val="0"/>
      <w:divBdr>
        <w:top w:val="none" w:sz="0" w:space="0" w:color="auto"/>
        <w:left w:val="none" w:sz="0" w:space="0" w:color="auto"/>
        <w:bottom w:val="none" w:sz="0" w:space="0" w:color="auto"/>
        <w:right w:val="none" w:sz="0" w:space="0" w:color="auto"/>
      </w:divBdr>
    </w:div>
    <w:div w:id="288635064">
      <w:bodyDiv w:val="1"/>
      <w:marLeft w:val="0"/>
      <w:marRight w:val="0"/>
      <w:marTop w:val="0"/>
      <w:marBottom w:val="0"/>
      <w:divBdr>
        <w:top w:val="none" w:sz="0" w:space="0" w:color="auto"/>
        <w:left w:val="none" w:sz="0" w:space="0" w:color="auto"/>
        <w:bottom w:val="none" w:sz="0" w:space="0" w:color="auto"/>
        <w:right w:val="none" w:sz="0" w:space="0" w:color="auto"/>
      </w:divBdr>
    </w:div>
    <w:div w:id="290938480">
      <w:bodyDiv w:val="1"/>
      <w:marLeft w:val="0"/>
      <w:marRight w:val="0"/>
      <w:marTop w:val="0"/>
      <w:marBottom w:val="0"/>
      <w:divBdr>
        <w:top w:val="none" w:sz="0" w:space="0" w:color="auto"/>
        <w:left w:val="none" w:sz="0" w:space="0" w:color="auto"/>
        <w:bottom w:val="none" w:sz="0" w:space="0" w:color="auto"/>
        <w:right w:val="none" w:sz="0" w:space="0" w:color="auto"/>
      </w:divBdr>
    </w:div>
    <w:div w:id="298078377">
      <w:bodyDiv w:val="1"/>
      <w:marLeft w:val="0"/>
      <w:marRight w:val="0"/>
      <w:marTop w:val="0"/>
      <w:marBottom w:val="0"/>
      <w:divBdr>
        <w:top w:val="none" w:sz="0" w:space="0" w:color="auto"/>
        <w:left w:val="none" w:sz="0" w:space="0" w:color="auto"/>
        <w:bottom w:val="none" w:sz="0" w:space="0" w:color="auto"/>
        <w:right w:val="none" w:sz="0" w:space="0" w:color="auto"/>
      </w:divBdr>
    </w:div>
    <w:div w:id="303045623">
      <w:bodyDiv w:val="1"/>
      <w:marLeft w:val="0"/>
      <w:marRight w:val="0"/>
      <w:marTop w:val="0"/>
      <w:marBottom w:val="0"/>
      <w:divBdr>
        <w:top w:val="none" w:sz="0" w:space="0" w:color="auto"/>
        <w:left w:val="none" w:sz="0" w:space="0" w:color="auto"/>
        <w:bottom w:val="none" w:sz="0" w:space="0" w:color="auto"/>
        <w:right w:val="none" w:sz="0" w:space="0" w:color="auto"/>
      </w:divBdr>
    </w:div>
    <w:div w:id="307901996">
      <w:bodyDiv w:val="1"/>
      <w:marLeft w:val="0"/>
      <w:marRight w:val="0"/>
      <w:marTop w:val="0"/>
      <w:marBottom w:val="0"/>
      <w:divBdr>
        <w:top w:val="none" w:sz="0" w:space="0" w:color="auto"/>
        <w:left w:val="none" w:sz="0" w:space="0" w:color="auto"/>
        <w:bottom w:val="none" w:sz="0" w:space="0" w:color="auto"/>
        <w:right w:val="none" w:sz="0" w:space="0" w:color="auto"/>
      </w:divBdr>
    </w:div>
    <w:div w:id="310604320">
      <w:bodyDiv w:val="1"/>
      <w:marLeft w:val="0"/>
      <w:marRight w:val="0"/>
      <w:marTop w:val="0"/>
      <w:marBottom w:val="0"/>
      <w:divBdr>
        <w:top w:val="none" w:sz="0" w:space="0" w:color="auto"/>
        <w:left w:val="none" w:sz="0" w:space="0" w:color="auto"/>
        <w:bottom w:val="none" w:sz="0" w:space="0" w:color="auto"/>
        <w:right w:val="none" w:sz="0" w:space="0" w:color="auto"/>
      </w:divBdr>
    </w:div>
    <w:div w:id="320547402">
      <w:bodyDiv w:val="1"/>
      <w:marLeft w:val="0"/>
      <w:marRight w:val="0"/>
      <w:marTop w:val="0"/>
      <w:marBottom w:val="0"/>
      <w:divBdr>
        <w:top w:val="none" w:sz="0" w:space="0" w:color="auto"/>
        <w:left w:val="none" w:sz="0" w:space="0" w:color="auto"/>
        <w:bottom w:val="none" w:sz="0" w:space="0" w:color="auto"/>
        <w:right w:val="none" w:sz="0" w:space="0" w:color="auto"/>
      </w:divBdr>
    </w:div>
    <w:div w:id="321662965">
      <w:bodyDiv w:val="1"/>
      <w:marLeft w:val="0"/>
      <w:marRight w:val="0"/>
      <w:marTop w:val="0"/>
      <w:marBottom w:val="0"/>
      <w:divBdr>
        <w:top w:val="none" w:sz="0" w:space="0" w:color="auto"/>
        <w:left w:val="none" w:sz="0" w:space="0" w:color="auto"/>
        <w:bottom w:val="none" w:sz="0" w:space="0" w:color="auto"/>
        <w:right w:val="none" w:sz="0" w:space="0" w:color="auto"/>
      </w:divBdr>
    </w:div>
    <w:div w:id="322783846">
      <w:bodyDiv w:val="1"/>
      <w:marLeft w:val="0"/>
      <w:marRight w:val="0"/>
      <w:marTop w:val="0"/>
      <w:marBottom w:val="0"/>
      <w:divBdr>
        <w:top w:val="none" w:sz="0" w:space="0" w:color="auto"/>
        <w:left w:val="none" w:sz="0" w:space="0" w:color="auto"/>
        <w:bottom w:val="none" w:sz="0" w:space="0" w:color="auto"/>
        <w:right w:val="none" w:sz="0" w:space="0" w:color="auto"/>
      </w:divBdr>
    </w:div>
    <w:div w:id="326056233">
      <w:bodyDiv w:val="1"/>
      <w:marLeft w:val="0"/>
      <w:marRight w:val="0"/>
      <w:marTop w:val="0"/>
      <w:marBottom w:val="0"/>
      <w:divBdr>
        <w:top w:val="none" w:sz="0" w:space="0" w:color="auto"/>
        <w:left w:val="none" w:sz="0" w:space="0" w:color="auto"/>
        <w:bottom w:val="none" w:sz="0" w:space="0" w:color="auto"/>
        <w:right w:val="none" w:sz="0" w:space="0" w:color="auto"/>
      </w:divBdr>
    </w:div>
    <w:div w:id="327751315">
      <w:bodyDiv w:val="1"/>
      <w:marLeft w:val="0"/>
      <w:marRight w:val="0"/>
      <w:marTop w:val="0"/>
      <w:marBottom w:val="0"/>
      <w:divBdr>
        <w:top w:val="none" w:sz="0" w:space="0" w:color="auto"/>
        <w:left w:val="none" w:sz="0" w:space="0" w:color="auto"/>
        <w:bottom w:val="none" w:sz="0" w:space="0" w:color="auto"/>
        <w:right w:val="none" w:sz="0" w:space="0" w:color="auto"/>
      </w:divBdr>
    </w:div>
    <w:div w:id="329522393">
      <w:bodyDiv w:val="1"/>
      <w:marLeft w:val="0"/>
      <w:marRight w:val="0"/>
      <w:marTop w:val="0"/>
      <w:marBottom w:val="0"/>
      <w:divBdr>
        <w:top w:val="none" w:sz="0" w:space="0" w:color="auto"/>
        <w:left w:val="none" w:sz="0" w:space="0" w:color="auto"/>
        <w:bottom w:val="none" w:sz="0" w:space="0" w:color="auto"/>
        <w:right w:val="none" w:sz="0" w:space="0" w:color="auto"/>
      </w:divBdr>
    </w:div>
    <w:div w:id="332075645">
      <w:bodyDiv w:val="1"/>
      <w:marLeft w:val="0"/>
      <w:marRight w:val="0"/>
      <w:marTop w:val="0"/>
      <w:marBottom w:val="0"/>
      <w:divBdr>
        <w:top w:val="none" w:sz="0" w:space="0" w:color="auto"/>
        <w:left w:val="none" w:sz="0" w:space="0" w:color="auto"/>
        <w:bottom w:val="none" w:sz="0" w:space="0" w:color="auto"/>
        <w:right w:val="none" w:sz="0" w:space="0" w:color="auto"/>
      </w:divBdr>
    </w:div>
    <w:div w:id="337585166">
      <w:bodyDiv w:val="1"/>
      <w:marLeft w:val="0"/>
      <w:marRight w:val="0"/>
      <w:marTop w:val="0"/>
      <w:marBottom w:val="0"/>
      <w:divBdr>
        <w:top w:val="none" w:sz="0" w:space="0" w:color="auto"/>
        <w:left w:val="none" w:sz="0" w:space="0" w:color="auto"/>
        <w:bottom w:val="none" w:sz="0" w:space="0" w:color="auto"/>
        <w:right w:val="none" w:sz="0" w:space="0" w:color="auto"/>
      </w:divBdr>
    </w:div>
    <w:div w:id="338309271">
      <w:bodyDiv w:val="1"/>
      <w:marLeft w:val="0"/>
      <w:marRight w:val="0"/>
      <w:marTop w:val="0"/>
      <w:marBottom w:val="0"/>
      <w:divBdr>
        <w:top w:val="none" w:sz="0" w:space="0" w:color="auto"/>
        <w:left w:val="none" w:sz="0" w:space="0" w:color="auto"/>
        <w:bottom w:val="none" w:sz="0" w:space="0" w:color="auto"/>
        <w:right w:val="none" w:sz="0" w:space="0" w:color="auto"/>
      </w:divBdr>
    </w:div>
    <w:div w:id="339238039">
      <w:bodyDiv w:val="1"/>
      <w:marLeft w:val="0"/>
      <w:marRight w:val="0"/>
      <w:marTop w:val="0"/>
      <w:marBottom w:val="0"/>
      <w:divBdr>
        <w:top w:val="none" w:sz="0" w:space="0" w:color="auto"/>
        <w:left w:val="none" w:sz="0" w:space="0" w:color="auto"/>
        <w:bottom w:val="none" w:sz="0" w:space="0" w:color="auto"/>
        <w:right w:val="none" w:sz="0" w:space="0" w:color="auto"/>
      </w:divBdr>
    </w:div>
    <w:div w:id="339815760">
      <w:bodyDiv w:val="1"/>
      <w:marLeft w:val="0"/>
      <w:marRight w:val="0"/>
      <w:marTop w:val="0"/>
      <w:marBottom w:val="0"/>
      <w:divBdr>
        <w:top w:val="none" w:sz="0" w:space="0" w:color="auto"/>
        <w:left w:val="none" w:sz="0" w:space="0" w:color="auto"/>
        <w:bottom w:val="none" w:sz="0" w:space="0" w:color="auto"/>
        <w:right w:val="none" w:sz="0" w:space="0" w:color="auto"/>
      </w:divBdr>
    </w:div>
    <w:div w:id="341204314">
      <w:bodyDiv w:val="1"/>
      <w:marLeft w:val="0"/>
      <w:marRight w:val="0"/>
      <w:marTop w:val="0"/>
      <w:marBottom w:val="0"/>
      <w:divBdr>
        <w:top w:val="none" w:sz="0" w:space="0" w:color="auto"/>
        <w:left w:val="none" w:sz="0" w:space="0" w:color="auto"/>
        <w:bottom w:val="none" w:sz="0" w:space="0" w:color="auto"/>
        <w:right w:val="none" w:sz="0" w:space="0" w:color="auto"/>
      </w:divBdr>
    </w:div>
    <w:div w:id="349452700">
      <w:bodyDiv w:val="1"/>
      <w:marLeft w:val="0"/>
      <w:marRight w:val="0"/>
      <w:marTop w:val="0"/>
      <w:marBottom w:val="0"/>
      <w:divBdr>
        <w:top w:val="none" w:sz="0" w:space="0" w:color="auto"/>
        <w:left w:val="none" w:sz="0" w:space="0" w:color="auto"/>
        <w:bottom w:val="none" w:sz="0" w:space="0" w:color="auto"/>
        <w:right w:val="none" w:sz="0" w:space="0" w:color="auto"/>
      </w:divBdr>
    </w:div>
    <w:div w:id="352458359">
      <w:bodyDiv w:val="1"/>
      <w:marLeft w:val="0"/>
      <w:marRight w:val="0"/>
      <w:marTop w:val="0"/>
      <w:marBottom w:val="0"/>
      <w:divBdr>
        <w:top w:val="none" w:sz="0" w:space="0" w:color="auto"/>
        <w:left w:val="none" w:sz="0" w:space="0" w:color="auto"/>
        <w:bottom w:val="none" w:sz="0" w:space="0" w:color="auto"/>
        <w:right w:val="none" w:sz="0" w:space="0" w:color="auto"/>
      </w:divBdr>
    </w:div>
    <w:div w:id="356472219">
      <w:bodyDiv w:val="1"/>
      <w:marLeft w:val="0"/>
      <w:marRight w:val="0"/>
      <w:marTop w:val="0"/>
      <w:marBottom w:val="0"/>
      <w:divBdr>
        <w:top w:val="none" w:sz="0" w:space="0" w:color="auto"/>
        <w:left w:val="none" w:sz="0" w:space="0" w:color="auto"/>
        <w:bottom w:val="none" w:sz="0" w:space="0" w:color="auto"/>
        <w:right w:val="none" w:sz="0" w:space="0" w:color="auto"/>
      </w:divBdr>
    </w:div>
    <w:div w:id="359356502">
      <w:bodyDiv w:val="1"/>
      <w:marLeft w:val="0"/>
      <w:marRight w:val="0"/>
      <w:marTop w:val="0"/>
      <w:marBottom w:val="0"/>
      <w:divBdr>
        <w:top w:val="none" w:sz="0" w:space="0" w:color="auto"/>
        <w:left w:val="none" w:sz="0" w:space="0" w:color="auto"/>
        <w:bottom w:val="none" w:sz="0" w:space="0" w:color="auto"/>
        <w:right w:val="none" w:sz="0" w:space="0" w:color="auto"/>
      </w:divBdr>
    </w:div>
    <w:div w:id="361825984">
      <w:bodyDiv w:val="1"/>
      <w:marLeft w:val="0"/>
      <w:marRight w:val="0"/>
      <w:marTop w:val="0"/>
      <w:marBottom w:val="0"/>
      <w:divBdr>
        <w:top w:val="none" w:sz="0" w:space="0" w:color="auto"/>
        <w:left w:val="none" w:sz="0" w:space="0" w:color="auto"/>
        <w:bottom w:val="none" w:sz="0" w:space="0" w:color="auto"/>
        <w:right w:val="none" w:sz="0" w:space="0" w:color="auto"/>
      </w:divBdr>
    </w:div>
    <w:div w:id="365179058">
      <w:bodyDiv w:val="1"/>
      <w:marLeft w:val="0"/>
      <w:marRight w:val="0"/>
      <w:marTop w:val="0"/>
      <w:marBottom w:val="0"/>
      <w:divBdr>
        <w:top w:val="none" w:sz="0" w:space="0" w:color="auto"/>
        <w:left w:val="none" w:sz="0" w:space="0" w:color="auto"/>
        <w:bottom w:val="none" w:sz="0" w:space="0" w:color="auto"/>
        <w:right w:val="none" w:sz="0" w:space="0" w:color="auto"/>
      </w:divBdr>
    </w:div>
    <w:div w:id="367024663">
      <w:bodyDiv w:val="1"/>
      <w:marLeft w:val="0"/>
      <w:marRight w:val="0"/>
      <w:marTop w:val="0"/>
      <w:marBottom w:val="0"/>
      <w:divBdr>
        <w:top w:val="none" w:sz="0" w:space="0" w:color="auto"/>
        <w:left w:val="none" w:sz="0" w:space="0" w:color="auto"/>
        <w:bottom w:val="none" w:sz="0" w:space="0" w:color="auto"/>
        <w:right w:val="none" w:sz="0" w:space="0" w:color="auto"/>
      </w:divBdr>
    </w:div>
    <w:div w:id="368725549">
      <w:bodyDiv w:val="1"/>
      <w:marLeft w:val="0"/>
      <w:marRight w:val="0"/>
      <w:marTop w:val="0"/>
      <w:marBottom w:val="0"/>
      <w:divBdr>
        <w:top w:val="none" w:sz="0" w:space="0" w:color="auto"/>
        <w:left w:val="none" w:sz="0" w:space="0" w:color="auto"/>
        <w:bottom w:val="none" w:sz="0" w:space="0" w:color="auto"/>
        <w:right w:val="none" w:sz="0" w:space="0" w:color="auto"/>
      </w:divBdr>
    </w:div>
    <w:div w:id="375551274">
      <w:bodyDiv w:val="1"/>
      <w:marLeft w:val="0"/>
      <w:marRight w:val="0"/>
      <w:marTop w:val="0"/>
      <w:marBottom w:val="0"/>
      <w:divBdr>
        <w:top w:val="none" w:sz="0" w:space="0" w:color="auto"/>
        <w:left w:val="none" w:sz="0" w:space="0" w:color="auto"/>
        <w:bottom w:val="none" w:sz="0" w:space="0" w:color="auto"/>
        <w:right w:val="none" w:sz="0" w:space="0" w:color="auto"/>
      </w:divBdr>
    </w:div>
    <w:div w:id="376047255">
      <w:bodyDiv w:val="1"/>
      <w:marLeft w:val="0"/>
      <w:marRight w:val="0"/>
      <w:marTop w:val="0"/>
      <w:marBottom w:val="0"/>
      <w:divBdr>
        <w:top w:val="none" w:sz="0" w:space="0" w:color="auto"/>
        <w:left w:val="none" w:sz="0" w:space="0" w:color="auto"/>
        <w:bottom w:val="none" w:sz="0" w:space="0" w:color="auto"/>
        <w:right w:val="none" w:sz="0" w:space="0" w:color="auto"/>
      </w:divBdr>
    </w:div>
    <w:div w:id="376441825">
      <w:bodyDiv w:val="1"/>
      <w:marLeft w:val="0"/>
      <w:marRight w:val="0"/>
      <w:marTop w:val="0"/>
      <w:marBottom w:val="0"/>
      <w:divBdr>
        <w:top w:val="none" w:sz="0" w:space="0" w:color="auto"/>
        <w:left w:val="none" w:sz="0" w:space="0" w:color="auto"/>
        <w:bottom w:val="none" w:sz="0" w:space="0" w:color="auto"/>
        <w:right w:val="none" w:sz="0" w:space="0" w:color="auto"/>
      </w:divBdr>
    </w:div>
    <w:div w:id="383989405">
      <w:bodyDiv w:val="1"/>
      <w:marLeft w:val="0"/>
      <w:marRight w:val="0"/>
      <w:marTop w:val="0"/>
      <w:marBottom w:val="0"/>
      <w:divBdr>
        <w:top w:val="none" w:sz="0" w:space="0" w:color="auto"/>
        <w:left w:val="none" w:sz="0" w:space="0" w:color="auto"/>
        <w:bottom w:val="none" w:sz="0" w:space="0" w:color="auto"/>
        <w:right w:val="none" w:sz="0" w:space="0" w:color="auto"/>
      </w:divBdr>
    </w:div>
    <w:div w:id="384334930">
      <w:bodyDiv w:val="1"/>
      <w:marLeft w:val="0"/>
      <w:marRight w:val="0"/>
      <w:marTop w:val="0"/>
      <w:marBottom w:val="0"/>
      <w:divBdr>
        <w:top w:val="none" w:sz="0" w:space="0" w:color="auto"/>
        <w:left w:val="none" w:sz="0" w:space="0" w:color="auto"/>
        <w:bottom w:val="none" w:sz="0" w:space="0" w:color="auto"/>
        <w:right w:val="none" w:sz="0" w:space="0" w:color="auto"/>
      </w:divBdr>
    </w:div>
    <w:div w:id="403338365">
      <w:bodyDiv w:val="1"/>
      <w:marLeft w:val="0"/>
      <w:marRight w:val="0"/>
      <w:marTop w:val="0"/>
      <w:marBottom w:val="0"/>
      <w:divBdr>
        <w:top w:val="none" w:sz="0" w:space="0" w:color="auto"/>
        <w:left w:val="none" w:sz="0" w:space="0" w:color="auto"/>
        <w:bottom w:val="none" w:sz="0" w:space="0" w:color="auto"/>
        <w:right w:val="none" w:sz="0" w:space="0" w:color="auto"/>
      </w:divBdr>
    </w:div>
    <w:div w:id="412701461">
      <w:bodyDiv w:val="1"/>
      <w:marLeft w:val="0"/>
      <w:marRight w:val="0"/>
      <w:marTop w:val="0"/>
      <w:marBottom w:val="0"/>
      <w:divBdr>
        <w:top w:val="none" w:sz="0" w:space="0" w:color="auto"/>
        <w:left w:val="none" w:sz="0" w:space="0" w:color="auto"/>
        <w:bottom w:val="none" w:sz="0" w:space="0" w:color="auto"/>
        <w:right w:val="none" w:sz="0" w:space="0" w:color="auto"/>
      </w:divBdr>
    </w:div>
    <w:div w:id="415176140">
      <w:bodyDiv w:val="1"/>
      <w:marLeft w:val="0"/>
      <w:marRight w:val="0"/>
      <w:marTop w:val="0"/>
      <w:marBottom w:val="0"/>
      <w:divBdr>
        <w:top w:val="none" w:sz="0" w:space="0" w:color="auto"/>
        <w:left w:val="none" w:sz="0" w:space="0" w:color="auto"/>
        <w:bottom w:val="none" w:sz="0" w:space="0" w:color="auto"/>
        <w:right w:val="none" w:sz="0" w:space="0" w:color="auto"/>
      </w:divBdr>
    </w:div>
    <w:div w:id="417167705">
      <w:bodyDiv w:val="1"/>
      <w:marLeft w:val="0"/>
      <w:marRight w:val="0"/>
      <w:marTop w:val="0"/>
      <w:marBottom w:val="0"/>
      <w:divBdr>
        <w:top w:val="none" w:sz="0" w:space="0" w:color="auto"/>
        <w:left w:val="none" w:sz="0" w:space="0" w:color="auto"/>
        <w:bottom w:val="none" w:sz="0" w:space="0" w:color="auto"/>
        <w:right w:val="none" w:sz="0" w:space="0" w:color="auto"/>
      </w:divBdr>
    </w:div>
    <w:div w:id="419908307">
      <w:bodyDiv w:val="1"/>
      <w:marLeft w:val="0"/>
      <w:marRight w:val="0"/>
      <w:marTop w:val="0"/>
      <w:marBottom w:val="0"/>
      <w:divBdr>
        <w:top w:val="none" w:sz="0" w:space="0" w:color="auto"/>
        <w:left w:val="none" w:sz="0" w:space="0" w:color="auto"/>
        <w:bottom w:val="none" w:sz="0" w:space="0" w:color="auto"/>
        <w:right w:val="none" w:sz="0" w:space="0" w:color="auto"/>
      </w:divBdr>
    </w:div>
    <w:div w:id="420757007">
      <w:bodyDiv w:val="1"/>
      <w:marLeft w:val="0"/>
      <w:marRight w:val="0"/>
      <w:marTop w:val="0"/>
      <w:marBottom w:val="0"/>
      <w:divBdr>
        <w:top w:val="none" w:sz="0" w:space="0" w:color="auto"/>
        <w:left w:val="none" w:sz="0" w:space="0" w:color="auto"/>
        <w:bottom w:val="none" w:sz="0" w:space="0" w:color="auto"/>
        <w:right w:val="none" w:sz="0" w:space="0" w:color="auto"/>
      </w:divBdr>
    </w:div>
    <w:div w:id="421462038">
      <w:bodyDiv w:val="1"/>
      <w:marLeft w:val="0"/>
      <w:marRight w:val="0"/>
      <w:marTop w:val="0"/>
      <w:marBottom w:val="0"/>
      <w:divBdr>
        <w:top w:val="none" w:sz="0" w:space="0" w:color="auto"/>
        <w:left w:val="none" w:sz="0" w:space="0" w:color="auto"/>
        <w:bottom w:val="none" w:sz="0" w:space="0" w:color="auto"/>
        <w:right w:val="none" w:sz="0" w:space="0" w:color="auto"/>
      </w:divBdr>
    </w:div>
    <w:div w:id="429397442">
      <w:bodyDiv w:val="1"/>
      <w:marLeft w:val="0"/>
      <w:marRight w:val="0"/>
      <w:marTop w:val="0"/>
      <w:marBottom w:val="0"/>
      <w:divBdr>
        <w:top w:val="none" w:sz="0" w:space="0" w:color="auto"/>
        <w:left w:val="none" w:sz="0" w:space="0" w:color="auto"/>
        <w:bottom w:val="none" w:sz="0" w:space="0" w:color="auto"/>
        <w:right w:val="none" w:sz="0" w:space="0" w:color="auto"/>
      </w:divBdr>
    </w:div>
    <w:div w:id="433521214">
      <w:bodyDiv w:val="1"/>
      <w:marLeft w:val="0"/>
      <w:marRight w:val="0"/>
      <w:marTop w:val="0"/>
      <w:marBottom w:val="0"/>
      <w:divBdr>
        <w:top w:val="none" w:sz="0" w:space="0" w:color="auto"/>
        <w:left w:val="none" w:sz="0" w:space="0" w:color="auto"/>
        <w:bottom w:val="none" w:sz="0" w:space="0" w:color="auto"/>
        <w:right w:val="none" w:sz="0" w:space="0" w:color="auto"/>
      </w:divBdr>
    </w:div>
    <w:div w:id="436144862">
      <w:bodyDiv w:val="1"/>
      <w:marLeft w:val="0"/>
      <w:marRight w:val="0"/>
      <w:marTop w:val="0"/>
      <w:marBottom w:val="0"/>
      <w:divBdr>
        <w:top w:val="none" w:sz="0" w:space="0" w:color="auto"/>
        <w:left w:val="none" w:sz="0" w:space="0" w:color="auto"/>
        <w:bottom w:val="none" w:sz="0" w:space="0" w:color="auto"/>
        <w:right w:val="none" w:sz="0" w:space="0" w:color="auto"/>
      </w:divBdr>
    </w:div>
    <w:div w:id="437259554">
      <w:bodyDiv w:val="1"/>
      <w:marLeft w:val="0"/>
      <w:marRight w:val="0"/>
      <w:marTop w:val="0"/>
      <w:marBottom w:val="0"/>
      <w:divBdr>
        <w:top w:val="none" w:sz="0" w:space="0" w:color="auto"/>
        <w:left w:val="none" w:sz="0" w:space="0" w:color="auto"/>
        <w:bottom w:val="none" w:sz="0" w:space="0" w:color="auto"/>
        <w:right w:val="none" w:sz="0" w:space="0" w:color="auto"/>
      </w:divBdr>
    </w:div>
    <w:div w:id="442844422">
      <w:bodyDiv w:val="1"/>
      <w:marLeft w:val="0"/>
      <w:marRight w:val="0"/>
      <w:marTop w:val="0"/>
      <w:marBottom w:val="0"/>
      <w:divBdr>
        <w:top w:val="none" w:sz="0" w:space="0" w:color="auto"/>
        <w:left w:val="none" w:sz="0" w:space="0" w:color="auto"/>
        <w:bottom w:val="none" w:sz="0" w:space="0" w:color="auto"/>
        <w:right w:val="none" w:sz="0" w:space="0" w:color="auto"/>
      </w:divBdr>
    </w:div>
    <w:div w:id="443814995">
      <w:bodyDiv w:val="1"/>
      <w:marLeft w:val="0"/>
      <w:marRight w:val="0"/>
      <w:marTop w:val="0"/>
      <w:marBottom w:val="0"/>
      <w:divBdr>
        <w:top w:val="none" w:sz="0" w:space="0" w:color="auto"/>
        <w:left w:val="none" w:sz="0" w:space="0" w:color="auto"/>
        <w:bottom w:val="none" w:sz="0" w:space="0" w:color="auto"/>
        <w:right w:val="none" w:sz="0" w:space="0" w:color="auto"/>
      </w:divBdr>
    </w:div>
    <w:div w:id="461777465">
      <w:bodyDiv w:val="1"/>
      <w:marLeft w:val="0"/>
      <w:marRight w:val="0"/>
      <w:marTop w:val="0"/>
      <w:marBottom w:val="0"/>
      <w:divBdr>
        <w:top w:val="none" w:sz="0" w:space="0" w:color="auto"/>
        <w:left w:val="none" w:sz="0" w:space="0" w:color="auto"/>
        <w:bottom w:val="none" w:sz="0" w:space="0" w:color="auto"/>
        <w:right w:val="none" w:sz="0" w:space="0" w:color="auto"/>
      </w:divBdr>
    </w:div>
    <w:div w:id="462845061">
      <w:bodyDiv w:val="1"/>
      <w:marLeft w:val="0"/>
      <w:marRight w:val="0"/>
      <w:marTop w:val="0"/>
      <w:marBottom w:val="0"/>
      <w:divBdr>
        <w:top w:val="none" w:sz="0" w:space="0" w:color="auto"/>
        <w:left w:val="none" w:sz="0" w:space="0" w:color="auto"/>
        <w:bottom w:val="none" w:sz="0" w:space="0" w:color="auto"/>
        <w:right w:val="none" w:sz="0" w:space="0" w:color="auto"/>
      </w:divBdr>
    </w:div>
    <w:div w:id="464274507">
      <w:bodyDiv w:val="1"/>
      <w:marLeft w:val="0"/>
      <w:marRight w:val="0"/>
      <w:marTop w:val="0"/>
      <w:marBottom w:val="0"/>
      <w:divBdr>
        <w:top w:val="none" w:sz="0" w:space="0" w:color="auto"/>
        <w:left w:val="none" w:sz="0" w:space="0" w:color="auto"/>
        <w:bottom w:val="none" w:sz="0" w:space="0" w:color="auto"/>
        <w:right w:val="none" w:sz="0" w:space="0" w:color="auto"/>
      </w:divBdr>
    </w:div>
    <w:div w:id="479275253">
      <w:bodyDiv w:val="1"/>
      <w:marLeft w:val="0"/>
      <w:marRight w:val="0"/>
      <w:marTop w:val="0"/>
      <w:marBottom w:val="0"/>
      <w:divBdr>
        <w:top w:val="none" w:sz="0" w:space="0" w:color="auto"/>
        <w:left w:val="none" w:sz="0" w:space="0" w:color="auto"/>
        <w:bottom w:val="none" w:sz="0" w:space="0" w:color="auto"/>
        <w:right w:val="none" w:sz="0" w:space="0" w:color="auto"/>
      </w:divBdr>
    </w:div>
    <w:div w:id="479737764">
      <w:bodyDiv w:val="1"/>
      <w:marLeft w:val="0"/>
      <w:marRight w:val="0"/>
      <w:marTop w:val="0"/>
      <w:marBottom w:val="0"/>
      <w:divBdr>
        <w:top w:val="none" w:sz="0" w:space="0" w:color="auto"/>
        <w:left w:val="none" w:sz="0" w:space="0" w:color="auto"/>
        <w:bottom w:val="none" w:sz="0" w:space="0" w:color="auto"/>
        <w:right w:val="none" w:sz="0" w:space="0" w:color="auto"/>
      </w:divBdr>
    </w:div>
    <w:div w:id="482744099">
      <w:bodyDiv w:val="1"/>
      <w:marLeft w:val="0"/>
      <w:marRight w:val="0"/>
      <w:marTop w:val="0"/>
      <w:marBottom w:val="0"/>
      <w:divBdr>
        <w:top w:val="none" w:sz="0" w:space="0" w:color="auto"/>
        <w:left w:val="none" w:sz="0" w:space="0" w:color="auto"/>
        <w:bottom w:val="none" w:sz="0" w:space="0" w:color="auto"/>
        <w:right w:val="none" w:sz="0" w:space="0" w:color="auto"/>
      </w:divBdr>
    </w:div>
    <w:div w:id="485438899">
      <w:bodyDiv w:val="1"/>
      <w:marLeft w:val="0"/>
      <w:marRight w:val="0"/>
      <w:marTop w:val="0"/>
      <w:marBottom w:val="0"/>
      <w:divBdr>
        <w:top w:val="none" w:sz="0" w:space="0" w:color="auto"/>
        <w:left w:val="none" w:sz="0" w:space="0" w:color="auto"/>
        <w:bottom w:val="none" w:sz="0" w:space="0" w:color="auto"/>
        <w:right w:val="none" w:sz="0" w:space="0" w:color="auto"/>
      </w:divBdr>
    </w:div>
    <w:div w:id="487289522">
      <w:bodyDiv w:val="1"/>
      <w:marLeft w:val="0"/>
      <w:marRight w:val="0"/>
      <w:marTop w:val="0"/>
      <w:marBottom w:val="0"/>
      <w:divBdr>
        <w:top w:val="none" w:sz="0" w:space="0" w:color="auto"/>
        <w:left w:val="none" w:sz="0" w:space="0" w:color="auto"/>
        <w:bottom w:val="none" w:sz="0" w:space="0" w:color="auto"/>
        <w:right w:val="none" w:sz="0" w:space="0" w:color="auto"/>
      </w:divBdr>
    </w:div>
    <w:div w:id="489490684">
      <w:bodyDiv w:val="1"/>
      <w:marLeft w:val="0"/>
      <w:marRight w:val="0"/>
      <w:marTop w:val="0"/>
      <w:marBottom w:val="0"/>
      <w:divBdr>
        <w:top w:val="none" w:sz="0" w:space="0" w:color="auto"/>
        <w:left w:val="none" w:sz="0" w:space="0" w:color="auto"/>
        <w:bottom w:val="none" w:sz="0" w:space="0" w:color="auto"/>
        <w:right w:val="none" w:sz="0" w:space="0" w:color="auto"/>
      </w:divBdr>
    </w:div>
    <w:div w:id="496963626">
      <w:bodyDiv w:val="1"/>
      <w:marLeft w:val="0"/>
      <w:marRight w:val="0"/>
      <w:marTop w:val="0"/>
      <w:marBottom w:val="0"/>
      <w:divBdr>
        <w:top w:val="none" w:sz="0" w:space="0" w:color="auto"/>
        <w:left w:val="none" w:sz="0" w:space="0" w:color="auto"/>
        <w:bottom w:val="none" w:sz="0" w:space="0" w:color="auto"/>
        <w:right w:val="none" w:sz="0" w:space="0" w:color="auto"/>
      </w:divBdr>
    </w:div>
    <w:div w:id="497884578">
      <w:bodyDiv w:val="1"/>
      <w:marLeft w:val="0"/>
      <w:marRight w:val="0"/>
      <w:marTop w:val="0"/>
      <w:marBottom w:val="0"/>
      <w:divBdr>
        <w:top w:val="none" w:sz="0" w:space="0" w:color="auto"/>
        <w:left w:val="none" w:sz="0" w:space="0" w:color="auto"/>
        <w:bottom w:val="none" w:sz="0" w:space="0" w:color="auto"/>
        <w:right w:val="none" w:sz="0" w:space="0" w:color="auto"/>
      </w:divBdr>
    </w:div>
    <w:div w:id="498739255">
      <w:bodyDiv w:val="1"/>
      <w:marLeft w:val="0"/>
      <w:marRight w:val="0"/>
      <w:marTop w:val="0"/>
      <w:marBottom w:val="0"/>
      <w:divBdr>
        <w:top w:val="none" w:sz="0" w:space="0" w:color="auto"/>
        <w:left w:val="none" w:sz="0" w:space="0" w:color="auto"/>
        <w:bottom w:val="none" w:sz="0" w:space="0" w:color="auto"/>
        <w:right w:val="none" w:sz="0" w:space="0" w:color="auto"/>
      </w:divBdr>
    </w:div>
    <w:div w:id="502548887">
      <w:bodyDiv w:val="1"/>
      <w:marLeft w:val="0"/>
      <w:marRight w:val="0"/>
      <w:marTop w:val="0"/>
      <w:marBottom w:val="0"/>
      <w:divBdr>
        <w:top w:val="none" w:sz="0" w:space="0" w:color="auto"/>
        <w:left w:val="none" w:sz="0" w:space="0" w:color="auto"/>
        <w:bottom w:val="none" w:sz="0" w:space="0" w:color="auto"/>
        <w:right w:val="none" w:sz="0" w:space="0" w:color="auto"/>
      </w:divBdr>
    </w:div>
    <w:div w:id="503202082">
      <w:bodyDiv w:val="1"/>
      <w:marLeft w:val="0"/>
      <w:marRight w:val="0"/>
      <w:marTop w:val="0"/>
      <w:marBottom w:val="0"/>
      <w:divBdr>
        <w:top w:val="none" w:sz="0" w:space="0" w:color="auto"/>
        <w:left w:val="none" w:sz="0" w:space="0" w:color="auto"/>
        <w:bottom w:val="none" w:sz="0" w:space="0" w:color="auto"/>
        <w:right w:val="none" w:sz="0" w:space="0" w:color="auto"/>
      </w:divBdr>
    </w:div>
    <w:div w:id="505480888">
      <w:bodyDiv w:val="1"/>
      <w:marLeft w:val="0"/>
      <w:marRight w:val="0"/>
      <w:marTop w:val="0"/>
      <w:marBottom w:val="0"/>
      <w:divBdr>
        <w:top w:val="none" w:sz="0" w:space="0" w:color="auto"/>
        <w:left w:val="none" w:sz="0" w:space="0" w:color="auto"/>
        <w:bottom w:val="none" w:sz="0" w:space="0" w:color="auto"/>
        <w:right w:val="none" w:sz="0" w:space="0" w:color="auto"/>
      </w:divBdr>
    </w:div>
    <w:div w:id="510918796">
      <w:bodyDiv w:val="1"/>
      <w:marLeft w:val="0"/>
      <w:marRight w:val="0"/>
      <w:marTop w:val="0"/>
      <w:marBottom w:val="0"/>
      <w:divBdr>
        <w:top w:val="none" w:sz="0" w:space="0" w:color="auto"/>
        <w:left w:val="none" w:sz="0" w:space="0" w:color="auto"/>
        <w:bottom w:val="none" w:sz="0" w:space="0" w:color="auto"/>
        <w:right w:val="none" w:sz="0" w:space="0" w:color="auto"/>
      </w:divBdr>
    </w:div>
    <w:div w:id="514612256">
      <w:bodyDiv w:val="1"/>
      <w:marLeft w:val="0"/>
      <w:marRight w:val="0"/>
      <w:marTop w:val="0"/>
      <w:marBottom w:val="0"/>
      <w:divBdr>
        <w:top w:val="none" w:sz="0" w:space="0" w:color="auto"/>
        <w:left w:val="none" w:sz="0" w:space="0" w:color="auto"/>
        <w:bottom w:val="none" w:sz="0" w:space="0" w:color="auto"/>
        <w:right w:val="none" w:sz="0" w:space="0" w:color="auto"/>
      </w:divBdr>
    </w:div>
    <w:div w:id="515772255">
      <w:bodyDiv w:val="1"/>
      <w:marLeft w:val="0"/>
      <w:marRight w:val="0"/>
      <w:marTop w:val="0"/>
      <w:marBottom w:val="0"/>
      <w:divBdr>
        <w:top w:val="none" w:sz="0" w:space="0" w:color="auto"/>
        <w:left w:val="none" w:sz="0" w:space="0" w:color="auto"/>
        <w:bottom w:val="none" w:sz="0" w:space="0" w:color="auto"/>
        <w:right w:val="none" w:sz="0" w:space="0" w:color="auto"/>
      </w:divBdr>
    </w:div>
    <w:div w:id="516189573">
      <w:bodyDiv w:val="1"/>
      <w:marLeft w:val="0"/>
      <w:marRight w:val="0"/>
      <w:marTop w:val="0"/>
      <w:marBottom w:val="0"/>
      <w:divBdr>
        <w:top w:val="none" w:sz="0" w:space="0" w:color="auto"/>
        <w:left w:val="none" w:sz="0" w:space="0" w:color="auto"/>
        <w:bottom w:val="none" w:sz="0" w:space="0" w:color="auto"/>
        <w:right w:val="none" w:sz="0" w:space="0" w:color="auto"/>
      </w:divBdr>
    </w:div>
    <w:div w:id="516888167">
      <w:bodyDiv w:val="1"/>
      <w:marLeft w:val="0"/>
      <w:marRight w:val="0"/>
      <w:marTop w:val="0"/>
      <w:marBottom w:val="0"/>
      <w:divBdr>
        <w:top w:val="none" w:sz="0" w:space="0" w:color="auto"/>
        <w:left w:val="none" w:sz="0" w:space="0" w:color="auto"/>
        <w:bottom w:val="none" w:sz="0" w:space="0" w:color="auto"/>
        <w:right w:val="none" w:sz="0" w:space="0" w:color="auto"/>
      </w:divBdr>
    </w:div>
    <w:div w:id="519512050">
      <w:bodyDiv w:val="1"/>
      <w:marLeft w:val="0"/>
      <w:marRight w:val="0"/>
      <w:marTop w:val="0"/>
      <w:marBottom w:val="0"/>
      <w:divBdr>
        <w:top w:val="none" w:sz="0" w:space="0" w:color="auto"/>
        <w:left w:val="none" w:sz="0" w:space="0" w:color="auto"/>
        <w:bottom w:val="none" w:sz="0" w:space="0" w:color="auto"/>
        <w:right w:val="none" w:sz="0" w:space="0" w:color="auto"/>
      </w:divBdr>
    </w:div>
    <w:div w:id="528026361">
      <w:bodyDiv w:val="1"/>
      <w:marLeft w:val="0"/>
      <w:marRight w:val="0"/>
      <w:marTop w:val="0"/>
      <w:marBottom w:val="0"/>
      <w:divBdr>
        <w:top w:val="none" w:sz="0" w:space="0" w:color="auto"/>
        <w:left w:val="none" w:sz="0" w:space="0" w:color="auto"/>
        <w:bottom w:val="none" w:sz="0" w:space="0" w:color="auto"/>
        <w:right w:val="none" w:sz="0" w:space="0" w:color="auto"/>
      </w:divBdr>
    </w:div>
    <w:div w:id="531649466">
      <w:bodyDiv w:val="1"/>
      <w:marLeft w:val="0"/>
      <w:marRight w:val="0"/>
      <w:marTop w:val="0"/>
      <w:marBottom w:val="0"/>
      <w:divBdr>
        <w:top w:val="none" w:sz="0" w:space="0" w:color="auto"/>
        <w:left w:val="none" w:sz="0" w:space="0" w:color="auto"/>
        <w:bottom w:val="none" w:sz="0" w:space="0" w:color="auto"/>
        <w:right w:val="none" w:sz="0" w:space="0" w:color="auto"/>
      </w:divBdr>
    </w:div>
    <w:div w:id="537284887">
      <w:bodyDiv w:val="1"/>
      <w:marLeft w:val="0"/>
      <w:marRight w:val="0"/>
      <w:marTop w:val="0"/>
      <w:marBottom w:val="0"/>
      <w:divBdr>
        <w:top w:val="none" w:sz="0" w:space="0" w:color="auto"/>
        <w:left w:val="none" w:sz="0" w:space="0" w:color="auto"/>
        <w:bottom w:val="none" w:sz="0" w:space="0" w:color="auto"/>
        <w:right w:val="none" w:sz="0" w:space="0" w:color="auto"/>
      </w:divBdr>
    </w:div>
    <w:div w:id="537475563">
      <w:bodyDiv w:val="1"/>
      <w:marLeft w:val="0"/>
      <w:marRight w:val="0"/>
      <w:marTop w:val="0"/>
      <w:marBottom w:val="0"/>
      <w:divBdr>
        <w:top w:val="none" w:sz="0" w:space="0" w:color="auto"/>
        <w:left w:val="none" w:sz="0" w:space="0" w:color="auto"/>
        <w:bottom w:val="none" w:sz="0" w:space="0" w:color="auto"/>
        <w:right w:val="none" w:sz="0" w:space="0" w:color="auto"/>
      </w:divBdr>
    </w:div>
    <w:div w:id="540363163">
      <w:bodyDiv w:val="1"/>
      <w:marLeft w:val="0"/>
      <w:marRight w:val="0"/>
      <w:marTop w:val="0"/>
      <w:marBottom w:val="0"/>
      <w:divBdr>
        <w:top w:val="none" w:sz="0" w:space="0" w:color="auto"/>
        <w:left w:val="none" w:sz="0" w:space="0" w:color="auto"/>
        <w:bottom w:val="none" w:sz="0" w:space="0" w:color="auto"/>
        <w:right w:val="none" w:sz="0" w:space="0" w:color="auto"/>
      </w:divBdr>
    </w:div>
    <w:div w:id="542715062">
      <w:bodyDiv w:val="1"/>
      <w:marLeft w:val="0"/>
      <w:marRight w:val="0"/>
      <w:marTop w:val="0"/>
      <w:marBottom w:val="0"/>
      <w:divBdr>
        <w:top w:val="none" w:sz="0" w:space="0" w:color="auto"/>
        <w:left w:val="none" w:sz="0" w:space="0" w:color="auto"/>
        <w:bottom w:val="none" w:sz="0" w:space="0" w:color="auto"/>
        <w:right w:val="none" w:sz="0" w:space="0" w:color="auto"/>
      </w:divBdr>
    </w:div>
    <w:div w:id="547762349">
      <w:bodyDiv w:val="1"/>
      <w:marLeft w:val="0"/>
      <w:marRight w:val="0"/>
      <w:marTop w:val="0"/>
      <w:marBottom w:val="0"/>
      <w:divBdr>
        <w:top w:val="none" w:sz="0" w:space="0" w:color="auto"/>
        <w:left w:val="none" w:sz="0" w:space="0" w:color="auto"/>
        <w:bottom w:val="none" w:sz="0" w:space="0" w:color="auto"/>
        <w:right w:val="none" w:sz="0" w:space="0" w:color="auto"/>
      </w:divBdr>
    </w:div>
    <w:div w:id="547882830">
      <w:bodyDiv w:val="1"/>
      <w:marLeft w:val="0"/>
      <w:marRight w:val="0"/>
      <w:marTop w:val="0"/>
      <w:marBottom w:val="0"/>
      <w:divBdr>
        <w:top w:val="none" w:sz="0" w:space="0" w:color="auto"/>
        <w:left w:val="none" w:sz="0" w:space="0" w:color="auto"/>
        <w:bottom w:val="none" w:sz="0" w:space="0" w:color="auto"/>
        <w:right w:val="none" w:sz="0" w:space="0" w:color="auto"/>
      </w:divBdr>
    </w:div>
    <w:div w:id="551431275">
      <w:bodyDiv w:val="1"/>
      <w:marLeft w:val="0"/>
      <w:marRight w:val="0"/>
      <w:marTop w:val="0"/>
      <w:marBottom w:val="0"/>
      <w:divBdr>
        <w:top w:val="none" w:sz="0" w:space="0" w:color="auto"/>
        <w:left w:val="none" w:sz="0" w:space="0" w:color="auto"/>
        <w:bottom w:val="none" w:sz="0" w:space="0" w:color="auto"/>
        <w:right w:val="none" w:sz="0" w:space="0" w:color="auto"/>
      </w:divBdr>
    </w:div>
    <w:div w:id="557323935">
      <w:bodyDiv w:val="1"/>
      <w:marLeft w:val="0"/>
      <w:marRight w:val="0"/>
      <w:marTop w:val="0"/>
      <w:marBottom w:val="0"/>
      <w:divBdr>
        <w:top w:val="none" w:sz="0" w:space="0" w:color="auto"/>
        <w:left w:val="none" w:sz="0" w:space="0" w:color="auto"/>
        <w:bottom w:val="none" w:sz="0" w:space="0" w:color="auto"/>
        <w:right w:val="none" w:sz="0" w:space="0" w:color="auto"/>
      </w:divBdr>
    </w:div>
    <w:div w:id="557473059">
      <w:bodyDiv w:val="1"/>
      <w:marLeft w:val="0"/>
      <w:marRight w:val="0"/>
      <w:marTop w:val="0"/>
      <w:marBottom w:val="0"/>
      <w:divBdr>
        <w:top w:val="none" w:sz="0" w:space="0" w:color="auto"/>
        <w:left w:val="none" w:sz="0" w:space="0" w:color="auto"/>
        <w:bottom w:val="none" w:sz="0" w:space="0" w:color="auto"/>
        <w:right w:val="none" w:sz="0" w:space="0" w:color="auto"/>
      </w:divBdr>
    </w:div>
    <w:div w:id="568810476">
      <w:bodyDiv w:val="1"/>
      <w:marLeft w:val="0"/>
      <w:marRight w:val="0"/>
      <w:marTop w:val="0"/>
      <w:marBottom w:val="0"/>
      <w:divBdr>
        <w:top w:val="none" w:sz="0" w:space="0" w:color="auto"/>
        <w:left w:val="none" w:sz="0" w:space="0" w:color="auto"/>
        <w:bottom w:val="none" w:sz="0" w:space="0" w:color="auto"/>
        <w:right w:val="none" w:sz="0" w:space="0" w:color="auto"/>
      </w:divBdr>
    </w:div>
    <w:div w:id="577521611">
      <w:bodyDiv w:val="1"/>
      <w:marLeft w:val="0"/>
      <w:marRight w:val="0"/>
      <w:marTop w:val="0"/>
      <w:marBottom w:val="0"/>
      <w:divBdr>
        <w:top w:val="none" w:sz="0" w:space="0" w:color="auto"/>
        <w:left w:val="none" w:sz="0" w:space="0" w:color="auto"/>
        <w:bottom w:val="none" w:sz="0" w:space="0" w:color="auto"/>
        <w:right w:val="none" w:sz="0" w:space="0" w:color="auto"/>
      </w:divBdr>
    </w:div>
    <w:div w:id="581063811">
      <w:bodyDiv w:val="1"/>
      <w:marLeft w:val="0"/>
      <w:marRight w:val="0"/>
      <w:marTop w:val="0"/>
      <w:marBottom w:val="0"/>
      <w:divBdr>
        <w:top w:val="none" w:sz="0" w:space="0" w:color="auto"/>
        <w:left w:val="none" w:sz="0" w:space="0" w:color="auto"/>
        <w:bottom w:val="none" w:sz="0" w:space="0" w:color="auto"/>
        <w:right w:val="none" w:sz="0" w:space="0" w:color="auto"/>
      </w:divBdr>
    </w:div>
    <w:div w:id="584189607">
      <w:bodyDiv w:val="1"/>
      <w:marLeft w:val="0"/>
      <w:marRight w:val="0"/>
      <w:marTop w:val="0"/>
      <w:marBottom w:val="0"/>
      <w:divBdr>
        <w:top w:val="none" w:sz="0" w:space="0" w:color="auto"/>
        <w:left w:val="none" w:sz="0" w:space="0" w:color="auto"/>
        <w:bottom w:val="none" w:sz="0" w:space="0" w:color="auto"/>
        <w:right w:val="none" w:sz="0" w:space="0" w:color="auto"/>
      </w:divBdr>
    </w:div>
    <w:div w:id="585647172">
      <w:bodyDiv w:val="1"/>
      <w:marLeft w:val="0"/>
      <w:marRight w:val="0"/>
      <w:marTop w:val="0"/>
      <w:marBottom w:val="0"/>
      <w:divBdr>
        <w:top w:val="none" w:sz="0" w:space="0" w:color="auto"/>
        <w:left w:val="none" w:sz="0" w:space="0" w:color="auto"/>
        <w:bottom w:val="none" w:sz="0" w:space="0" w:color="auto"/>
        <w:right w:val="none" w:sz="0" w:space="0" w:color="auto"/>
      </w:divBdr>
    </w:div>
    <w:div w:id="593830832">
      <w:bodyDiv w:val="1"/>
      <w:marLeft w:val="0"/>
      <w:marRight w:val="0"/>
      <w:marTop w:val="0"/>
      <w:marBottom w:val="0"/>
      <w:divBdr>
        <w:top w:val="none" w:sz="0" w:space="0" w:color="auto"/>
        <w:left w:val="none" w:sz="0" w:space="0" w:color="auto"/>
        <w:bottom w:val="none" w:sz="0" w:space="0" w:color="auto"/>
        <w:right w:val="none" w:sz="0" w:space="0" w:color="auto"/>
      </w:divBdr>
    </w:div>
    <w:div w:id="594095929">
      <w:bodyDiv w:val="1"/>
      <w:marLeft w:val="0"/>
      <w:marRight w:val="0"/>
      <w:marTop w:val="0"/>
      <w:marBottom w:val="0"/>
      <w:divBdr>
        <w:top w:val="none" w:sz="0" w:space="0" w:color="auto"/>
        <w:left w:val="none" w:sz="0" w:space="0" w:color="auto"/>
        <w:bottom w:val="none" w:sz="0" w:space="0" w:color="auto"/>
        <w:right w:val="none" w:sz="0" w:space="0" w:color="auto"/>
      </w:divBdr>
    </w:div>
    <w:div w:id="602109070">
      <w:bodyDiv w:val="1"/>
      <w:marLeft w:val="0"/>
      <w:marRight w:val="0"/>
      <w:marTop w:val="0"/>
      <w:marBottom w:val="0"/>
      <w:divBdr>
        <w:top w:val="none" w:sz="0" w:space="0" w:color="auto"/>
        <w:left w:val="none" w:sz="0" w:space="0" w:color="auto"/>
        <w:bottom w:val="none" w:sz="0" w:space="0" w:color="auto"/>
        <w:right w:val="none" w:sz="0" w:space="0" w:color="auto"/>
      </w:divBdr>
    </w:div>
    <w:div w:id="603801367">
      <w:bodyDiv w:val="1"/>
      <w:marLeft w:val="0"/>
      <w:marRight w:val="0"/>
      <w:marTop w:val="0"/>
      <w:marBottom w:val="0"/>
      <w:divBdr>
        <w:top w:val="none" w:sz="0" w:space="0" w:color="auto"/>
        <w:left w:val="none" w:sz="0" w:space="0" w:color="auto"/>
        <w:bottom w:val="none" w:sz="0" w:space="0" w:color="auto"/>
        <w:right w:val="none" w:sz="0" w:space="0" w:color="auto"/>
      </w:divBdr>
    </w:div>
    <w:div w:id="611519667">
      <w:bodyDiv w:val="1"/>
      <w:marLeft w:val="0"/>
      <w:marRight w:val="0"/>
      <w:marTop w:val="0"/>
      <w:marBottom w:val="0"/>
      <w:divBdr>
        <w:top w:val="none" w:sz="0" w:space="0" w:color="auto"/>
        <w:left w:val="none" w:sz="0" w:space="0" w:color="auto"/>
        <w:bottom w:val="none" w:sz="0" w:space="0" w:color="auto"/>
        <w:right w:val="none" w:sz="0" w:space="0" w:color="auto"/>
      </w:divBdr>
    </w:div>
    <w:div w:id="611519982">
      <w:bodyDiv w:val="1"/>
      <w:marLeft w:val="0"/>
      <w:marRight w:val="0"/>
      <w:marTop w:val="0"/>
      <w:marBottom w:val="0"/>
      <w:divBdr>
        <w:top w:val="none" w:sz="0" w:space="0" w:color="auto"/>
        <w:left w:val="none" w:sz="0" w:space="0" w:color="auto"/>
        <w:bottom w:val="none" w:sz="0" w:space="0" w:color="auto"/>
        <w:right w:val="none" w:sz="0" w:space="0" w:color="auto"/>
      </w:divBdr>
    </w:div>
    <w:div w:id="613905694">
      <w:bodyDiv w:val="1"/>
      <w:marLeft w:val="0"/>
      <w:marRight w:val="0"/>
      <w:marTop w:val="0"/>
      <w:marBottom w:val="0"/>
      <w:divBdr>
        <w:top w:val="none" w:sz="0" w:space="0" w:color="auto"/>
        <w:left w:val="none" w:sz="0" w:space="0" w:color="auto"/>
        <w:bottom w:val="none" w:sz="0" w:space="0" w:color="auto"/>
        <w:right w:val="none" w:sz="0" w:space="0" w:color="auto"/>
      </w:divBdr>
    </w:div>
    <w:div w:id="614092566">
      <w:bodyDiv w:val="1"/>
      <w:marLeft w:val="0"/>
      <w:marRight w:val="0"/>
      <w:marTop w:val="0"/>
      <w:marBottom w:val="0"/>
      <w:divBdr>
        <w:top w:val="none" w:sz="0" w:space="0" w:color="auto"/>
        <w:left w:val="none" w:sz="0" w:space="0" w:color="auto"/>
        <w:bottom w:val="none" w:sz="0" w:space="0" w:color="auto"/>
        <w:right w:val="none" w:sz="0" w:space="0" w:color="auto"/>
      </w:divBdr>
    </w:div>
    <w:div w:id="623851660">
      <w:bodyDiv w:val="1"/>
      <w:marLeft w:val="0"/>
      <w:marRight w:val="0"/>
      <w:marTop w:val="0"/>
      <w:marBottom w:val="0"/>
      <w:divBdr>
        <w:top w:val="none" w:sz="0" w:space="0" w:color="auto"/>
        <w:left w:val="none" w:sz="0" w:space="0" w:color="auto"/>
        <w:bottom w:val="none" w:sz="0" w:space="0" w:color="auto"/>
        <w:right w:val="none" w:sz="0" w:space="0" w:color="auto"/>
      </w:divBdr>
    </w:div>
    <w:div w:id="625356504">
      <w:bodyDiv w:val="1"/>
      <w:marLeft w:val="0"/>
      <w:marRight w:val="0"/>
      <w:marTop w:val="0"/>
      <w:marBottom w:val="0"/>
      <w:divBdr>
        <w:top w:val="none" w:sz="0" w:space="0" w:color="auto"/>
        <w:left w:val="none" w:sz="0" w:space="0" w:color="auto"/>
        <w:bottom w:val="none" w:sz="0" w:space="0" w:color="auto"/>
        <w:right w:val="none" w:sz="0" w:space="0" w:color="auto"/>
      </w:divBdr>
    </w:div>
    <w:div w:id="626394055">
      <w:bodyDiv w:val="1"/>
      <w:marLeft w:val="0"/>
      <w:marRight w:val="0"/>
      <w:marTop w:val="0"/>
      <w:marBottom w:val="0"/>
      <w:divBdr>
        <w:top w:val="none" w:sz="0" w:space="0" w:color="auto"/>
        <w:left w:val="none" w:sz="0" w:space="0" w:color="auto"/>
        <w:bottom w:val="none" w:sz="0" w:space="0" w:color="auto"/>
        <w:right w:val="none" w:sz="0" w:space="0" w:color="auto"/>
      </w:divBdr>
    </w:div>
    <w:div w:id="629282983">
      <w:bodyDiv w:val="1"/>
      <w:marLeft w:val="0"/>
      <w:marRight w:val="0"/>
      <w:marTop w:val="0"/>
      <w:marBottom w:val="0"/>
      <w:divBdr>
        <w:top w:val="none" w:sz="0" w:space="0" w:color="auto"/>
        <w:left w:val="none" w:sz="0" w:space="0" w:color="auto"/>
        <w:bottom w:val="none" w:sz="0" w:space="0" w:color="auto"/>
        <w:right w:val="none" w:sz="0" w:space="0" w:color="auto"/>
      </w:divBdr>
    </w:div>
    <w:div w:id="632515455">
      <w:bodyDiv w:val="1"/>
      <w:marLeft w:val="0"/>
      <w:marRight w:val="0"/>
      <w:marTop w:val="0"/>
      <w:marBottom w:val="0"/>
      <w:divBdr>
        <w:top w:val="none" w:sz="0" w:space="0" w:color="auto"/>
        <w:left w:val="none" w:sz="0" w:space="0" w:color="auto"/>
        <w:bottom w:val="none" w:sz="0" w:space="0" w:color="auto"/>
        <w:right w:val="none" w:sz="0" w:space="0" w:color="auto"/>
      </w:divBdr>
    </w:div>
    <w:div w:id="646130691">
      <w:bodyDiv w:val="1"/>
      <w:marLeft w:val="0"/>
      <w:marRight w:val="0"/>
      <w:marTop w:val="0"/>
      <w:marBottom w:val="0"/>
      <w:divBdr>
        <w:top w:val="none" w:sz="0" w:space="0" w:color="auto"/>
        <w:left w:val="none" w:sz="0" w:space="0" w:color="auto"/>
        <w:bottom w:val="none" w:sz="0" w:space="0" w:color="auto"/>
        <w:right w:val="none" w:sz="0" w:space="0" w:color="auto"/>
      </w:divBdr>
    </w:div>
    <w:div w:id="647905804">
      <w:bodyDiv w:val="1"/>
      <w:marLeft w:val="0"/>
      <w:marRight w:val="0"/>
      <w:marTop w:val="0"/>
      <w:marBottom w:val="0"/>
      <w:divBdr>
        <w:top w:val="none" w:sz="0" w:space="0" w:color="auto"/>
        <w:left w:val="none" w:sz="0" w:space="0" w:color="auto"/>
        <w:bottom w:val="none" w:sz="0" w:space="0" w:color="auto"/>
        <w:right w:val="none" w:sz="0" w:space="0" w:color="auto"/>
      </w:divBdr>
    </w:div>
    <w:div w:id="649942392">
      <w:bodyDiv w:val="1"/>
      <w:marLeft w:val="0"/>
      <w:marRight w:val="0"/>
      <w:marTop w:val="0"/>
      <w:marBottom w:val="0"/>
      <w:divBdr>
        <w:top w:val="none" w:sz="0" w:space="0" w:color="auto"/>
        <w:left w:val="none" w:sz="0" w:space="0" w:color="auto"/>
        <w:bottom w:val="none" w:sz="0" w:space="0" w:color="auto"/>
        <w:right w:val="none" w:sz="0" w:space="0" w:color="auto"/>
      </w:divBdr>
    </w:div>
    <w:div w:id="650720481">
      <w:bodyDiv w:val="1"/>
      <w:marLeft w:val="0"/>
      <w:marRight w:val="0"/>
      <w:marTop w:val="0"/>
      <w:marBottom w:val="0"/>
      <w:divBdr>
        <w:top w:val="none" w:sz="0" w:space="0" w:color="auto"/>
        <w:left w:val="none" w:sz="0" w:space="0" w:color="auto"/>
        <w:bottom w:val="none" w:sz="0" w:space="0" w:color="auto"/>
        <w:right w:val="none" w:sz="0" w:space="0" w:color="auto"/>
      </w:divBdr>
    </w:div>
    <w:div w:id="653026519">
      <w:bodyDiv w:val="1"/>
      <w:marLeft w:val="0"/>
      <w:marRight w:val="0"/>
      <w:marTop w:val="0"/>
      <w:marBottom w:val="0"/>
      <w:divBdr>
        <w:top w:val="none" w:sz="0" w:space="0" w:color="auto"/>
        <w:left w:val="none" w:sz="0" w:space="0" w:color="auto"/>
        <w:bottom w:val="none" w:sz="0" w:space="0" w:color="auto"/>
        <w:right w:val="none" w:sz="0" w:space="0" w:color="auto"/>
      </w:divBdr>
    </w:div>
    <w:div w:id="662008850">
      <w:bodyDiv w:val="1"/>
      <w:marLeft w:val="0"/>
      <w:marRight w:val="0"/>
      <w:marTop w:val="0"/>
      <w:marBottom w:val="0"/>
      <w:divBdr>
        <w:top w:val="none" w:sz="0" w:space="0" w:color="auto"/>
        <w:left w:val="none" w:sz="0" w:space="0" w:color="auto"/>
        <w:bottom w:val="none" w:sz="0" w:space="0" w:color="auto"/>
        <w:right w:val="none" w:sz="0" w:space="0" w:color="auto"/>
      </w:divBdr>
    </w:div>
    <w:div w:id="673387544">
      <w:bodyDiv w:val="1"/>
      <w:marLeft w:val="0"/>
      <w:marRight w:val="0"/>
      <w:marTop w:val="0"/>
      <w:marBottom w:val="0"/>
      <w:divBdr>
        <w:top w:val="none" w:sz="0" w:space="0" w:color="auto"/>
        <w:left w:val="none" w:sz="0" w:space="0" w:color="auto"/>
        <w:bottom w:val="none" w:sz="0" w:space="0" w:color="auto"/>
        <w:right w:val="none" w:sz="0" w:space="0" w:color="auto"/>
      </w:divBdr>
    </w:div>
    <w:div w:id="675957589">
      <w:bodyDiv w:val="1"/>
      <w:marLeft w:val="0"/>
      <w:marRight w:val="0"/>
      <w:marTop w:val="0"/>
      <w:marBottom w:val="0"/>
      <w:divBdr>
        <w:top w:val="none" w:sz="0" w:space="0" w:color="auto"/>
        <w:left w:val="none" w:sz="0" w:space="0" w:color="auto"/>
        <w:bottom w:val="none" w:sz="0" w:space="0" w:color="auto"/>
        <w:right w:val="none" w:sz="0" w:space="0" w:color="auto"/>
      </w:divBdr>
    </w:div>
    <w:div w:id="676225006">
      <w:bodyDiv w:val="1"/>
      <w:marLeft w:val="0"/>
      <w:marRight w:val="0"/>
      <w:marTop w:val="0"/>
      <w:marBottom w:val="0"/>
      <w:divBdr>
        <w:top w:val="none" w:sz="0" w:space="0" w:color="auto"/>
        <w:left w:val="none" w:sz="0" w:space="0" w:color="auto"/>
        <w:bottom w:val="none" w:sz="0" w:space="0" w:color="auto"/>
        <w:right w:val="none" w:sz="0" w:space="0" w:color="auto"/>
      </w:divBdr>
    </w:div>
    <w:div w:id="700593763">
      <w:bodyDiv w:val="1"/>
      <w:marLeft w:val="0"/>
      <w:marRight w:val="0"/>
      <w:marTop w:val="0"/>
      <w:marBottom w:val="0"/>
      <w:divBdr>
        <w:top w:val="none" w:sz="0" w:space="0" w:color="auto"/>
        <w:left w:val="none" w:sz="0" w:space="0" w:color="auto"/>
        <w:bottom w:val="none" w:sz="0" w:space="0" w:color="auto"/>
        <w:right w:val="none" w:sz="0" w:space="0" w:color="auto"/>
      </w:divBdr>
    </w:div>
    <w:div w:id="700865742">
      <w:bodyDiv w:val="1"/>
      <w:marLeft w:val="0"/>
      <w:marRight w:val="0"/>
      <w:marTop w:val="0"/>
      <w:marBottom w:val="0"/>
      <w:divBdr>
        <w:top w:val="none" w:sz="0" w:space="0" w:color="auto"/>
        <w:left w:val="none" w:sz="0" w:space="0" w:color="auto"/>
        <w:bottom w:val="none" w:sz="0" w:space="0" w:color="auto"/>
        <w:right w:val="none" w:sz="0" w:space="0" w:color="auto"/>
      </w:divBdr>
    </w:div>
    <w:div w:id="704016728">
      <w:bodyDiv w:val="1"/>
      <w:marLeft w:val="0"/>
      <w:marRight w:val="0"/>
      <w:marTop w:val="0"/>
      <w:marBottom w:val="0"/>
      <w:divBdr>
        <w:top w:val="none" w:sz="0" w:space="0" w:color="auto"/>
        <w:left w:val="none" w:sz="0" w:space="0" w:color="auto"/>
        <w:bottom w:val="none" w:sz="0" w:space="0" w:color="auto"/>
        <w:right w:val="none" w:sz="0" w:space="0" w:color="auto"/>
      </w:divBdr>
    </w:div>
    <w:div w:id="704713903">
      <w:bodyDiv w:val="1"/>
      <w:marLeft w:val="0"/>
      <w:marRight w:val="0"/>
      <w:marTop w:val="0"/>
      <w:marBottom w:val="0"/>
      <w:divBdr>
        <w:top w:val="none" w:sz="0" w:space="0" w:color="auto"/>
        <w:left w:val="none" w:sz="0" w:space="0" w:color="auto"/>
        <w:bottom w:val="none" w:sz="0" w:space="0" w:color="auto"/>
        <w:right w:val="none" w:sz="0" w:space="0" w:color="auto"/>
      </w:divBdr>
    </w:div>
    <w:div w:id="708333209">
      <w:bodyDiv w:val="1"/>
      <w:marLeft w:val="0"/>
      <w:marRight w:val="0"/>
      <w:marTop w:val="0"/>
      <w:marBottom w:val="0"/>
      <w:divBdr>
        <w:top w:val="none" w:sz="0" w:space="0" w:color="auto"/>
        <w:left w:val="none" w:sz="0" w:space="0" w:color="auto"/>
        <w:bottom w:val="none" w:sz="0" w:space="0" w:color="auto"/>
        <w:right w:val="none" w:sz="0" w:space="0" w:color="auto"/>
      </w:divBdr>
    </w:div>
    <w:div w:id="714038737">
      <w:bodyDiv w:val="1"/>
      <w:marLeft w:val="0"/>
      <w:marRight w:val="0"/>
      <w:marTop w:val="0"/>
      <w:marBottom w:val="0"/>
      <w:divBdr>
        <w:top w:val="none" w:sz="0" w:space="0" w:color="auto"/>
        <w:left w:val="none" w:sz="0" w:space="0" w:color="auto"/>
        <w:bottom w:val="none" w:sz="0" w:space="0" w:color="auto"/>
        <w:right w:val="none" w:sz="0" w:space="0" w:color="auto"/>
      </w:divBdr>
    </w:div>
    <w:div w:id="721828117">
      <w:bodyDiv w:val="1"/>
      <w:marLeft w:val="0"/>
      <w:marRight w:val="0"/>
      <w:marTop w:val="0"/>
      <w:marBottom w:val="0"/>
      <w:divBdr>
        <w:top w:val="none" w:sz="0" w:space="0" w:color="auto"/>
        <w:left w:val="none" w:sz="0" w:space="0" w:color="auto"/>
        <w:bottom w:val="none" w:sz="0" w:space="0" w:color="auto"/>
        <w:right w:val="none" w:sz="0" w:space="0" w:color="auto"/>
      </w:divBdr>
    </w:div>
    <w:div w:id="725030979">
      <w:bodyDiv w:val="1"/>
      <w:marLeft w:val="0"/>
      <w:marRight w:val="0"/>
      <w:marTop w:val="0"/>
      <w:marBottom w:val="0"/>
      <w:divBdr>
        <w:top w:val="none" w:sz="0" w:space="0" w:color="auto"/>
        <w:left w:val="none" w:sz="0" w:space="0" w:color="auto"/>
        <w:bottom w:val="none" w:sz="0" w:space="0" w:color="auto"/>
        <w:right w:val="none" w:sz="0" w:space="0" w:color="auto"/>
      </w:divBdr>
    </w:div>
    <w:div w:id="737745012">
      <w:bodyDiv w:val="1"/>
      <w:marLeft w:val="0"/>
      <w:marRight w:val="0"/>
      <w:marTop w:val="0"/>
      <w:marBottom w:val="0"/>
      <w:divBdr>
        <w:top w:val="none" w:sz="0" w:space="0" w:color="auto"/>
        <w:left w:val="none" w:sz="0" w:space="0" w:color="auto"/>
        <w:bottom w:val="none" w:sz="0" w:space="0" w:color="auto"/>
        <w:right w:val="none" w:sz="0" w:space="0" w:color="auto"/>
      </w:divBdr>
    </w:div>
    <w:div w:id="750199652">
      <w:bodyDiv w:val="1"/>
      <w:marLeft w:val="0"/>
      <w:marRight w:val="0"/>
      <w:marTop w:val="0"/>
      <w:marBottom w:val="0"/>
      <w:divBdr>
        <w:top w:val="none" w:sz="0" w:space="0" w:color="auto"/>
        <w:left w:val="none" w:sz="0" w:space="0" w:color="auto"/>
        <w:bottom w:val="none" w:sz="0" w:space="0" w:color="auto"/>
        <w:right w:val="none" w:sz="0" w:space="0" w:color="auto"/>
      </w:divBdr>
    </w:div>
    <w:div w:id="757287696">
      <w:bodyDiv w:val="1"/>
      <w:marLeft w:val="0"/>
      <w:marRight w:val="0"/>
      <w:marTop w:val="0"/>
      <w:marBottom w:val="0"/>
      <w:divBdr>
        <w:top w:val="none" w:sz="0" w:space="0" w:color="auto"/>
        <w:left w:val="none" w:sz="0" w:space="0" w:color="auto"/>
        <w:bottom w:val="none" w:sz="0" w:space="0" w:color="auto"/>
        <w:right w:val="none" w:sz="0" w:space="0" w:color="auto"/>
      </w:divBdr>
    </w:div>
    <w:div w:id="759448583">
      <w:bodyDiv w:val="1"/>
      <w:marLeft w:val="0"/>
      <w:marRight w:val="0"/>
      <w:marTop w:val="0"/>
      <w:marBottom w:val="0"/>
      <w:divBdr>
        <w:top w:val="none" w:sz="0" w:space="0" w:color="auto"/>
        <w:left w:val="none" w:sz="0" w:space="0" w:color="auto"/>
        <w:bottom w:val="none" w:sz="0" w:space="0" w:color="auto"/>
        <w:right w:val="none" w:sz="0" w:space="0" w:color="auto"/>
      </w:divBdr>
    </w:div>
    <w:div w:id="761725921">
      <w:bodyDiv w:val="1"/>
      <w:marLeft w:val="0"/>
      <w:marRight w:val="0"/>
      <w:marTop w:val="0"/>
      <w:marBottom w:val="0"/>
      <w:divBdr>
        <w:top w:val="none" w:sz="0" w:space="0" w:color="auto"/>
        <w:left w:val="none" w:sz="0" w:space="0" w:color="auto"/>
        <w:bottom w:val="none" w:sz="0" w:space="0" w:color="auto"/>
        <w:right w:val="none" w:sz="0" w:space="0" w:color="auto"/>
      </w:divBdr>
    </w:div>
    <w:div w:id="765463736">
      <w:bodyDiv w:val="1"/>
      <w:marLeft w:val="0"/>
      <w:marRight w:val="0"/>
      <w:marTop w:val="0"/>
      <w:marBottom w:val="0"/>
      <w:divBdr>
        <w:top w:val="none" w:sz="0" w:space="0" w:color="auto"/>
        <w:left w:val="none" w:sz="0" w:space="0" w:color="auto"/>
        <w:bottom w:val="none" w:sz="0" w:space="0" w:color="auto"/>
        <w:right w:val="none" w:sz="0" w:space="0" w:color="auto"/>
      </w:divBdr>
    </w:div>
    <w:div w:id="769008984">
      <w:bodyDiv w:val="1"/>
      <w:marLeft w:val="0"/>
      <w:marRight w:val="0"/>
      <w:marTop w:val="0"/>
      <w:marBottom w:val="0"/>
      <w:divBdr>
        <w:top w:val="none" w:sz="0" w:space="0" w:color="auto"/>
        <w:left w:val="none" w:sz="0" w:space="0" w:color="auto"/>
        <w:bottom w:val="none" w:sz="0" w:space="0" w:color="auto"/>
        <w:right w:val="none" w:sz="0" w:space="0" w:color="auto"/>
      </w:divBdr>
    </w:div>
    <w:div w:id="769469392">
      <w:bodyDiv w:val="1"/>
      <w:marLeft w:val="0"/>
      <w:marRight w:val="0"/>
      <w:marTop w:val="0"/>
      <w:marBottom w:val="0"/>
      <w:divBdr>
        <w:top w:val="none" w:sz="0" w:space="0" w:color="auto"/>
        <w:left w:val="none" w:sz="0" w:space="0" w:color="auto"/>
        <w:bottom w:val="none" w:sz="0" w:space="0" w:color="auto"/>
        <w:right w:val="none" w:sz="0" w:space="0" w:color="auto"/>
      </w:divBdr>
    </w:div>
    <w:div w:id="773478760">
      <w:bodyDiv w:val="1"/>
      <w:marLeft w:val="0"/>
      <w:marRight w:val="0"/>
      <w:marTop w:val="0"/>
      <w:marBottom w:val="0"/>
      <w:divBdr>
        <w:top w:val="none" w:sz="0" w:space="0" w:color="auto"/>
        <w:left w:val="none" w:sz="0" w:space="0" w:color="auto"/>
        <w:bottom w:val="none" w:sz="0" w:space="0" w:color="auto"/>
        <w:right w:val="none" w:sz="0" w:space="0" w:color="auto"/>
      </w:divBdr>
    </w:div>
    <w:div w:id="777875664">
      <w:bodyDiv w:val="1"/>
      <w:marLeft w:val="0"/>
      <w:marRight w:val="0"/>
      <w:marTop w:val="0"/>
      <w:marBottom w:val="0"/>
      <w:divBdr>
        <w:top w:val="none" w:sz="0" w:space="0" w:color="auto"/>
        <w:left w:val="none" w:sz="0" w:space="0" w:color="auto"/>
        <w:bottom w:val="none" w:sz="0" w:space="0" w:color="auto"/>
        <w:right w:val="none" w:sz="0" w:space="0" w:color="auto"/>
      </w:divBdr>
    </w:div>
    <w:div w:id="779420025">
      <w:bodyDiv w:val="1"/>
      <w:marLeft w:val="0"/>
      <w:marRight w:val="0"/>
      <w:marTop w:val="0"/>
      <w:marBottom w:val="0"/>
      <w:divBdr>
        <w:top w:val="none" w:sz="0" w:space="0" w:color="auto"/>
        <w:left w:val="none" w:sz="0" w:space="0" w:color="auto"/>
        <w:bottom w:val="none" w:sz="0" w:space="0" w:color="auto"/>
        <w:right w:val="none" w:sz="0" w:space="0" w:color="auto"/>
      </w:divBdr>
    </w:div>
    <w:div w:id="779573862">
      <w:bodyDiv w:val="1"/>
      <w:marLeft w:val="0"/>
      <w:marRight w:val="0"/>
      <w:marTop w:val="0"/>
      <w:marBottom w:val="0"/>
      <w:divBdr>
        <w:top w:val="none" w:sz="0" w:space="0" w:color="auto"/>
        <w:left w:val="none" w:sz="0" w:space="0" w:color="auto"/>
        <w:bottom w:val="none" w:sz="0" w:space="0" w:color="auto"/>
        <w:right w:val="none" w:sz="0" w:space="0" w:color="auto"/>
      </w:divBdr>
    </w:div>
    <w:div w:id="789326671">
      <w:bodyDiv w:val="1"/>
      <w:marLeft w:val="0"/>
      <w:marRight w:val="0"/>
      <w:marTop w:val="0"/>
      <w:marBottom w:val="0"/>
      <w:divBdr>
        <w:top w:val="none" w:sz="0" w:space="0" w:color="auto"/>
        <w:left w:val="none" w:sz="0" w:space="0" w:color="auto"/>
        <w:bottom w:val="none" w:sz="0" w:space="0" w:color="auto"/>
        <w:right w:val="none" w:sz="0" w:space="0" w:color="auto"/>
      </w:divBdr>
    </w:div>
    <w:div w:id="790051886">
      <w:bodyDiv w:val="1"/>
      <w:marLeft w:val="0"/>
      <w:marRight w:val="0"/>
      <w:marTop w:val="0"/>
      <w:marBottom w:val="0"/>
      <w:divBdr>
        <w:top w:val="none" w:sz="0" w:space="0" w:color="auto"/>
        <w:left w:val="none" w:sz="0" w:space="0" w:color="auto"/>
        <w:bottom w:val="none" w:sz="0" w:space="0" w:color="auto"/>
        <w:right w:val="none" w:sz="0" w:space="0" w:color="auto"/>
      </w:divBdr>
    </w:div>
    <w:div w:id="790051926">
      <w:bodyDiv w:val="1"/>
      <w:marLeft w:val="0"/>
      <w:marRight w:val="0"/>
      <w:marTop w:val="0"/>
      <w:marBottom w:val="0"/>
      <w:divBdr>
        <w:top w:val="none" w:sz="0" w:space="0" w:color="auto"/>
        <w:left w:val="none" w:sz="0" w:space="0" w:color="auto"/>
        <w:bottom w:val="none" w:sz="0" w:space="0" w:color="auto"/>
        <w:right w:val="none" w:sz="0" w:space="0" w:color="auto"/>
      </w:divBdr>
    </w:div>
    <w:div w:id="800076277">
      <w:bodyDiv w:val="1"/>
      <w:marLeft w:val="0"/>
      <w:marRight w:val="0"/>
      <w:marTop w:val="0"/>
      <w:marBottom w:val="0"/>
      <w:divBdr>
        <w:top w:val="none" w:sz="0" w:space="0" w:color="auto"/>
        <w:left w:val="none" w:sz="0" w:space="0" w:color="auto"/>
        <w:bottom w:val="none" w:sz="0" w:space="0" w:color="auto"/>
        <w:right w:val="none" w:sz="0" w:space="0" w:color="auto"/>
      </w:divBdr>
    </w:div>
    <w:div w:id="800343436">
      <w:bodyDiv w:val="1"/>
      <w:marLeft w:val="0"/>
      <w:marRight w:val="0"/>
      <w:marTop w:val="0"/>
      <w:marBottom w:val="0"/>
      <w:divBdr>
        <w:top w:val="none" w:sz="0" w:space="0" w:color="auto"/>
        <w:left w:val="none" w:sz="0" w:space="0" w:color="auto"/>
        <w:bottom w:val="none" w:sz="0" w:space="0" w:color="auto"/>
        <w:right w:val="none" w:sz="0" w:space="0" w:color="auto"/>
      </w:divBdr>
    </w:div>
    <w:div w:id="804127860">
      <w:bodyDiv w:val="1"/>
      <w:marLeft w:val="0"/>
      <w:marRight w:val="0"/>
      <w:marTop w:val="0"/>
      <w:marBottom w:val="0"/>
      <w:divBdr>
        <w:top w:val="none" w:sz="0" w:space="0" w:color="auto"/>
        <w:left w:val="none" w:sz="0" w:space="0" w:color="auto"/>
        <w:bottom w:val="none" w:sz="0" w:space="0" w:color="auto"/>
        <w:right w:val="none" w:sz="0" w:space="0" w:color="auto"/>
      </w:divBdr>
    </w:div>
    <w:div w:id="807405349">
      <w:bodyDiv w:val="1"/>
      <w:marLeft w:val="0"/>
      <w:marRight w:val="0"/>
      <w:marTop w:val="0"/>
      <w:marBottom w:val="0"/>
      <w:divBdr>
        <w:top w:val="none" w:sz="0" w:space="0" w:color="auto"/>
        <w:left w:val="none" w:sz="0" w:space="0" w:color="auto"/>
        <w:bottom w:val="none" w:sz="0" w:space="0" w:color="auto"/>
        <w:right w:val="none" w:sz="0" w:space="0" w:color="auto"/>
      </w:divBdr>
    </w:div>
    <w:div w:id="809133424">
      <w:bodyDiv w:val="1"/>
      <w:marLeft w:val="0"/>
      <w:marRight w:val="0"/>
      <w:marTop w:val="0"/>
      <w:marBottom w:val="0"/>
      <w:divBdr>
        <w:top w:val="none" w:sz="0" w:space="0" w:color="auto"/>
        <w:left w:val="none" w:sz="0" w:space="0" w:color="auto"/>
        <w:bottom w:val="none" w:sz="0" w:space="0" w:color="auto"/>
        <w:right w:val="none" w:sz="0" w:space="0" w:color="auto"/>
      </w:divBdr>
    </w:div>
    <w:div w:id="819926517">
      <w:bodyDiv w:val="1"/>
      <w:marLeft w:val="0"/>
      <w:marRight w:val="0"/>
      <w:marTop w:val="0"/>
      <w:marBottom w:val="0"/>
      <w:divBdr>
        <w:top w:val="none" w:sz="0" w:space="0" w:color="auto"/>
        <w:left w:val="none" w:sz="0" w:space="0" w:color="auto"/>
        <w:bottom w:val="none" w:sz="0" w:space="0" w:color="auto"/>
        <w:right w:val="none" w:sz="0" w:space="0" w:color="auto"/>
      </w:divBdr>
    </w:div>
    <w:div w:id="820536289">
      <w:bodyDiv w:val="1"/>
      <w:marLeft w:val="0"/>
      <w:marRight w:val="0"/>
      <w:marTop w:val="0"/>
      <w:marBottom w:val="0"/>
      <w:divBdr>
        <w:top w:val="none" w:sz="0" w:space="0" w:color="auto"/>
        <w:left w:val="none" w:sz="0" w:space="0" w:color="auto"/>
        <w:bottom w:val="none" w:sz="0" w:space="0" w:color="auto"/>
        <w:right w:val="none" w:sz="0" w:space="0" w:color="auto"/>
      </w:divBdr>
    </w:div>
    <w:div w:id="822114735">
      <w:bodyDiv w:val="1"/>
      <w:marLeft w:val="0"/>
      <w:marRight w:val="0"/>
      <w:marTop w:val="0"/>
      <w:marBottom w:val="0"/>
      <w:divBdr>
        <w:top w:val="none" w:sz="0" w:space="0" w:color="auto"/>
        <w:left w:val="none" w:sz="0" w:space="0" w:color="auto"/>
        <w:bottom w:val="none" w:sz="0" w:space="0" w:color="auto"/>
        <w:right w:val="none" w:sz="0" w:space="0" w:color="auto"/>
      </w:divBdr>
    </w:div>
    <w:div w:id="824589340">
      <w:bodyDiv w:val="1"/>
      <w:marLeft w:val="0"/>
      <w:marRight w:val="0"/>
      <w:marTop w:val="0"/>
      <w:marBottom w:val="0"/>
      <w:divBdr>
        <w:top w:val="none" w:sz="0" w:space="0" w:color="auto"/>
        <w:left w:val="none" w:sz="0" w:space="0" w:color="auto"/>
        <w:bottom w:val="none" w:sz="0" w:space="0" w:color="auto"/>
        <w:right w:val="none" w:sz="0" w:space="0" w:color="auto"/>
      </w:divBdr>
    </w:div>
    <w:div w:id="829292992">
      <w:bodyDiv w:val="1"/>
      <w:marLeft w:val="0"/>
      <w:marRight w:val="0"/>
      <w:marTop w:val="0"/>
      <w:marBottom w:val="0"/>
      <w:divBdr>
        <w:top w:val="none" w:sz="0" w:space="0" w:color="auto"/>
        <w:left w:val="none" w:sz="0" w:space="0" w:color="auto"/>
        <w:bottom w:val="none" w:sz="0" w:space="0" w:color="auto"/>
        <w:right w:val="none" w:sz="0" w:space="0" w:color="auto"/>
      </w:divBdr>
    </w:div>
    <w:div w:id="834999866">
      <w:bodyDiv w:val="1"/>
      <w:marLeft w:val="0"/>
      <w:marRight w:val="0"/>
      <w:marTop w:val="0"/>
      <w:marBottom w:val="0"/>
      <w:divBdr>
        <w:top w:val="none" w:sz="0" w:space="0" w:color="auto"/>
        <w:left w:val="none" w:sz="0" w:space="0" w:color="auto"/>
        <w:bottom w:val="none" w:sz="0" w:space="0" w:color="auto"/>
        <w:right w:val="none" w:sz="0" w:space="0" w:color="auto"/>
      </w:divBdr>
    </w:div>
    <w:div w:id="835460226">
      <w:bodyDiv w:val="1"/>
      <w:marLeft w:val="0"/>
      <w:marRight w:val="0"/>
      <w:marTop w:val="0"/>
      <w:marBottom w:val="0"/>
      <w:divBdr>
        <w:top w:val="none" w:sz="0" w:space="0" w:color="auto"/>
        <w:left w:val="none" w:sz="0" w:space="0" w:color="auto"/>
        <w:bottom w:val="none" w:sz="0" w:space="0" w:color="auto"/>
        <w:right w:val="none" w:sz="0" w:space="0" w:color="auto"/>
      </w:divBdr>
    </w:div>
    <w:div w:id="837771210">
      <w:bodyDiv w:val="1"/>
      <w:marLeft w:val="0"/>
      <w:marRight w:val="0"/>
      <w:marTop w:val="0"/>
      <w:marBottom w:val="0"/>
      <w:divBdr>
        <w:top w:val="none" w:sz="0" w:space="0" w:color="auto"/>
        <w:left w:val="none" w:sz="0" w:space="0" w:color="auto"/>
        <w:bottom w:val="none" w:sz="0" w:space="0" w:color="auto"/>
        <w:right w:val="none" w:sz="0" w:space="0" w:color="auto"/>
      </w:divBdr>
    </w:div>
    <w:div w:id="838078390">
      <w:bodyDiv w:val="1"/>
      <w:marLeft w:val="0"/>
      <w:marRight w:val="0"/>
      <w:marTop w:val="0"/>
      <w:marBottom w:val="0"/>
      <w:divBdr>
        <w:top w:val="none" w:sz="0" w:space="0" w:color="auto"/>
        <w:left w:val="none" w:sz="0" w:space="0" w:color="auto"/>
        <w:bottom w:val="none" w:sz="0" w:space="0" w:color="auto"/>
        <w:right w:val="none" w:sz="0" w:space="0" w:color="auto"/>
      </w:divBdr>
    </w:div>
    <w:div w:id="839351431">
      <w:bodyDiv w:val="1"/>
      <w:marLeft w:val="0"/>
      <w:marRight w:val="0"/>
      <w:marTop w:val="0"/>
      <w:marBottom w:val="0"/>
      <w:divBdr>
        <w:top w:val="none" w:sz="0" w:space="0" w:color="auto"/>
        <w:left w:val="none" w:sz="0" w:space="0" w:color="auto"/>
        <w:bottom w:val="none" w:sz="0" w:space="0" w:color="auto"/>
        <w:right w:val="none" w:sz="0" w:space="0" w:color="auto"/>
      </w:divBdr>
    </w:div>
    <w:div w:id="839393598">
      <w:bodyDiv w:val="1"/>
      <w:marLeft w:val="0"/>
      <w:marRight w:val="0"/>
      <w:marTop w:val="0"/>
      <w:marBottom w:val="0"/>
      <w:divBdr>
        <w:top w:val="none" w:sz="0" w:space="0" w:color="auto"/>
        <w:left w:val="none" w:sz="0" w:space="0" w:color="auto"/>
        <w:bottom w:val="none" w:sz="0" w:space="0" w:color="auto"/>
        <w:right w:val="none" w:sz="0" w:space="0" w:color="auto"/>
      </w:divBdr>
    </w:div>
    <w:div w:id="846335532">
      <w:bodyDiv w:val="1"/>
      <w:marLeft w:val="0"/>
      <w:marRight w:val="0"/>
      <w:marTop w:val="0"/>
      <w:marBottom w:val="0"/>
      <w:divBdr>
        <w:top w:val="none" w:sz="0" w:space="0" w:color="auto"/>
        <w:left w:val="none" w:sz="0" w:space="0" w:color="auto"/>
        <w:bottom w:val="none" w:sz="0" w:space="0" w:color="auto"/>
        <w:right w:val="none" w:sz="0" w:space="0" w:color="auto"/>
      </w:divBdr>
    </w:div>
    <w:div w:id="853226631">
      <w:bodyDiv w:val="1"/>
      <w:marLeft w:val="0"/>
      <w:marRight w:val="0"/>
      <w:marTop w:val="0"/>
      <w:marBottom w:val="0"/>
      <w:divBdr>
        <w:top w:val="none" w:sz="0" w:space="0" w:color="auto"/>
        <w:left w:val="none" w:sz="0" w:space="0" w:color="auto"/>
        <w:bottom w:val="none" w:sz="0" w:space="0" w:color="auto"/>
        <w:right w:val="none" w:sz="0" w:space="0" w:color="auto"/>
      </w:divBdr>
    </w:div>
    <w:div w:id="853421180">
      <w:bodyDiv w:val="1"/>
      <w:marLeft w:val="0"/>
      <w:marRight w:val="0"/>
      <w:marTop w:val="0"/>
      <w:marBottom w:val="0"/>
      <w:divBdr>
        <w:top w:val="none" w:sz="0" w:space="0" w:color="auto"/>
        <w:left w:val="none" w:sz="0" w:space="0" w:color="auto"/>
        <w:bottom w:val="none" w:sz="0" w:space="0" w:color="auto"/>
        <w:right w:val="none" w:sz="0" w:space="0" w:color="auto"/>
      </w:divBdr>
    </w:div>
    <w:div w:id="864096768">
      <w:bodyDiv w:val="1"/>
      <w:marLeft w:val="0"/>
      <w:marRight w:val="0"/>
      <w:marTop w:val="0"/>
      <w:marBottom w:val="0"/>
      <w:divBdr>
        <w:top w:val="none" w:sz="0" w:space="0" w:color="auto"/>
        <w:left w:val="none" w:sz="0" w:space="0" w:color="auto"/>
        <w:bottom w:val="none" w:sz="0" w:space="0" w:color="auto"/>
        <w:right w:val="none" w:sz="0" w:space="0" w:color="auto"/>
      </w:divBdr>
    </w:div>
    <w:div w:id="866866946">
      <w:bodyDiv w:val="1"/>
      <w:marLeft w:val="0"/>
      <w:marRight w:val="0"/>
      <w:marTop w:val="0"/>
      <w:marBottom w:val="0"/>
      <w:divBdr>
        <w:top w:val="none" w:sz="0" w:space="0" w:color="auto"/>
        <w:left w:val="none" w:sz="0" w:space="0" w:color="auto"/>
        <w:bottom w:val="none" w:sz="0" w:space="0" w:color="auto"/>
        <w:right w:val="none" w:sz="0" w:space="0" w:color="auto"/>
      </w:divBdr>
    </w:div>
    <w:div w:id="870386978">
      <w:bodyDiv w:val="1"/>
      <w:marLeft w:val="0"/>
      <w:marRight w:val="0"/>
      <w:marTop w:val="0"/>
      <w:marBottom w:val="0"/>
      <w:divBdr>
        <w:top w:val="none" w:sz="0" w:space="0" w:color="auto"/>
        <w:left w:val="none" w:sz="0" w:space="0" w:color="auto"/>
        <w:bottom w:val="none" w:sz="0" w:space="0" w:color="auto"/>
        <w:right w:val="none" w:sz="0" w:space="0" w:color="auto"/>
      </w:divBdr>
    </w:div>
    <w:div w:id="873883911">
      <w:bodyDiv w:val="1"/>
      <w:marLeft w:val="0"/>
      <w:marRight w:val="0"/>
      <w:marTop w:val="0"/>
      <w:marBottom w:val="0"/>
      <w:divBdr>
        <w:top w:val="none" w:sz="0" w:space="0" w:color="auto"/>
        <w:left w:val="none" w:sz="0" w:space="0" w:color="auto"/>
        <w:bottom w:val="none" w:sz="0" w:space="0" w:color="auto"/>
        <w:right w:val="none" w:sz="0" w:space="0" w:color="auto"/>
      </w:divBdr>
    </w:div>
    <w:div w:id="885221325">
      <w:bodyDiv w:val="1"/>
      <w:marLeft w:val="0"/>
      <w:marRight w:val="0"/>
      <w:marTop w:val="0"/>
      <w:marBottom w:val="0"/>
      <w:divBdr>
        <w:top w:val="none" w:sz="0" w:space="0" w:color="auto"/>
        <w:left w:val="none" w:sz="0" w:space="0" w:color="auto"/>
        <w:bottom w:val="none" w:sz="0" w:space="0" w:color="auto"/>
        <w:right w:val="none" w:sz="0" w:space="0" w:color="auto"/>
      </w:divBdr>
    </w:div>
    <w:div w:id="887258642">
      <w:bodyDiv w:val="1"/>
      <w:marLeft w:val="0"/>
      <w:marRight w:val="0"/>
      <w:marTop w:val="0"/>
      <w:marBottom w:val="0"/>
      <w:divBdr>
        <w:top w:val="none" w:sz="0" w:space="0" w:color="auto"/>
        <w:left w:val="none" w:sz="0" w:space="0" w:color="auto"/>
        <w:bottom w:val="none" w:sz="0" w:space="0" w:color="auto"/>
        <w:right w:val="none" w:sz="0" w:space="0" w:color="auto"/>
      </w:divBdr>
    </w:div>
    <w:div w:id="888108764">
      <w:bodyDiv w:val="1"/>
      <w:marLeft w:val="0"/>
      <w:marRight w:val="0"/>
      <w:marTop w:val="0"/>
      <w:marBottom w:val="0"/>
      <w:divBdr>
        <w:top w:val="none" w:sz="0" w:space="0" w:color="auto"/>
        <w:left w:val="none" w:sz="0" w:space="0" w:color="auto"/>
        <w:bottom w:val="none" w:sz="0" w:space="0" w:color="auto"/>
        <w:right w:val="none" w:sz="0" w:space="0" w:color="auto"/>
      </w:divBdr>
    </w:div>
    <w:div w:id="889344895">
      <w:bodyDiv w:val="1"/>
      <w:marLeft w:val="0"/>
      <w:marRight w:val="0"/>
      <w:marTop w:val="0"/>
      <w:marBottom w:val="0"/>
      <w:divBdr>
        <w:top w:val="none" w:sz="0" w:space="0" w:color="auto"/>
        <w:left w:val="none" w:sz="0" w:space="0" w:color="auto"/>
        <w:bottom w:val="none" w:sz="0" w:space="0" w:color="auto"/>
        <w:right w:val="none" w:sz="0" w:space="0" w:color="auto"/>
      </w:divBdr>
    </w:div>
    <w:div w:id="890732486">
      <w:bodyDiv w:val="1"/>
      <w:marLeft w:val="0"/>
      <w:marRight w:val="0"/>
      <w:marTop w:val="0"/>
      <w:marBottom w:val="0"/>
      <w:divBdr>
        <w:top w:val="none" w:sz="0" w:space="0" w:color="auto"/>
        <w:left w:val="none" w:sz="0" w:space="0" w:color="auto"/>
        <w:bottom w:val="none" w:sz="0" w:space="0" w:color="auto"/>
        <w:right w:val="none" w:sz="0" w:space="0" w:color="auto"/>
      </w:divBdr>
    </w:div>
    <w:div w:id="891501070">
      <w:bodyDiv w:val="1"/>
      <w:marLeft w:val="0"/>
      <w:marRight w:val="0"/>
      <w:marTop w:val="0"/>
      <w:marBottom w:val="0"/>
      <w:divBdr>
        <w:top w:val="none" w:sz="0" w:space="0" w:color="auto"/>
        <w:left w:val="none" w:sz="0" w:space="0" w:color="auto"/>
        <w:bottom w:val="none" w:sz="0" w:space="0" w:color="auto"/>
        <w:right w:val="none" w:sz="0" w:space="0" w:color="auto"/>
      </w:divBdr>
    </w:div>
    <w:div w:id="892694967">
      <w:bodyDiv w:val="1"/>
      <w:marLeft w:val="0"/>
      <w:marRight w:val="0"/>
      <w:marTop w:val="0"/>
      <w:marBottom w:val="0"/>
      <w:divBdr>
        <w:top w:val="none" w:sz="0" w:space="0" w:color="auto"/>
        <w:left w:val="none" w:sz="0" w:space="0" w:color="auto"/>
        <w:bottom w:val="none" w:sz="0" w:space="0" w:color="auto"/>
        <w:right w:val="none" w:sz="0" w:space="0" w:color="auto"/>
      </w:divBdr>
    </w:div>
    <w:div w:id="893003080">
      <w:bodyDiv w:val="1"/>
      <w:marLeft w:val="0"/>
      <w:marRight w:val="0"/>
      <w:marTop w:val="0"/>
      <w:marBottom w:val="0"/>
      <w:divBdr>
        <w:top w:val="none" w:sz="0" w:space="0" w:color="auto"/>
        <w:left w:val="none" w:sz="0" w:space="0" w:color="auto"/>
        <w:bottom w:val="none" w:sz="0" w:space="0" w:color="auto"/>
        <w:right w:val="none" w:sz="0" w:space="0" w:color="auto"/>
      </w:divBdr>
    </w:div>
    <w:div w:id="893200270">
      <w:bodyDiv w:val="1"/>
      <w:marLeft w:val="0"/>
      <w:marRight w:val="0"/>
      <w:marTop w:val="0"/>
      <w:marBottom w:val="0"/>
      <w:divBdr>
        <w:top w:val="none" w:sz="0" w:space="0" w:color="auto"/>
        <w:left w:val="none" w:sz="0" w:space="0" w:color="auto"/>
        <w:bottom w:val="none" w:sz="0" w:space="0" w:color="auto"/>
        <w:right w:val="none" w:sz="0" w:space="0" w:color="auto"/>
      </w:divBdr>
    </w:div>
    <w:div w:id="898832355">
      <w:bodyDiv w:val="1"/>
      <w:marLeft w:val="0"/>
      <w:marRight w:val="0"/>
      <w:marTop w:val="0"/>
      <w:marBottom w:val="0"/>
      <w:divBdr>
        <w:top w:val="none" w:sz="0" w:space="0" w:color="auto"/>
        <w:left w:val="none" w:sz="0" w:space="0" w:color="auto"/>
        <w:bottom w:val="none" w:sz="0" w:space="0" w:color="auto"/>
        <w:right w:val="none" w:sz="0" w:space="0" w:color="auto"/>
      </w:divBdr>
    </w:div>
    <w:div w:id="901866178">
      <w:bodyDiv w:val="1"/>
      <w:marLeft w:val="0"/>
      <w:marRight w:val="0"/>
      <w:marTop w:val="0"/>
      <w:marBottom w:val="0"/>
      <w:divBdr>
        <w:top w:val="none" w:sz="0" w:space="0" w:color="auto"/>
        <w:left w:val="none" w:sz="0" w:space="0" w:color="auto"/>
        <w:bottom w:val="none" w:sz="0" w:space="0" w:color="auto"/>
        <w:right w:val="none" w:sz="0" w:space="0" w:color="auto"/>
      </w:divBdr>
    </w:div>
    <w:div w:id="904611351">
      <w:bodyDiv w:val="1"/>
      <w:marLeft w:val="0"/>
      <w:marRight w:val="0"/>
      <w:marTop w:val="0"/>
      <w:marBottom w:val="0"/>
      <w:divBdr>
        <w:top w:val="none" w:sz="0" w:space="0" w:color="auto"/>
        <w:left w:val="none" w:sz="0" w:space="0" w:color="auto"/>
        <w:bottom w:val="none" w:sz="0" w:space="0" w:color="auto"/>
        <w:right w:val="none" w:sz="0" w:space="0" w:color="auto"/>
      </w:divBdr>
    </w:div>
    <w:div w:id="905607467">
      <w:bodyDiv w:val="1"/>
      <w:marLeft w:val="0"/>
      <w:marRight w:val="0"/>
      <w:marTop w:val="0"/>
      <w:marBottom w:val="0"/>
      <w:divBdr>
        <w:top w:val="none" w:sz="0" w:space="0" w:color="auto"/>
        <w:left w:val="none" w:sz="0" w:space="0" w:color="auto"/>
        <w:bottom w:val="none" w:sz="0" w:space="0" w:color="auto"/>
        <w:right w:val="none" w:sz="0" w:space="0" w:color="auto"/>
      </w:divBdr>
    </w:div>
    <w:div w:id="907766331">
      <w:bodyDiv w:val="1"/>
      <w:marLeft w:val="0"/>
      <w:marRight w:val="0"/>
      <w:marTop w:val="0"/>
      <w:marBottom w:val="0"/>
      <w:divBdr>
        <w:top w:val="none" w:sz="0" w:space="0" w:color="auto"/>
        <w:left w:val="none" w:sz="0" w:space="0" w:color="auto"/>
        <w:bottom w:val="none" w:sz="0" w:space="0" w:color="auto"/>
        <w:right w:val="none" w:sz="0" w:space="0" w:color="auto"/>
      </w:divBdr>
    </w:div>
    <w:div w:id="908616596">
      <w:bodyDiv w:val="1"/>
      <w:marLeft w:val="0"/>
      <w:marRight w:val="0"/>
      <w:marTop w:val="0"/>
      <w:marBottom w:val="0"/>
      <w:divBdr>
        <w:top w:val="none" w:sz="0" w:space="0" w:color="auto"/>
        <w:left w:val="none" w:sz="0" w:space="0" w:color="auto"/>
        <w:bottom w:val="none" w:sz="0" w:space="0" w:color="auto"/>
        <w:right w:val="none" w:sz="0" w:space="0" w:color="auto"/>
      </w:divBdr>
    </w:div>
    <w:div w:id="910695821">
      <w:bodyDiv w:val="1"/>
      <w:marLeft w:val="0"/>
      <w:marRight w:val="0"/>
      <w:marTop w:val="0"/>
      <w:marBottom w:val="0"/>
      <w:divBdr>
        <w:top w:val="none" w:sz="0" w:space="0" w:color="auto"/>
        <w:left w:val="none" w:sz="0" w:space="0" w:color="auto"/>
        <w:bottom w:val="none" w:sz="0" w:space="0" w:color="auto"/>
        <w:right w:val="none" w:sz="0" w:space="0" w:color="auto"/>
      </w:divBdr>
    </w:div>
    <w:div w:id="918292269">
      <w:bodyDiv w:val="1"/>
      <w:marLeft w:val="0"/>
      <w:marRight w:val="0"/>
      <w:marTop w:val="0"/>
      <w:marBottom w:val="0"/>
      <w:divBdr>
        <w:top w:val="none" w:sz="0" w:space="0" w:color="auto"/>
        <w:left w:val="none" w:sz="0" w:space="0" w:color="auto"/>
        <w:bottom w:val="none" w:sz="0" w:space="0" w:color="auto"/>
        <w:right w:val="none" w:sz="0" w:space="0" w:color="auto"/>
      </w:divBdr>
    </w:div>
    <w:div w:id="918910148">
      <w:bodyDiv w:val="1"/>
      <w:marLeft w:val="0"/>
      <w:marRight w:val="0"/>
      <w:marTop w:val="0"/>
      <w:marBottom w:val="0"/>
      <w:divBdr>
        <w:top w:val="none" w:sz="0" w:space="0" w:color="auto"/>
        <w:left w:val="none" w:sz="0" w:space="0" w:color="auto"/>
        <w:bottom w:val="none" w:sz="0" w:space="0" w:color="auto"/>
        <w:right w:val="none" w:sz="0" w:space="0" w:color="auto"/>
      </w:divBdr>
    </w:div>
    <w:div w:id="919024852">
      <w:bodyDiv w:val="1"/>
      <w:marLeft w:val="0"/>
      <w:marRight w:val="0"/>
      <w:marTop w:val="0"/>
      <w:marBottom w:val="0"/>
      <w:divBdr>
        <w:top w:val="none" w:sz="0" w:space="0" w:color="auto"/>
        <w:left w:val="none" w:sz="0" w:space="0" w:color="auto"/>
        <w:bottom w:val="none" w:sz="0" w:space="0" w:color="auto"/>
        <w:right w:val="none" w:sz="0" w:space="0" w:color="auto"/>
      </w:divBdr>
    </w:div>
    <w:div w:id="931010143">
      <w:bodyDiv w:val="1"/>
      <w:marLeft w:val="0"/>
      <w:marRight w:val="0"/>
      <w:marTop w:val="0"/>
      <w:marBottom w:val="0"/>
      <w:divBdr>
        <w:top w:val="none" w:sz="0" w:space="0" w:color="auto"/>
        <w:left w:val="none" w:sz="0" w:space="0" w:color="auto"/>
        <w:bottom w:val="none" w:sz="0" w:space="0" w:color="auto"/>
        <w:right w:val="none" w:sz="0" w:space="0" w:color="auto"/>
      </w:divBdr>
    </w:div>
    <w:div w:id="931548380">
      <w:bodyDiv w:val="1"/>
      <w:marLeft w:val="0"/>
      <w:marRight w:val="0"/>
      <w:marTop w:val="0"/>
      <w:marBottom w:val="0"/>
      <w:divBdr>
        <w:top w:val="none" w:sz="0" w:space="0" w:color="auto"/>
        <w:left w:val="none" w:sz="0" w:space="0" w:color="auto"/>
        <w:bottom w:val="none" w:sz="0" w:space="0" w:color="auto"/>
        <w:right w:val="none" w:sz="0" w:space="0" w:color="auto"/>
      </w:divBdr>
    </w:div>
    <w:div w:id="939532975">
      <w:bodyDiv w:val="1"/>
      <w:marLeft w:val="0"/>
      <w:marRight w:val="0"/>
      <w:marTop w:val="0"/>
      <w:marBottom w:val="0"/>
      <w:divBdr>
        <w:top w:val="none" w:sz="0" w:space="0" w:color="auto"/>
        <w:left w:val="none" w:sz="0" w:space="0" w:color="auto"/>
        <w:bottom w:val="none" w:sz="0" w:space="0" w:color="auto"/>
        <w:right w:val="none" w:sz="0" w:space="0" w:color="auto"/>
      </w:divBdr>
    </w:div>
    <w:div w:id="939685159">
      <w:bodyDiv w:val="1"/>
      <w:marLeft w:val="0"/>
      <w:marRight w:val="0"/>
      <w:marTop w:val="0"/>
      <w:marBottom w:val="0"/>
      <w:divBdr>
        <w:top w:val="none" w:sz="0" w:space="0" w:color="auto"/>
        <w:left w:val="none" w:sz="0" w:space="0" w:color="auto"/>
        <w:bottom w:val="none" w:sz="0" w:space="0" w:color="auto"/>
        <w:right w:val="none" w:sz="0" w:space="0" w:color="auto"/>
      </w:divBdr>
    </w:div>
    <w:div w:id="942609975">
      <w:bodyDiv w:val="1"/>
      <w:marLeft w:val="0"/>
      <w:marRight w:val="0"/>
      <w:marTop w:val="0"/>
      <w:marBottom w:val="0"/>
      <w:divBdr>
        <w:top w:val="none" w:sz="0" w:space="0" w:color="auto"/>
        <w:left w:val="none" w:sz="0" w:space="0" w:color="auto"/>
        <w:bottom w:val="none" w:sz="0" w:space="0" w:color="auto"/>
        <w:right w:val="none" w:sz="0" w:space="0" w:color="auto"/>
      </w:divBdr>
    </w:div>
    <w:div w:id="943340128">
      <w:bodyDiv w:val="1"/>
      <w:marLeft w:val="0"/>
      <w:marRight w:val="0"/>
      <w:marTop w:val="0"/>
      <w:marBottom w:val="0"/>
      <w:divBdr>
        <w:top w:val="none" w:sz="0" w:space="0" w:color="auto"/>
        <w:left w:val="none" w:sz="0" w:space="0" w:color="auto"/>
        <w:bottom w:val="none" w:sz="0" w:space="0" w:color="auto"/>
        <w:right w:val="none" w:sz="0" w:space="0" w:color="auto"/>
      </w:divBdr>
    </w:div>
    <w:div w:id="946306911">
      <w:bodyDiv w:val="1"/>
      <w:marLeft w:val="0"/>
      <w:marRight w:val="0"/>
      <w:marTop w:val="0"/>
      <w:marBottom w:val="0"/>
      <w:divBdr>
        <w:top w:val="none" w:sz="0" w:space="0" w:color="auto"/>
        <w:left w:val="none" w:sz="0" w:space="0" w:color="auto"/>
        <w:bottom w:val="none" w:sz="0" w:space="0" w:color="auto"/>
        <w:right w:val="none" w:sz="0" w:space="0" w:color="auto"/>
      </w:divBdr>
    </w:div>
    <w:div w:id="946426923">
      <w:bodyDiv w:val="1"/>
      <w:marLeft w:val="0"/>
      <w:marRight w:val="0"/>
      <w:marTop w:val="0"/>
      <w:marBottom w:val="0"/>
      <w:divBdr>
        <w:top w:val="none" w:sz="0" w:space="0" w:color="auto"/>
        <w:left w:val="none" w:sz="0" w:space="0" w:color="auto"/>
        <w:bottom w:val="none" w:sz="0" w:space="0" w:color="auto"/>
        <w:right w:val="none" w:sz="0" w:space="0" w:color="auto"/>
      </w:divBdr>
    </w:div>
    <w:div w:id="950820393">
      <w:bodyDiv w:val="1"/>
      <w:marLeft w:val="0"/>
      <w:marRight w:val="0"/>
      <w:marTop w:val="0"/>
      <w:marBottom w:val="0"/>
      <w:divBdr>
        <w:top w:val="none" w:sz="0" w:space="0" w:color="auto"/>
        <w:left w:val="none" w:sz="0" w:space="0" w:color="auto"/>
        <w:bottom w:val="none" w:sz="0" w:space="0" w:color="auto"/>
        <w:right w:val="none" w:sz="0" w:space="0" w:color="auto"/>
      </w:divBdr>
    </w:div>
    <w:div w:id="961499215">
      <w:bodyDiv w:val="1"/>
      <w:marLeft w:val="0"/>
      <w:marRight w:val="0"/>
      <w:marTop w:val="0"/>
      <w:marBottom w:val="0"/>
      <w:divBdr>
        <w:top w:val="none" w:sz="0" w:space="0" w:color="auto"/>
        <w:left w:val="none" w:sz="0" w:space="0" w:color="auto"/>
        <w:bottom w:val="none" w:sz="0" w:space="0" w:color="auto"/>
        <w:right w:val="none" w:sz="0" w:space="0" w:color="auto"/>
      </w:divBdr>
    </w:div>
    <w:div w:id="961806570">
      <w:bodyDiv w:val="1"/>
      <w:marLeft w:val="0"/>
      <w:marRight w:val="0"/>
      <w:marTop w:val="0"/>
      <w:marBottom w:val="0"/>
      <w:divBdr>
        <w:top w:val="none" w:sz="0" w:space="0" w:color="auto"/>
        <w:left w:val="none" w:sz="0" w:space="0" w:color="auto"/>
        <w:bottom w:val="none" w:sz="0" w:space="0" w:color="auto"/>
        <w:right w:val="none" w:sz="0" w:space="0" w:color="auto"/>
      </w:divBdr>
    </w:div>
    <w:div w:id="968243492">
      <w:bodyDiv w:val="1"/>
      <w:marLeft w:val="0"/>
      <w:marRight w:val="0"/>
      <w:marTop w:val="0"/>
      <w:marBottom w:val="0"/>
      <w:divBdr>
        <w:top w:val="none" w:sz="0" w:space="0" w:color="auto"/>
        <w:left w:val="none" w:sz="0" w:space="0" w:color="auto"/>
        <w:bottom w:val="none" w:sz="0" w:space="0" w:color="auto"/>
        <w:right w:val="none" w:sz="0" w:space="0" w:color="auto"/>
      </w:divBdr>
    </w:div>
    <w:div w:id="970599216">
      <w:bodyDiv w:val="1"/>
      <w:marLeft w:val="0"/>
      <w:marRight w:val="0"/>
      <w:marTop w:val="0"/>
      <w:marBottom w:val="0"/>
      <w:divBdr>
        <w:top w:val="none" w:sz="0" w:space="0" w:color="auto"/>
        <w:left w:val="none" w:sz="0" w:space="0" w:color="auto"/>
        <w:bottom w:val="none" w:sz="0" w:space="0" w:color="auto"/>
        <w:right w:val="none" w:sz="0" w:space="0" w:color="auto"/>
      </w:divBdr>
    </w:div>
    <w:div w:id="971130224">
      <w:bodyDiv w:val="1"/>
      <w:marLeft w:val="0"/>
      <w:marRight w:val="0"/>
      <w:marTop w:val="0"/>
      <w:marBottom w:val="0"/>
      <w:divBdr>
        <w:top w:val="none" w:sz="0" w:space="0" w:color="auto"/>
        <w:left w:val="none" w:sz="0" w:space="0" w:color="auto"/>
        <w:bottom w:val="none" w:sz="0" w:space="0" w:color="auto"/>
        <w:right w:val="none" w:sz="0" w:space="0" w:color="auto"/>
      </w:divBdr>
    </w:div>
    <w:div w:id="981737690">
      <w:bodyDiv w:val="1"/>
      <w:marLeft w:val="0"/>
      <w:marRight w:val="0"/>
      <w:marTop w:val="0"/>
      <w:marBottom w:val="0"/>
      <w:divBdr>
        <w:top w:val="none" w:sz="0" w:space="0" w:color="auto"/>
        <w:left w:val="none" w:sz="0" w:space="0" w:color="auto"/>
        <w:bottom w:val="none" w:sz="0" w:space="0" w:color="auto"/>
        <w:right w:val="none" w:sz="0" w:space="0" w:color="auto"/>
      </w:divBdr>
    </w:div>
    <w:div w:id="986279660">
      <w:bodyDiv w:val="1"/>
      <w:marLeft w:val="0"/>
      <w:marRight w:val="0"/>
      <w:marTop w:val="0"/>
      <w:marBottom w:val="0"/>
      <w:divBdr>
        <w:top w:val="none" w:sz="0" w:space="0" w:color="auto"/>
        <w:left w:val="none" w:sz="0" w:space="0" w:color="auto"/>
        <w:bottom w:val="none" w:sz="0" w:space="0" w:color="auto"/>
        <w:right w:val="none" w:sz="0" w:space="0" w:color="auto"/>
      </w:divBdr>
    </w:div>
    <w:div w:id="988173061">
      <w:bodyDiv w:val="1"/>
      <w:marLeft w:val="0"/>
      <w:marRight w:val="0"/>
      <w:marTop w:val="0"/>
      <w:marBottom w:val="0"/>
      <w:divBdr>
        <w:top w:val="none" w:sz="0" w:space="0" w:color="auto"/>
        <w:left w:val="none" w:sz="0" w:space="0" w:color="auto"/>
        <w:bottom w:val="none" w:sz="0" w:space="0" w:color="auto"/>
        <w:right w:val="none" w:sz="0" w:space="0" w:color="auto"/>
      </w:divBdr>
    </w:div>
    <w:div w:id="991786455">
      <w:bodyDiv w:val="1"/>
      <w:marLeft w:val="0"/>
      <w:marRight w:val="0"/>
      <w:marTop w:val="0"/>
      <w:marBottom w:val="0"/>
      <w:divBdr>
        <w:top w:val="none" w:sz="0" w:space="0" w:color="auto"/>
        <w:left w:val="none" w:sz="0" w:space="0" w:color="auto"/>
        <w:bottom w:val="none" w:sz="0" w:space="0" w:color="auto"/>
        <w:right w:val="none" w:sz="0" w:space="0" w:color="auto"/>
      </w:divBdr>
    </w:div>
    <w:div w:id="993605729">
      <w:bodyDiv w:val="1"/>
      <w:marLeft w:val="0"/>
      <w:marRight w:val="0"/>
      <w:marTop w:val="0"/>
      <w:marBottom w:val="0"/>
      <w:divBdr>
        <w:top w:val="none" w:sz="0" w:space="0" w:color="auto"/>
        <w:left w:val="none" w:sz="0" w:space="0" w:color="auto"/>
        <w:bottom w:val="none" w:sz="0" w:space="0" w:color="auto"/>
        <w:right w:val="none" w:sz="0" w:space="0" w:color="auto"/>
      </w:divBdr>
    </w:div>
    <w:div w:id="999581480">
      <w:bodyDiv w:val="1"/>
      <w:marLeft w:val="0"/>
      <w:marRight w:val="0"/>
      <w:marTop w:val="0"/>
      <w:marBottom w:val="0"/>
      <w:divBdr>
        <w:top w:val="none" w:sz="0" w:space="0" w:color="auto"/>
        <w:left w:val="none" w:sz="0" w:space="0" w:color="auto"/>
        <w:bottom w:val="none" w:sz="0" w:space="0" w:color="auto"/>
        <w:right w:val="none" w:sz="0" w:space="0" w:color="auto"/>
      </w:divBdr>
    </w:div>
    <w:div w:id="1002974189">
      <w:bodyDiv w:val="1"/>
      <w:marLeft w:val="0"/>
      <w:marRight w:val="0"/>
      <w:marTop w:val="0"/>
      <w:marBottom w:val="0"/>
      <w:divBdr>
        <w:top w:val="none" w:sz="0" w:space="0" w:color="auto"/>
        <w:left w:val="none" w:sz="0" w:space="0" w:color="auto"/>
        <w:bottom w:val="none" w:sz="0" w:space="0" w:color="auto"/>
        <w:right w:val="none" w:sz="0" w:space="0" w:color="auto"/>
      </w:divBdr>
    </w:div>
    <w:div w:id="1003892379">
      <w:bodyDiv w:val="1"/>
      <w:marLeft w:val="0"/>
      <w:marRight w:val="0"/>
      <w:marTop w:val="0"/>
      <w:marBottom w:val="0"/>
      <w:divBdr>
        <w:top w:val="none" w:sz="0" w:space="0" w:color="auto"/>
        <w:left w:val="none" w:sz="0" w:space="0" w:color="auto"/>
        <w:bottom w:val="none" w:sz="0" w:space="0" w:color="auto"/>
        <w:right w:val="none" w:sz="0" w:space="0" w:color="auto"/>
      </w:divBdr>
    </w:div>
    <w:div w:id="1004279708">
      <w:bodyDiv w:val="1"/>
      <w:marLeft w:val="0"/>
      <w:marRight w:val="0"/>
      <w:marTop w:val="0"/>
      <w:marBottom w:val="0"/>
      <w:divBdr>
        <w:top w:val="none" w:sz="0" w:space="0" w:color="auto"/>
        <w:left w:val="none" w:sz="0" w:space="0" w:color="auto"/>
        <w:bottom w:val="none" w:sz="0" w:space="0" w:color="auto"/>
        <w:right w:val="none" w:sz="0" w:space="0" w:color="auto"/>
      </w:divBdr>
    </w:div>
    <w:div w:id="1007246332">
      <w:bodyDiv w:val="1"/>
      <w:marLeft w:val="0"/>
      <w:marRight w:val="0"/>
      <w:marTop w:val="0"/>
      <w:marBottom w:val="0"/>
      <w:divBdr>
        <w:top w:val="none" w:sz="0" w:space="0" w:color="auto"/>
        <w:left w:val="none" w:sz="0" w:space="0" w:color="auto"/>
        <w:bottom w:val="none" w:sz="0" w:space="0" w:color="auto"/>
        <w:right w:val="none" w:sz="0" w:space="0" w:color="auto"/>
      </w:divBdr>
    </w:div>
    <w:div w:id="1010329073">
      <w:bodyDiv w:val="1"/>
      <w:marLeft w:val="0"/>
      <w:marRight w:val="0"/>
      <w:marTop w:val="0"/>
      <w:marBottom w:val="0"/>
      <w:divBdr>
        <w:top w:val="none" w:sz="0" w:space="0" w:color="auto"/>
        <w:left w:val="none" w:sz="0" w:space="0" w:color="auto"/>
        <w:bottom w:val="none" w:sz="0" w:space="0" w:color="auto"/>
        <w:right w:val="none" w:sz="0" w:space="0" w:color="auto"/>
      </w:divBdr>
    </w:div>
    <w:div w:id="1011184008">
      <w:bodyDiv w:val="1"/>
      <w:marLeft w:val="0"/>
      <w:marRight w:val="0"/>
      <w:marTop w:val="0"/>
      <w:marBottom w:val="0"/>
      <w:divBdr>
        <w:top w:val="none" w:sz="0" w:space="0" w:color="auto"/>
        <w:left w:val="none" w:sz="0" w:space="0" w:color="auto"/>
        <w:bottom w:val="none" w:sz="0" w:space="0" w:color="auto"/>
        <w:right w:val="none" w:sz="0" w:space="0" w:color="auto"/>
      </w:divBdr>
    </w:div>
    <w:div w:id="1013186837">
      <w:bodyDiv w:val="1"/>
      <w:marLeft w:val="0"/>
      <w:marRight w:val="0"/>
      <w:marTop w:val="0"/>
      <w:marBottom w:val="0"/>
      <w:divBdr>
        <w:top w:val="none" w:sz="0" w:space="0" w:color="auto"/>
        <w:left w:val="none" w:sz="0" w:space="0" w:color="auto"/>
        <w:bottom w:val="none" w:sz="0" w:space="0" w:color="auto"/>
        <w:right w:val="none" w:sz="0" w:space="0" w:color="auto"/>
      </w:divBdr>
    </w:div>
    <w:div w:id="1018118758">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26172188">
      <w:bodyDiv w:val="1"/>
      <w:marLeft w:val="0"/>
      <w:marRight w:val="0"/>
      <w:marTop w:val="0"/>
      <w:marBottom w:val="0"/>
      <w:divBdr>
        <w:top w:val="none" w:sz="0" w:space="0" w:color="auto"/>
        <w:left w:val="none" w:sz="0" w:space="0" w:color="auto"/>
        <w:bottom w:val="none" w:sz="0" w:space="0" w:color="auto"/>
        <w:right w:val="none" w:sz="0" w:space="0" w:color="auto"/>
      </w:divBdr>
    </w:div>
    <w:div w:id="1026252406">
      <w:bodyDiv w:val="1"/>
      <w:marLeft w:val="0"/>
      <w:marRight w:val="0"/>
      <w:marTop w:val="0"/>
      <w:marBottom w:val="0"/>
      <w:divBdr>
        <w:top w:val="none" w:sz="0" w:space="0" w:color="auto"/>
        <w:left w:val="none" w:sz="0" w:space="0" w:color="auto"/>
        <w:bottom w:val="none" w:sz="0" w:space="0" w:color="auto"/>
        <w:right w:val="none" w:sz="0" w:space="0" w:color="auto"/>
      </w:divBdr>
    </w:div>
    <w:div w:id="1026563805">
      <w:bodyDiv w:val="1"/>
      <w:marLeft w:val="0"/>
      <w:marRight w:val="0"/>
      <w:marTop w:val="0"/>
      <w:marBottom w:val="0"/>
      <w:divBdr>
        <w:top w:val="none" w:sz="0" w:space="0" w:color="auto"/>
        <w:left w:val="none" w:sz="0" w:space="0" w:color="auto"/>
        <w:bottom w:val="none" w:sz="0" w:space="0" w:color="auto"/>
        <w:right w:val="none" w:sz="0" w:space="0" w:color="auto"/>
      </w:divBdr>
    </w:div>
    <w:div w:id="1032416059">
      <w:bodyDiv w:val="1"/>
      <w:marLeft w:val="0"/>
      <w:marRight w:val="0"/>
      <w:marTop w:val="0"/>
      <w:marBottom w:val="0"/>
      <w:divBdr>
        <w:top w:val="none" w:sz="0" w:space="0" w:color="auto"/>
        <w:left w:val="none" w:sz="0" w:space="0" w:color="auto"/>
        <w:bottom w:val="none" w:sz="0" w:space="0" w:color="auto"/>
        <w:right w:val="none" w:sz="0" w:space="0" w:color="auto"/>
      </w:divBdr>
    </w:div>
    <w:div w:id="1034765944">
      <w:bodyDiv w:val="1"/>
      <w:marLeft w:val="0"/>
      <w:marRight w:val="0"/>
      <w:marTop w:val="0"/>
      <w:marBottom w:val="0"/>
      <w:divBdr>
        <w:top w:val="none" w:sz="0" w:space="0" w:color="auto"/>
        <w:left w:val="none" w:sz="0" w:space="0" w:color="auto"/>
        <w:bottom w:val="none" w:sz="0" w:space="0" w:color="auto"/>
        <w:right w:val="none" w:sz="0" w:space="0" w:color="auto"/>
      </w:divBdr>
    </w:div>
    <w:div w:id="1035235357">
      <w:bodyDiv w:val="1"/>
      <w:marLeft w:val="0"/>
      <w:marRight w:val="0"/>
      <w:marTop w:val="0"/>
      <w:marBottom w:val="0"/>
      <w:divBdr>
        <w:top w:val="none" w:sz="0" w:space="0" w:color="auto"/>
        <w:left w:val="none" w:sz="0" w:space="0" w:color="auto"/>
        <w:bottom w:val="none" w:sz="0" w:space="0" w:color="auto"/>
        <w:right w:val="none" w:sz="0" w:space="0" w:color="auto"/>
      </w:divBdr>
    </w:div>
    <w:div w:id="1035500456">
      <w:bodyDiv w:val="1"/>
      <w:marLeft w:val="0"/>
      <w:marRight w:val="0"/>
      <w:marTop w:val="0"/>
      <w:marBottom w:val="0"/>
      <w:divBdr>
        <w:top w:val="none" w:sz="0" w:space="0" w:color="auto"/>
        <w:left w:val="none" w:sz="0" w:space="0" w:color="auto"/>
        <w:bottom w:val="none" w:sz="0" w:space="0" w:color="auto"/>
        <w:right w:val="none" w:sz="0" w:space="0" w:color="auto"/>
      </w:divBdr>
    </w:div>
    <w:div w:id="1039160685">
      <w:bodyDiv w:val="1"/>
      <w:marLeft w:val="0"/>
      <w:marRight w:val="0"/>
      <w:marTop w:val="0"/>
      <w:marBottom w:val="0"/>
      <w:divBdr>
        <w:top w:val="none" w:sz="0" w:space="0" w:color="auto"/>
        <w:left w:val="none" w:sz="0" w:space="0" w:color="auto"/>
        <w:bottom w:val="none" w:sz="0" w:space="0" w:color="auto"/>
        <w:right w:val="none" w:sz="0" w:space="0" w:color="auto"/>
      </w:divBdr>
    </w:div>
    <w:div w:id="1039207176">
      <w:bodyDiv w:val="1"/>
      <w:marLeft w:val="0"/>
      <w:marRight w:val="0"/>
      <w:marTop w:val="0"/>
      <w:marBottom w:val="0"/>
      <w:divBdr>
        <w:top w:val="none" w:sz="0" w:space="0" w:color="auto"/>
        <w:left w:val="none" w:sz="0" w:space="0" w:color="auto"/>
        <w:bottom w:val="none" w:sz="0" w:space="0" w:color="auto"/>
        <w:right w:val="none" w:sz="0" w:space="0" w:color="auto"/>
      </w:divBdr>
    </w:div>
    <w:div w:id="1050685369">
      <w:bodyDiv w:val="1"/>
      <w:marLeft w:val="0"/>
      <w:marRight w:val="0"/>
      <w:marTop w:val="0"/>
      <w:marBottom w:val="0"/>
      <w:divBdr>
        <w:top w:val="none" w:sz="0" w:space="0" w:color="auto"/>
        <w:left w:val="none" w:sz="0" w:space="0" w:color="auto"/>
        <w:bottom w:val="none" w:sz="0" w:space="0" w:color="auto"/>
        <w:right w:val="none" w:sz="0" w:space="0" w:color="auto"/>
      </w:divBdr>
    </w:div>
    <w:div w:id="1054046417">
      <w:bodyDiv w:val="1"/>
      <w:marLeft w:val="0"/>
      <w:marRight w:val="0"/>
      <w:marTop w:val="0"/>
      <w:marBottom w:val="0"/>
      <w:divBdr>
        <w:top w:val="none" w:sz="0" w:space="0" w:color="auto"/>
        <w:left w:val="none" w:sz="0" w:space="0" w:color="auto"/>
        <w:bottom w:val="none" w:sz="0" w:space="0" w:color="auto"/>
        <w:right w:val="none" w:sz="0" w:space="0" w:color="auto"/>
      </w:divBdr>
    </w:div>
    <w:div w:id="1060516524">
      <w:bodyDiv w:val="1"/>
      <w:marLeft w:val="0"/>
      <w:marRight w:val="0"/>
      <w:marTop w:val="0"/>
      <w:marBottom w:val="0"/>
      <w:divBdr>
        <w:top w:val="none" w:sz="0" w:space="0" w:color="auto"/>
        <w:left w:val="none" w:sz="0" w:space="0" w:color="auto"/>
        <w:bottom w:val="none" w:sz="0" w:space="0" w:color="auto"/>
        <w:right w:val="none" w:sz="0" w:space="0" w:color="auto"/>
      </w:divBdr>
    </w:div>
    <w:div w:id="1061364515">
      <w:bodyDiv w:val="1"/>
      <w:marLeft w:val="0"/>
      <w:marRight w:val="0"/>
      <w:marTop w:val="0"/>
      <w:marBottom w:val="0"/>
      <w:divBdr>
        <w:top w:val="none" w:sz="0" w:space="0" w:color="auto"/>
        <w:left w:val="none" w:sz="0" w:space="0" w:color="auto"/>
        <w:bottom w:val="none" w:sz="0" w:space="0" w:color="auto"/>
        <w:right w:val="none" w:sz="0" w:space="0" w:color="auto"/>
      </w:divBdr>
    </w:div>
    <w:div w:id="1070620940">
      <w:bodyDiv w:val="1"/>
      <w:marLeft w:val="0"/>
      <w:marRight w:val="0"/>
      <w:marTop w:val="0"/>
      <w:marBottom w:val="0"/>
      <w:divBdr>
        <w:top w:val="none" w:sz="0" w:space="0" w:color="auto"/>
        <w:left w:val="none" w:sz="0" w:space="0" w:color="auto"/>
        <w:bottom w:val="none" w:sz="0" w:space="0" w:color="auto"/>
        <w:right w:val="none" w:sz="0" w:space="0" w:color="auto"/>
      </w:divBdr>
    </w:div>
    <w:div w:id="1072654564">
      <w:bodyDiv w:val="1"/>
      <w:marLeft w:val="0"/>
      <w:marRight w:val="0"/>
      <w:marTop w:val="0"/>
      <w:marBottom w:val="0"/>
      <w:divBdr>
        <w:top w:val="none" w:sz="0" w:space="0" w:color="auto"/>
        <w:left w:val="none" w:sz="0" w:space="0" w:color="auto"/>
        <w:bottom w:val="none" w:sz="0" w:space="0" w:color="auto"/>
        <w:right w:val="none" w:sz="0" w:space="0" w:color="auto"/>
      </w:divBdr>
    </w:div>
    <w:div w:id="1073967284">
      <w:bodyDiv w:val="1"/>
      <w:marLeft w:val="0"/>
      <w:marRight w:val="0"/>
      <w:marTop w:val="0"/>
      <w:marBottom w:val="0"/>
      <w:divBdr>
        <w:top w:val="none" w:sz="0" w:space="0" w:color="auto"/>
        <w:left w:val="none" w:sz="0" w:space="0" w:color="auto"/>
        <w:bottom w:val="none" w:sz="0" w:space="0" w:color="auto"/>
        <w:right w:val="none" w:sz="0" w:space="0" w:color="auto"/>
      </w:divBdr>
    </w:div>
    <w:div w:id="1077046401">
      <w:bodyDiv w:val="1"/>
      <w:marLeft w:val="0"/>
      <w:marRight w:val="0"/>
      <w:marTop w:val="0"/>
      <w:marBottom w:val="0"/>
      <w:divBdr>
        <w:top w:val="none" w:sz="0" w:space="0" w:color="auto"/>
        <w:left w:val="none" w:sz="0" w:space="0" w:color="auto"/>
        <w:bottom w:val="none" w:sz="0" w:space="0" w:color="auto"/>
        <w:right w:val="none" w:sz="0" w:space="0" w:color="auto"/>
      </w:divBdr>
    </w:div>
    <w:div w:id="1094518649">
      <w:bodyDiv w:val="1"/>
      <w:marLeft w:val="0"/>
      <w:marRight w:val="0"/>
      <w:marTop w:val="0"/>
      <w:marBottom w:val="0"/>
      <w:divBdr>
        <w:top w:val="none" w:sz="0" w:space="0" w:color="auto"/>
        <w:left w:val="none" w:sz="0" w:space="0" w:color="auto"/>
        <w:bottom w:val="none" w:sz="0" w:space="0" w:color="auto"/>
        <w:right w:val="none" w:sz="0" w:space="0" w:color="auto"/>
      </w:divBdr>
    </w:div>
    <w:div w:id="1107771637">
      <w:bodyDiv w:val="1"/>
      <w:marLeft w:val="0"/>
      <w:marRight w:val="0"/>
      <w:marTop w:val="0"/>
      <w:marBottom w:val="0"/>
      <w:divBdr>
        <w:top w:val="none" w:sz="0" w:space="0" w:color="auto"/>
        <w:left w:val="none" w:sz="0" w:space="0" w:color="auto"/>
        <w:bottom w:val="none" w:sz="0" w:space="0" w:color="auto"/>
        <w:right w:val="none" w:sz="0" w:space="0" w:color="auto"/>
      </w:divBdr>
    </w:div>
    <w:div w:id="1114592768">
      <w:bodyDiv w:val="1"/>
      <w:marLeft w:val="0"/>
      <w:marRight w:val="0"/>
      <w:marTop w:val="0"/>
      <w:marBottom w:val="0"/>
      <w:divBdr>
        <w:top w:val="none" w:sz="0" w:space="0" w:color="auto"/>
        <w:left w:val="none" w:sz="0" w:space="0" w:color="auto"/>
        <w:bottom w:val="none" w:sz="0" w:space="0" w:color="auto"/>
        <w:right w:val="none" w:sz="0" w:space="0" w:color="auto"/>
      </w:divBdr>
    </w:div>
    <w:div w:id="1114906740">
      <w:bodyDiv w:val="1"/>
      <w:marLeft w:val="0"/>
      <w:marRight w:val="0"/>
      <w:marTop w:val="0"/>
      <w:marBottom w:val="0"/>
      <w:divBdr>
        <w:top w:val="none" w:sz="0" w:space="0" w:color="auto"/>
        <w:left w:val="none" w:sz="0" w:space="0" w:color="auto"/>
        <w:bottom w:val="none" w:sz="0" w:space="0" w:color="auto"/>
        <w:right w:val="none" w:sz="0" w:space="0" w:color="auto"/>
      </w:divBdr>
    </w:div>
    <w:div w:id="1117600183">
      <w:bodyDiv w:val="1"/>
      <w:marLeft w:val="0"/>
      <w:marRight w:val="0"/>
      <w:marTop w:val="0"/>
      <w:marBottom w:val="0"/>
      <w:divBdr>
        <w:top w:val="none" w:sz="0" w:space="0" w:color="auto"/>
        <w:left w:val="none" w:sz="0" w:space="0" w:color="auto"/>
        <w:bottom w:val="none" w:sz="0" w:space="0" w:color="auto"/>
        <w:right w:val="none" w:sz="0" w:space="0" w:color="auto"/>
      </w:divBdr>
    </w:div>
    <w:div w:id="1120219691">
      <w:bodyDiv w:val="1"/>
      <w:marLeft w:val="0"/>
      <w:marRight w:val="0"/>
      <w:marTop w:val="0"/>
      <w:marBottom w:val="0"/>
      <w:divBdr>
        <w:top w:val="none" w:sz="0" w:space="0" w:color="auto"/>
        <w:left w:val="none" w:sz="0" w:space="0" w:color="auto"/>
        <w:bottom w:val="none" w:sz="0" w:space="0" w:color="auto"/>
        <w:right w:val="none" w:sz="0" w:space="0" w:color="auto"/>
      </w:divBdr>
    </w:div>
    <w:div w:id="1120496266">
      <w:bodyDiv w:val="1"/>
      <w:marLeft w:val="0"/>
      <w:marRight w:val="0"/>
      <w:marTop w:val="0"/>
      <w:marBottom w:val="0"/>
      <w:divBdr>
        <w:top w:val="none" w:sz="0" w:space="0" w:color="auto"/>
        <w:left w:val="none" w:sz="0" w:space="0" w:color="auto"/>
        <w:bottom w:val="none" w:sz="0" w:space="0" w:color="auto"/>
        <w:right w:val="none" w:sz="0" w:space="0" w:color="auto"/>
      </w:divBdr>
    </w:div>
    <w:div w:id="1124620302">
      <w:bodyDiv w:val="1"/>
      <w:marLeft w:val="0"/>
      <w:marRight w:val="0"/>
      <w:marTop w:val="0"/>
      <w:marBottom w:val="0"/>
      <w:divBdr>
        <w:top w:val="none" w:sz="0" w:space="0" w:color="auto"/>
        <w:left w:val="none" w:sz="0" w:space="0" w:color="auto"/>
        <w:bottom w:val="none" w:sz="0" w:space="0" w:color="auto"/>
        <w:right w:val="none" w:sz="0" w:space="0" w:color="auto"/>
      </w:divBdr>
    </w:div>
    <w:div w:id="1125779109">
      <w:bodyDiv w:val="1"/>
      <w:marLeft w:val="0"/>
      <w:marRight w:val="0"/>
      <w:marTop w:val="0"/>
      <w:marBottom w:val="0"/>
      <w:divBdr>
        <w:top w:val="none" w:sz="0" w:space="0" w:color="auto"/>
        <w:left w:val="none" w:sz="0" w:space="0" w:color="auto"/>
        <w:bottom w:val="none" w:sz="0" w:space="0" w:color="auto"/>
        <w:right w:val="none" w:sz="0" w:space="0" w:color="auto"/>
      </w:divBdr>
    </w:div>
    <w:div w:id="1136266242">
      <w:bodyDiv w:val="1"/>
      <w:marLeft w:val="0"/>
      <w:marRight w:val="0"/>
      <w:marTop w:val="0"/>
      <w:marBottom w:val="0"/>
      <w:divBdr>
        <w:top w:val="none" w:sz="0" w:space="0" w:color="auto"/>
        <w:left w:val="none" w:sz="0" w:space="0" w:color="auto"/>
        <w:bottom w:val="none" w:sz="0" w:space="0" w:color="auto"/>
        <w:right w:val="none" w:sz="0" w:space="0" w:color="auto"/>
      </w:divBdr>
    </w:div>
    <w:div w:id="1139615744">
      <w:bodyDiv w:val="1"/>
      <w:marLeft w:val="0"/>
      <w:marRight w:val="0"/>
      <w:marTop w:val="0"/>
      <w:marBottom w:val="0"/>
      <w:divBdr>
        <w:top w:val="none" w:sz="0" w:space="0" w:color="auto"/>
        <w:left w:val="none" w:sz="0" w:space="0" w:color="auto"/>
        <w:bottom w:val="none" w:sz="0" w:space="0" w:color="auto"/>
        <w:right w:val="none" w:sz="0" w:space="0" w:color="auto"/>
      </w:divBdr>
    </w:div>
    <w:div w:id="1140418387">
      <w:bodyDiv w:val="1"/>
      <w:marLeft w:val="0"/>
      <w:marRight w:val="0"/>
      <w:marTop w:val="0"/>
      <w:marBottom w:val="0"/>
      <w:divBdr>
        <w:top w:val="none" w:sz="0" w:space="0" w:color="auto"/>
        <w:left w:val="none" w:sz="0" w:space="0" w:color="auto"/>
        <w:bottom w:val="none" w:sz="0" w:space="0" w:color="auto"/>
        <w:right w:val="none" w:sz="0" w:space="0" w:color="auto"/>
      </w:divBdr>
    </w:div>
    <w:div w:id="1146899966">
      <w:bodyDiv w:val="1"/>
      <w:marLeft w:val="0"/>
      <w:marRight w:val="0"/>
      <w:marTop w:val="0"/>
      <w:marBottom w:val="0"/>
      <w:divBdr>
        <w:top w:val="none" w:sz="0" w:space="0" w:color="auto"/>
        <w:left w:val="none" w:sz="0" w:space="0" w:color="auto"/>
        <w:bottom w:val="none" w:sz="0" w:space="0" w:color="auto"/>
        <w:right w:val="none" w:sz="0" w:space="0" w:color="auto"/>
      </w:divBdr>
    </w:div>
    <w:div w:id="1154376082">
      <w:bodyDiv w:val="1"/>
      <w:marLeft w:val="0"/>
      <w:marRight w:val="0"/>
      <w:marTop w:val="0"/>
      <w:marBottom w:val="0"/>
      <w:divBdr>
        <w:top w:val="none" w:sz="0" w:space="0" w:color="auto"/>
        <w:left w:val="none" w:sz="0" w:space="0" w:color="auto"/>
        <w:bottom w:val="none" w:sz="0" w:space="0" w:color="auto"/>
        <w:right w:val="none" w:sz="0" w:space="0" w:color="auto"/>
      </w:divBdr>
    </w:div>
    <w:div w:id="1167786249">
      <w:bodyDiv w:val="1"/>
      <w:marLeft w:val="0"/>
      <w:marRight w:val="0"/>
      <w:marTop w:val="0"/>
      <w:marBottom w:val="0"/>
      <w:divBdr>
        <w:top w:val="none" w:sz="0" w:space="0" w:color="auto"/>
        <w:left w:val="none" w:sz="0" w:space="0" w:color="auto"/>
        <w:bottom w:val="none" w:sz="0" w:space="0" w:color="auto"/>
        <w:right w:val="none" w:sz="0" w:space="0" w:color="auto"/>
      </w:divBdr>
    </w:div>
    <w:div w:id="1174800356">
      <w:bodyDiv w:val="1"/>
      <w:marLeft w:val="0"/>
      <w:marRight w:val="0"/>
      <w:marTop w:val="0"/>
      <w:marBottom w:val="0"/>
      <w:divBdr>
        <w:top w:val="none" w:sz="0" w:space="0" w:color="auto"/>
        <w:left w:val="none" w:sz="0" w:space="0" w:color="auto"/>
        <w:bottom w:val="none" w:sz="0" w:space="0" w:color="auto"/>
        <w:right w:val="none" w:sz="0" w:space="0" w:color="auto"/>
      </w:divBdr>
    </w:div>
    <w:div w:id="1176070617">
      <w:bodyDiv w:val="1"/>
      <w:marLeft w:val="0"/>
      <w:marRight w:val="0"/>
      <w:marTop w:val="0"/>
      <w:marBottom w:val="0"/>
      <w:divBdr>
        <w:top w:val="none" w:sz="0" w:space="0" w:color="auto"/>
        <w:left w:val="none" w:sz="0" w:space="0" w:color="auto"/>
        <w:bottom w:val="none" w:sz="0" w:space="0" w:color="auto"/>
        <w:right w:val="none" w:sz="0" w:space="0" w:color="auto"/>
      </w:divBdr>
    </w:div>
    <w:div w:id="1184127299">
      <w:bodyDiv w:val="1"/>
      <w:marLeft w:val="0"/>
      <w:marRight w:val="0"/>
      <w:marTop w:val="0"/>
      <w:marBottom w:val="0"/>
      <w:divBdr>
        <w:top w:val="none" w:sz="0" w:space="0" w:color="auto"/>
        <w:left w:val="none" w:sz="0" w:space="0" w:color="auto"/>
        <w:bottom w:val="none" w:sz="0" w:space="0" w:color="auto"/>
        <w:right w:val="none" w:sz="0" w:space="0" w:color="auto"/>
      </w:divBdr>
    </w:div>
    <w:div w:id="1184322103">
      <w:bodyDiv w:val="1"/>
      <w:marLeft w:val="0"/>
      <w:marRight w:val="0"/>
      <w:marTop w:val="0"/>
      <w:marBottom w:val="0"/>
      <w:divBdr>
        <w:top w:val="none" w:sz="0" w:space="0" w:color="auto"/>
        <w:left w:val="none" w:sz="0" w:space="0" w:color="auto"/>
        <w:bottom w:val="none" w:sz="0" w:space="0" w:color="auto"/>
        <w:right w:val="none" w:sz="0" w:space="0" w:color="auto"/>
      </w:divBdr>
    </w:div>
    <w:div w:id="1184827294">
      <w:bodyDiv w:val="1"/>
      <w:marLeft w:val="0"/>
      <w:marRight w:val="0"/>
      <w:marTop w:val="0"/>
      <w:marBottom w:val="0"/>
      <w:divBdr>
        <w:top w:val="none" w:sz="0" w:space="0" w:color="auto"/>
        <w:left w:val="none" w:sz="0" w:space="0" w:color="auto"/>
        <w:bottom w:val="none" w:sz="0" w:space="0" w:color="auto"/>
        <w:right w:val="none" w:sz="0" w:space="0" w:color="auto"/>
      </w:divBdr>
    </w:div>
    <w:div w:id="1185434600">
      <w:bodyDiv w:val="1"/>
      <w:marLeft w:val="0"/>
      <w:marRight w:val="0"/>
      <w:marTop w:val="0"/>
      <w:marBottom w:val="0"/>
      <w:divBdr>
        <w:top w:val="none" w:sz="0" w:space="0" w:color="auto"/>
        <w:left w:val="none" w:sz="0" w:space="0" w:color="auto"/>
        <w:bottom w:val="none" w:sz="0" w:space="0" w:color="auto"/>
        <w:right w:val="none" w:sz="0" w:space="0" w:color="auto"/>
      </w:divBdr>
    </w:div>
    <w:div w:id="1185943487">
      <w:bodyDiv w:val="1"/>
      <w:marLeft w:val="0"/>
      <w:marRight w:val="0"/>
      <w:marTop w:val="0"/>
      <w:marBottom w:val="0"/>
      <w:divBdr>
        <w:top w:val="none" w:sz="0" w:space="0" w:color="auto"/>
        <w:left w:val="none" w:sz="0" w:space="0" w:color="auto"/>
        <w:bottom w:val="none" w:sz="0" w:space="0" w:color="auto"/>
        <w:right w:val="none" w:sz="0" w:space="0" w:color="auto"/>
      </w:divBdr>
    </w:div>
    <w:div w:id="1187794139">
      <w:bodyDiv w:val="1"/>
      <w:marLeft w:val="0"/>
      <w:marRight w:val="0"/>
      <w:marTop w:val="0"/>
      <w:marBottom w:val="0"/>
      <w:divBdr>
        <w:top w:val="none" w:sz="0" w:space="0" w:color="auto"/>
        <w:left w:val="none" w:sz="0" w:space="0" w:color="auto"/>
        <w:bottom w:val="none" w:sz="0" w:space="0" w:color="auto"/>
        <w:right w:val="none" w:sz="0" w:space="0" w:color="auto"/>
      </w:divBdr>
    </w:div>
    <w:div w:id="1189100354">
      <w:bodyDiv w:val="1"/>
      <w:marLeft w:val="0"/>
      <w:marRight w:val="0"/>
      <w:marTop w:val="0"/>
      <w:marBottom w:val="0"/>
      <w:divBdr>
        <w:top w:val="none" w:sz="0" w:space="0" w:color="auto"/>
        <w:left w:val="none" w:sz="0" w:space="0" w:color="auto"/>
        <w:bottom w:val="none" w:sz="0" w:space="0" w:color="auto"/>
        <w:right w:val="none" w:sz="0" w:space="0" w:color="auto"/>
      </w:divBdr>
    </w:div>
    <w:div w:id="1194221826">
      <w:bodyDiv w:val="1"/>
      <w:marLeft w:val="0"/>
      <w:marRight w:val="0"/>
      <w:marTop w:val="0"/>
      <w:marBottom w:val="0"/>
      <w:divBdr>
        <w:top w:val="none" w:sz="0" w:space="0" w:color="auto"/>
        <w:left w:val="none" w:sz="0" w:space="0" w:color="auto"/>
        <w:bottom w:val="none" w:sz="0" w:space="0" w:color="auto"/>
        <w:right w:val="none" w:sz="0" w:space="0" w:color="auto"/>
      </w:divBdr>
    </w:div>
    <w:div w:id="1199122592">
      <w:bodyDiv w:val="1"/>
      <w:marLeft w:val="0"/>
      <w:marRight w:val="0"/>
      <w:marTop w:val="0"/>
      <w:marBottom w:val="0"/>
      <w:divBdr>
        <w:top w:val="none" w:sz="0" w:space="0" w:color="auto"/>
        <w:left w:val="none" w:sz="0" w:space="0" w:color="auto"/>
        <w:bottom w:val="none" w:sz="0" w:space="0" w:color="auto"/>
        <w:right w:val="none" w:sz="0" w:space="0" w:color="auto"/>
      </w:divBdr>
    </w:div>
    <w:div w:id="1199199139">
      <w:bodyDiv w:val="1"/>
      <w:marLeft w:val="0"/>
      <w:marRight w:val="0"/>
      <w:marTop w:val="0"/>
      <w:marBottom w:val="0"/>
      <w:divBdr>
        <w:top w:val="none" w:sz="0" w:space="0" w:color="auto"/>
        <w:left w:val="none" w:sz="0" w:space="0" w:color="auto"/>
        <w:bottom w:val="none" w:sz="0" w:space="0" w:color="auto"/>
        <w:right w:val="none" w:sz="0" w:space="0" w:color="auto"/>
      </w:divBdr>
    </w:div>
    <w:div w:id="1199203460">
      <w:bodyDiv w:val="1"/>
      <w:marLeft w:val="0"/>
      <w:marRight w:val="0"/>
      <w:marTop w:val="0"/>
      <w:marBottom w:val="0"/>
      <w:divBdr>
        <w:top w:val="none" w:sz="0" w:space="0" w:color="auto"/>
        <w:left w:val="none" w:sz="0" w:space="0" w:color="auto"/>
        <w:bottom w:val="none" w:sz="0" w:space="0" w:color="auto"/>
        <w:right w:val="none" w:sz="0" w:space="0" w:color="auto"/>
      </w:divBdr>
    </w:div>
    <w:div w:id="1210991577">
      <w:bodyDiv w:val="1"/>
      <w:marLeft w:val="0"/>
      <w:marRight w:val="0"/>
      <w:marTop w:val="0"/>
      <w:marBottom w:val="0"/>
      <w:divBdr>
        <w:top w:val="none" w:sz="0" w:space="0" w:color="auto"/>
        <w:left w:val="none" w:sz="0" w:space="0" w:color="auto"/>
        <w:bottom w:val="none" w:sz="0" w:space="0" w:color="auto"/>
        <w:right w:val="none" w:sz="0" w:space="0" w:color="auto"/>
      </w:divBdr>
    </w:div>
    <w:div w:id="1214465756">
      <w:bodyDiv w:val="1"/>
      <w:marLeft w:val="0"/>
      <w:marRight w:val="0"/>
      <w:marTop w:val="0"/>
      <w:marBottom w:val="0"/>
      <w:divBdr>
        <w:top w:val="none" w:sz="0" w:space="0" w:color="auto"/>
        <w:left w:val="none" w:sz="0" w:space="0" w:color="auto"/>
        <w:bottom w:val="none" w:sz="0" w:space="0" w:color="auto"/>
        <w:right w:val="none" w:sz="0" w:space="0" w:color="auto"/>
      </w:divBdr>
    </w:div>
    <w:div w:id="1215584309">
      <w:bodyDiv w:val="1"/>
      <w:marLeft w:val="0"/>
      <w:marRight w:val="0"/>
      <w:marTop w:val="0"/>
      <w:marBottom w:val="0"/>
      <w:divBdr>
        <w:top w:val="none" w:sz="0" w:space="0" w:color="auto"/>
        <w:left w:val="none" w:sz="0" w:space="0" w:color="auto"/>
        <w:bottom w:val="none" w:sz="0" w:space="0" w:color="auto"/>
        <w:right w:val="none" w:sz="0" w:space="0" w:color="auto"/>
      </w:divBdr>
    </w:div>
    <w:div w:id="1220819855">
      <w:bodyDiv w:val="1"/>
      <w:marLeft w:val="0"/>
      <w:marRight w:val="0"/>
      <w:marTop w:val="0"/>
      <w:marBottom w:val="0"/>
      <w:divBdr>
        <w:top w:val="none" w:sz="0" w:space="0" w:color="auto"/>
        <w:left w:val="none" w:sz="0" w:space="0" w:color="auto"/>
        <w:bottom w:val="none" w:sz="0" w:space="0" w:color="auto"/>
        <w:right w:val="none" w:sz="0" w:space="0" w:color="auto"/>
      </w:divBdr>
    </w:div>
    <w:div w:id="1220898496">
      <w:bodyDiv w:val="1"/>
      <w:marLeft w:val="0"/>
      <w:marRight w:val="0"/>
      <w:marTop w:val="0"/>
      <w:marBottom w:val="0"/>
      <w:divBdr>
        <w:top w:val="none" w:sz="0" w:space="0" w:color="auto"/>
        <w:left w:val="none" w:sz="0" w:space="0" w:color="auto"/>
        <w:bottom w:val="none" w:sz="0" w:space="0" w:color="auto"/>
        <w:right w:val="none" w:sz="0" w:space="0" w:color="auto"/>
      </w:divBdr>
    </w:div>
    <w:div w:id="1221281356">
      <w:bodyDiv w:val="1"/>
      <w:marLeft w:val="0"/>
      <w:marRight w:val="0"/>
      <w:marTop w:val="0"/>
      <w:marBottom w:val="0"/>
      <w:divBdr>
        <w:top w:val="none" w:sz="0" w:space="0" w:color="auto"/>
        <w:left w:val="none" w:sz="0" w:space="0" w:color="auto"/>
        <w:bottom w:val="none" w:sz="0" w:space="0" w:color="auto"/>
        <w:right w:val="none" w:sz="0" w:space="0" w:color="auto"/>
      </w:divBdr>
    </w:div>
    <w:div w:id="1223058972">
      <w:bodyDiv w:val="1"/>
      <w:marLeft w:val="0"/>
      <w:marRight w:val="0"/>
      <w:marTop w:val="0"/>
      <w:marBottom w:val="0"/>
      <w:divBdr>
        <w:top w:val="none" w:sz="0" w:space="0" w:color="auto"/>
        <w:left w:val="none" w:sz="0" w:space="0" w:color="auto"/>
        <w:bottom w:val="none" w:sz="0" w:space="0" w:color="auto"/>
        <w:right w:val="none" w:sz="0" w:space="0" w:color="auto"/>
      </w:divBdr>
    </w:div>
    <w:div w:id="1230072261">
      <w:bodyDiv w:val="1"/>
      <w:marLeft w:val="0"/>
      <w:marRight w:val="0"/>
      <w:marTop w:val="0"/>
      <w:marBottom w:val="0"/>
      <w:divBdr>
        <w:top w:val="none" w:sz="0" w:space="0" w:color="auto"/>
        <w:left w:val="none" w:sz="0" w:space="0" w:color="auto"/>
        <w:bottom w:val="none" w:sz="0" w:space="0" w:color="auto"/>
        <w:right w:val="none" w:sz="0" w:space="0" w:color="auto"/>
      </w:divBdr>
    </w:div>
    <w:div w:id="1230575023">
      <w:bodyDiv w:val="1"/>
      <w:marLeft w:val="0"/>
      <w:marRight w:val="0"/>
      <w:marTop w:val="0"/>
      <w:marBottom w:val="0"/>
      <w:divBdr>
        <w:top w:val="none" w:sz="0" w:space="0" w:color="auto"/>
        <w:left w:val="none" w:sz="0" w:space="0" w:color="auto"/>
        <w:bottom w:val="none" w:sz="0" w:space="0" w:color="auto"/>
        <w:right w:val="none" w:sz="0" w:space="0" w:color="auto"/>
      </w:divBdr>
    </w:div>
    <w:div w:id="1234588093">
      <w:bodyDiv w:val="1"/>
      <w:marLeft w:val="0"/>
      <w:marRight w:val="0"/>
      <w:marTop w:val="0"/>
      <w:marBottom w:val="0"/>
      <w:divBdr>
        <w:top w:val="none" w:sz="0" w:space="0" w:color="auto"/>
        <w:left w:val="none" w:sz="0" w:space="0" w:color="auto"/>
        <w:bottom w:val="none" w:sz="0" w:space="0" w:color="auto"/>
        <w:right w:val="none" w:sz="0" w:space="0" w:color="auto"/>
      </w:divBdr>
    </w:div>
    <w:div w:id="1236670423">
      <w:bodyDiv w:val="1"/>
      <w:marLeft w:val="0"/>
      <w:marRight w:val="0"/>
      <w:marTop w:val="0"/>
      <w:marBottom w:val="0"/>
      <w:divBdr>
        <w:top w:val="none" w:sz="0" w:space="0" w:color="auto"/>
        <w:left w:val="none" w:sz="0" w:space="0" w:color="auto"/>
        <w:bottom w:val="none" w:sz="0" w:space="0" w:color="auto"/>
        <w:right w:val="none" w:sz="0" w:space="0" w:color="auto"/>
      </w:divBdr>
    </w:div>
    <w:div w:id="1237325856">
      <w:bodyDiv w:val="1"/>
      <w:marLeft w:val="0"/>
      <w:marRight w:val="0"/>
      <w:marTop w:val="0"/>
      <w:marBottom w:val="0"/>
      <w:divBdr>
        <w:top w:val="none" w:sz="0" w:space="0" w:color="auto"/>
        <w:left w:val="none" w:sz="0" w:space="0" w:color="auto"/>
        <w:bottom w:val="none" w:sz="0" w:space="0" w:color="auto"/>
        <w:right w:val="none" w:sz="0" w:space="0" w:color="auto"/>
      </w:divBdr>
    </w:div>
    <w:div w:id="1241863582">
      <w:bodyDiv w:val="1"/>
      <w:marLeft w:val="0"/>
      <w:marRight w:val="0"/>
      <w:marTop w:val="0"/>
      <w:marBottom w:val="0"/>
      <w:divBdr>
        <w:top w:val="none" w:sz="0" w:space="0" w:color="auto"/>
        <w:left w:val="none" w:sz="0" w:space="0" w:color="auto"/>
        <w:bottom w:val="none" w:sz="0" w:space="0" w:color="auto"/>
        <w:right w:val="none" w:sz="0" w:space="0" w:color="auto"/>
      </w:divBdr>
    </w:div>
    <w:div w:id="1252087198">
      <w:bodyDiv w:val="1"/>
      <w:marLeft w:val="0"/>
      <w:marRight w:val="0"/>
      <w:marTop w:val="0"/>
      <w:marBottom w:val="0"/>
      <w:divBdr>
        <w:top w:val="none" w:sz="0" w:space="0" w:color="auto"/>
        <w:left w:val="none" w:sz="0" w:space="0" w:color="auto"/>
        <w:bottom w:val="none" w:sz="0" w:space="0" w:color="auto"/>
        <w:right w:val="none" w:sz="0" w:space="0" w:color="auto"/>
      </w:divBdr>
    </w:div>
    <w:div w:id="1256863105">
      <w:bodyDiv w:val="1"/>
      <w:marLeft w:val="0"/>
      <w:marRight w:val="0"/>
      <w:marTop w:val="0"/>
      <w:marBottom w:val="0"/>
      <w:divBdr>
        <w:top w:val="none" w:sz="0" w:space="0" w:color="auto"/>
        <w:left w:val="none" w:sz="0" w:space="0" w:color="auto"/>
        <w:bottom w:val="none" w:sz="0" w:space="0" w:color="auto"/>
        <w:right w:val="none" w:sz="0" w:space="0" w:color="auto"/>
      </w:divBdr>
    </w:div>
    <w:div w:id="1258711330">
      <w:bodyDiv w:val="1"/>
      <w:marLeft w:val="0"/>
      <w:marRight w:val="0"/>
      <w:marTop w:val="0"/>
      <w:marBottom w:val="0"/>
      <w:divBdr>
        <w:top w:val="none" w:sz="0" w:space="0" w:color="auto"/>
        <w:left w:val="none" w:sz="0" w:space="0" w:color="auto"/>
        <w:bottom w:val="none" w:sz="0" w:space="0" w:color="auto"/>
        <w:right w:val="none" w:sz="0" w:space="0" w:color="auto"/>
      </w:divBdr>
    </w:div>
    <w:div w:id="1267733745">
      <w:bodyDiv w:val="1"/>
      <w:marLeft w:val="0"/>
      <w:marRight w:val="0"/>
      <w:marTop w:val="0"/>
      <w:marBottom w:val="0"/>
      <w:divBdr>
        <w:top w:val="none" w:sz="0" w:space="0" w:color="auto"/>
        <w:left w:val="none" w:sz="0" w:space="0" w:color="auto"/>
        <w:bottom w:val="none" w:sz="0" w:space="0" w:color="auto"/>
        <w:right w:val="none" w:sz="0" w:space="0" w:color="auto"/>
      </w:divBdr>
    </w:div>
    <w:div w:id="1268003365">
      <w:bodyDiv w:val="1"/>
      <w:marLeft w:val="0"/>
      <w:marRight w:val="0"/>
      <w:marTop w:val="0"/>
      <w:marBottom w:val="0"/>
      <w:divBdr>
        <w:top w:val="none" w:sz="0" w:space="0" w:color="auto"/>
        <w:left w:val="none" w:sz="0" w:space="0" w:color="auto"/>
        <w:bottom w:val="none" w:sz="0" w:space="0" w:color="auto"/>
        <w:right w:val="none" w:sz="0" w:space="0" w:color="auto"/>
      </w:divBdr>
    </w:div>
    <w:div w:id="1278490494">
      <w:bodyDiv w:val="1"/>
      <w:marLeft w:val="0"/>
      <w:marRight w:val="0"/>
      <w:marTop w:val="0"/>
      <w:marBottom w:val="0"/>
      <w:divBdr>
        <w:top w:val="none" w:sz="0" w:space="0" w:color="auto"/>
        <w:left w:val="none" w:sz="0" w:space="0" w:color="auto"/>
        <w:bottom w:val="none" w:sz="0" w:space="0" w:color="auto"/>
        <w:right w:val="none" w:sz="0" w:space="0" w:color="auto"/>
      </w:divBdr>
    </w:div>
    <w:div w:id="1279530185">
      <w:bodyDiv w:val="1"/>
      <w:marLeft w:val="0"/>
      <w:marRight w:val="0"/>
      <w:marTop w:val="0"/>
      <w:marBottom w:val="0"/>
      <w:divBdr>
        <w:top w:val="none" w:sz="0" w:space="0" w:color="auto"/>
        <w:left w:val="none" w:sz="0" w:space="0" w:color="auto"/>
        <w:bottom w:val="none" w:sz="0" w:space="0" w:color="auto"/>
        <w:right w:val="none" w:sz="0" w:space="0" w:color="auto"/>
      </w:divBdr>
    </w:div>
    <w:div w:id="1281840582">
      <w:bodyDiv w:val="1"/>
      <w:marLeft w:val="0"/>
      <w:marRight w:val="0"/>
      <w:marTop w:val="0"/>
      <w:marBottom w:val="0"/>
      <w:divBdr>
        <w:top w:val="none" w:sz="0" w:space="0" w:color="auto"/>
        <w:left w:val="none" w:sz="0" w:space="0" w:color="auto"/>
        <w:bottom w:val="none" w:sz="0" w:space="0" w:color="auto"/>
        <w:right w:val="none" w:sz="0" w:space="0" w:color="auto"/>
      </w:divBdr>
    </w:div>
    <w:div w:id="1282610961">
      <w:bodyDiv w:val="1"/>
      <w:marLeft w:val="0"/>
      <w:marRight w:val="0"/>
      <w:marTop w:val="0"/>
      <w:marBottom w:val="0"/>
      <w:divBdr>
        <w:top w:val="none" w:sz="0" w:space="0" w:color="auto"/>
        <w:left w:val="none" w:sz="0" w:space="0" w:color="auto"/>
        <w:bottom w:val="none" w:sz="0" w:space="0" w:color="auto"/>
        <w:right w:val="none" w:sz="0" w:space="0" w:color="auto"/>
      </w:divBdr>
    </w:div>
    <w:div w:id="1285312395">
      <w:bodyDiv w:val="1"/>
      <w:marLeft w:val="0"/>
      <w:marRight w:val="0"/>
      <w:marTop w:val="0"/>
      <w:marBottom w:val="0"/>
      <w:divBdr>
        <w:top w:val="none" w:sz="0" w:space="0" w:color="auto"/>
        <w:left w:val="none" w:sz="0" w:space="0" w:color="auto"/>
        <w:bottom w:val="none" w:sz="0" w:space="0" w:color="auto"/>
        <w:right w:val="none" w:sz="0" w:space="0" w:color="auto"/>
      </w:divBdr>
    </w:div>
    <w:div w:id="1286618020">
      <w:bodyDiv w:val="1"/>
      <w:marLeft w:val="0"/>
      <w:marRight w:val="0"/>
      <w:marTop w:val="0"/>
      <w:marBottom w:val="0"/>
      <w:divBdr>
        <w:top w:val="none" w:sz="0" w:space="0" w:color="auto"/>
        <w:left w:val="none" w:sz="0" w:space="0" w:color="auto"/>
        <w:bottom w:val="none" w:sz="0" w:space="0" w:color="auto"/>
        <w:right w:val="none" w:sz="0" w:space="0" w:color="auto"/>
      </w:divBdr>
    </w:div>
    <w:div w:id="1286737150">
      <w:bodyDiv w:val="1"/>
      <w:marLeft w:val="0"/>
      <w:marRight w:val="0"/>
      <w:marTop w:val="0"/>
      <w:marBottom w:val="0"/>
      <w:divBdr>
        <w:top w:val="none" w:sz="0" w:space="0" w:color="auto"/>
        <w:left w:val="none" w:sz="0" w:space="0" w:color="auto"/>
        <w:bottom w:val="none" w:sz="0" w:space="0" w:color="auto"/>
        <w:right w:val="none" w:sz="0" w:space="0" w:color="auto"/>
      </w:divBdr>
    </w:div>
    <w:div w:id="1292055226">
      <w:bodyDiv w:val="1"/>
      <w:marLeft w:val="0"/>
      <w:marRight w:val="0"/>
      <w:marTop w:val="0"/>
      <w:marBottom w:val="0"/>
      <w:divBdr>
        <w:top w:val="none" w:sz="0" w:space="0" w:color="auto"/>
        <w:left w:val="none" w:sz="0" w:space="0" w:color="auto"/>
        <w:bottom w:val="none" w:sz="0" w:space="0" w:color="auto"/>
        <w:right w:val="none" w:sz="0" w:space="0" w:color="auto"/>
      </w:divBdr>
    </w:div>
    <w:div w:id="1292898611">
      <w:bodyDiv w:val="1"/>
      <w:marLeft w:val="0"/>
      <w:marRight w:val="0"/>
      <w:marTop w:val="0"/>
      <w:marBottom w:val="0"/>
      <w:divBdr>
        <w:top w:val="none" w:sz="0" w:space="0" w:color="auto"/>
        <w:left w:val="none" w:sz="0" w:space="0" w:color="auto"/>
        <w:bottom w:val="none" w:sz="0" w:space="0" w:color="auto"/>
        <w:right w:val="none" w:sz="0" w:space="0" w:color="auto"/>
      </w:divBdr>
    </w:div>
    <w:div w:id="1296839804">
      <w:bodyDiv w:val="1"/>
      <w:marLeft w:val="0"/>
      <w:marRight w:val="0"/>
      <w:marTop w:val="0"/>
      <w:marBottom w:val="0"/>
      <w:divBdr>
        <w:top w:val="none" w:sz="0" w:space="0" w:color="auto"/>
        <w:left w:val="none" w:sz="0" w:space="0" w:color="auto"/>
        <w:bottom w:val="none" w:sz="0" w:space="0" w:color="auto"/>
        <w:right w:val="none" w:sz="0" w:space="0" w:color="auto"/>
      </w:divBdr>
    </w:div>
    <w:div w:id="1303342711">
      <w:bodyDiv w:val="1"/>
      <w:marLeft w:val="0"/>
      <w:marRight w:val="0"/>
      <w:marTop w:val="0"/>
      <w:marBottom w:val="0"/>
      <w:divBdr>
        <w:top w:val="none" w:sz="0" w:space="0" w:color="auto"/>
        <w:left w:val="none" w:sz="0" w:space="0" w:color="auto"/>
        <w:bottom w:val="none" w:sz="0" w:space="0" w:color="auto"/>
        <w:right w:val="none" w:sz="0" w:space="0" w:color="auto"/>
      </w:divBdr>
    </w:div>
    <w:div w:id="1304235909">
      <w:bodyDiv w:val="1"/>
      <w:marLeft w:val="0"/>
      <w:marRight w:val="0"/>
      <w:marTop w:val="0"/>
      <w:marBottom w:val="0"/>
      <w:divBdr>
        <w:top w:val="none" w:sz="0" w:space="0" w:color="auto"/>
        <w:left w:val="none" w:sz="0" w:space="0" w:color="auto"/>
        <w:bottom w:val="none" w:sz="0" w:space="0" w:color="auto"/>
        <w:right w:val="none" w:sz="0" w:space="0" w:color="auto"/>
      </w:divBdr>
    </w:div>
    <w:div w:id="1304503535">
      <w:bodyDiv w:val="1"/>
      <w:marLeft w:val="0"/>
      <w:marRight w:val="0"/>
      <w:marTop w:val="0"/>
      <w:marBottom w:val="0"/>
      <w:divBdr>
        <w:top w:val="none" w:sz="0" w:space="0" w:color="auto"/>
        <w:left w:val="none" w:sz="0" w:space="0" w:color="auto"/>
        <w:bottom w:val="none" w:sz="0" w:space="0" w:color="auto"/>
        <w:right w:val="none" w:sz="0" w:space="0" w:color="auto"/>
      </w:divBdr>
    </w:div>
    <w:div w:id="1306395514">
      <w:bodyDiv w:val="1"/>
      <w:marLeft w:val="0"/>
      <w:marRight w:val="0"/>
      <w:marTop w:val="0"/>
      <w:marBottom w:val="0"/>
      <w:divBdr>
        <w:top w:val="none" w:sz="0" w:space="0" w:color="auto"/>
        <w:left w:val="none" w:sz="0" w:space="0" w:color="auto"/>
        <w:bottom w:val="none" w:sz="0" w:space="0" w:color="auto"/>
        <w:right w:val="none" w:sz="0" w:space="0" w:color="auto"/>
      </w:divBdr>
    </w:div>
    <w:div w:id="1306400065">
      <w:bodyDiv w:val="1"/>
      <w:marLeft w:val="0"/>
      <w:marRight w:val="0"/>
      <w:marTop w:val="0"/>
      <w:marBottom w:val="0"/>
      <w:divBdr>
        <w:top w:val="none" w:sz="0" w:space="0" w:color="auto"/>
        <w:left w:val="none" w:sz="0" w:space="0" w:color="auto"/>
        <w:bottom w:val="none" w:sz="0" w:space="0" w:color="auto"/>
        <w:right w:val="none" w:sz="0" w:space="0" w:color="auto"/>
      </w:divBdr>
    </w:div>
    <w:div w:id="1307509831">
      <w:bodyDiv w:val="1"/>
      <w:marLeft w:val="0"/>
      <w:marRight w:val="0"/>
      <w:marTop w:val="0"/>
      <w:marBottom w:val="0"/>
      <w:divBdr>
        <w:top w:val="none" w:sz="0" w:space="0" w:color="auto"/>
        <w:left w:val="none" w:sz="0" w:space="0" w:color="auto"/>
        <w:bottom w:val="none" w:sz="0" w:space="0" w:color="auto"/>
        <w:right w:val="none" w:sz="0" w:space="0" w:color="auto"/>
      </w:divBdr>
    </w:div>
    <w:div w:id="1316105306">
      <w:bodyDiv w:val="1"/>
      <w:marLeft w:val="0"/>
      <w:marRight w:val="0"/>
      <w:marTop w:val="0"/>
      <w:marBottom w:val="0"/>
      <w:divBdr>
        <w:top w:val="none" w:sz="0" w:space="0" w:color="auto"/>
        <w:left w:val="none" w:sz="0" w:space="0" w:color="auto"/>
        <w:bottom w:val="none" w:sz="0" w:space="0" w:color="auto"/>
        <w:right w:val="none" w:sz="0" w:space="0" w:color="auto"/>
      </w:divBdr>
    </w:div>
    <w:div w:id="1320303809">
      <w:bodyDiv w:val="1"/>
      <w:marLeft w:val="0"/>
      <w:marRight w:val="0"/>
      <w:marTop w:val="0"/>
      <w:marBottom w:val="0"/>
      <w:divBdr>
        <w:top w:val="none" w:sz="0" w:space="0" w:color="auto"/>
        <w:left w:val="none" w:sz="0" w:space="0" w:color="auto"/>
        <w:bottom w:val="none" w:sz="0" w:space="0" w:color="auto"/>
        <w:right w:val="none" w:sz="0" w:space="0" w:color="auto"/>
      </w:divBdr>
    </w:div>
    <w:div w:id="1320959472">
      <w:bodyDiv w:val="1"/>
      <w:marLeft w:val="0"/>
      <w:marRight w:val="0"/>
      <w:marTop w:val="0"/>
      <w:marBottom w:val="0"/>
      <w:divBdr>
        <w:top w:val="none" w:sz="0" w:space="0" w:color="auto"/>
        <w:left w:val="none" w:sz="0" w:space="0" w:color="auto"/>
        <w:bottom w:val="none" w:sz="0" w:space="0" w:color="auto"/>
        <w:right w:val="none" w:sz="0" w:space="0" w:color="auto"/>
      </w:divBdr>
    </w:div>
    <w:div w:id="1324118894">
      <w:bodyDiv w:val="1"/>
      <w:marLeft w:val="0"/>
      <w:marRight w:val="0"/>
      <w:marTop w:val="0"/>
      <w:marBottom w:val="0"/>
      <w:divBdr>
        <w:top w:val="none" w:sz="0" w:space="0" w:color="auto"/>
        <w:left w:val="none" w:sz="0" w:space="0" w:color="auto"/>
        <w:bottom w:val="none" w:sz="0" w:space="0" w:color="auto"/>
        <w:right w:val="none" w:sz="0" w:space="0" w:color="auto"/>
      </w:divBdr>
    </w:div>
    <w:div w:id="1328362105">
      <w:bodyDiv w:val="1"/>
      <w:marLeft w:val="0"/>
      <w:marRight w:val="0"/>
      <w:marTop w:val="0"/>
      <w:marBottom w:val="0"/>
      <w:divBdr>
        <w:top w:val="none" w:sz="0" w:space="0" w:color="auto"/>
        <w:left w:val="none" w:sz="0" w:space="0" w:color="auto"/>
        <w:bottom w:val="none" w:sz="0" w:space="0" w:color="auto"/>
        <w:right w:val="none" w:sz="0" w:space="0" w:color="auto"/>
      </w:divBdr>
    </w:div>
    <w:div w:id="1328707665">
      <w:bodyDiv w:val="1"/>
      <w:marLeft w:val="0"/>
      <w:marRight w:val="0"/>
      <w:marTop w:val="0"/>
      <w:marBottom w:val="0"/>
      <w:divBdr>
        <w:top w:val="none" w:sz="0" w:space="0" w:color="auto"/>
        <w:left w:val="none" w:sz="0" w:space="0" w:color="auto"/>
        <w:bottom w:val="none" w:sz="0" w:space="0" w:color="auto"/>
        <w:right w:val="none" w:sz="0" w:space="0" w:color="auto"/>
      </w:divBdr>
    </w:div>
    <w:div w:id="1333877325">
      <w:bodyDiv w:val="1"/>
      <w:marLeft w:val="0"/>
      <w:marRight w:val="0"/>
      <w:marTop w:val="0"/>
      <w:marBottom w:val="0"/>
      <w:divBdr>
        <w:top w:val="none" w:sz="0" w:space="0" w:color="auto"/>
        <w:left w:val="none" w:sz="0" w:space="0" w:color="auto"/>
        <w:bottom w:val="none" w:sz="0" w:space="0" w:color="auto"/>
        <w:right w:val="none" w:sz="0" w:space="0" w:color="auto"/>
      </w:divBdr>
    </w:div>
    <w:div w:id="1335648248">
      <w:bodyDiv w:val="1"/>
      <w:marLeft w:val="0"/>
      <w:marRight w:val="0"/>
      <w:marTop w:val="0"/>
      <w:marBottom w:val="0"/>
      <w:divBdr>
        <w:top w:val="none" w:sz="0" w:space="0" w:color="auto"/>
        <w:left w:val="none" w:sz="0" w:space="0" w:color="auto"/>
        <w:bottom w:val="none" w:sz="0" w:space="0" w:color="auto"/>
        <w:right w:val="none" w:sz="0" w:space="0" w:color="auto"/>
      </w:divBdr>
    </w:div>
    <w:div w:id="1339965710">
      <w:bodyDiv w:val="1"/>
      <w:marLeft w:val="0"/>
      <w:marRight w:val="0"/>
      <w:marTop w:val="0"/>
      <w:marBottom w:val="0"/>
      <w:divBdr>
        <w:top w:val="none" w:sz="0" w:space="0" w:color="auto"/>
        <w:left w:val="none" w:sz="0" w:space="0" w:color="auto"/>
        <w:bottom w:val="none" w:sz="0" w:space="0" w:color="auto"/>
        <w:right w:val="none" w:sz="0" w:space="0" w:color="auto"/>
      </w:divBdr>
    </w:div>
    <w:div w:id="1345521423">
      <w:bodyDiv w:val="1"/>
      <w:marLeft w:val="0"/>
      <w:marRight w:val="0"/>
      <w:marTop w:val="0"/>
      <w:marBottom w:val="0"/>
      <w:divBdr>
        <w:top w:val="none" w:sz="0" w:space="0" w:color="auto"/>
        <w:left w:val="none" w:sz="0" w:space="0" w:color="auto"/>
        <w:bottom w:val="none" w:sz="0" w:space="0" w:color="auto"/>
        <w:right w:val="none" w:sz="0" w:space="0" w:color="auto"/>
      </w:divBdr>
    </w:div>
    <w:div w:id="1346979009">
      <w:bodyDiv w:val="1"/>
      <w:marLeft w:val="0"/>
      <w:marRight w:val="0"/>
      <w:marTop w:val="0"/>
      <w:marBottom w:val="0"/>
      <w:divBdr>
        <w:top w:val="none" w:sz="0" w:space="0" w:color="auto"/>
        <w:left w:val="none" w:sz="0" w:space="0" w:color="auto"/>
        <w:bottom w:val="none" w:sz="0" w:space="0" w:color="auto"/>
        <w:right w:val="none" w:sz="0" w:space="0" w:color="auto"/>
      </w:divBdr>
    </w:div>
    <w:div w:id="1347639018">
      <w:bodyDiv w:val="1"/>
      <w:marLeft w:val="0"/>
      <w:marRight w:val="0"/>
      <w:marTop w:val="0"/>
      <w:marBottom w:val="0"/>
      <w:divBdr>
        <w:top w:val="none" w:sz="0" w:space="0" w:color="auto"/>
        <w:left w:val="none" w:sz="0" w:space="0" w:color="auto"/>
        <w:bottom w:val="none" w:sz="0" w:space="0" w:color="auto"/>
        <w:right w:val="none" w:sz="0" w:space="0" w:color="auto"/>
      </w:divBdr>
    </w:div>
    <w:div w:id="1355109841">
      <w:bodyDiv w:val="1"/>
      <w:marLeft w:val="0"/>
      <w:marRight w:val="0"/>
      <w:marTop w:val="0"/>
      <w:marBottom w:val="0"/>
      <w:divBdr>
        <w:top w:val="none" w:sz="0" w:space="0" w:color="auto"/>
        <w:left w:val="none" w:sz="0" w:space="0" w:color="auto"/>
        <w:bottom w:val="none" w:sz="0" w:space="0" w:color="auto"/>
        <w:right w:val="none" w:sz="0" w:space="0" w:color="auto"/>
      </w:divBdr>
    </w:div>
    <w:div w:id="1367100255">
      <w:bodyDiv w:val="1"/>
      <w:marLeft w:val="0"/>
      <w:marRight w:val="0"/>
      <w:marTop w:val="0"/>
      <w:marBottom w:val="0"/>
      <w:divBdr>
        <w:top w:val="none" w:sz="0" w:space="0" w:color="auto"/>
        <w:left w:val="none" w:sz="0" w:space="0" w:color="auto"/>
        <w:bottom w:val="none" w:sz="0" w:space="0" w:color="auto"/>
        <w:right w:val="none" w:sz="0" w:space="0" w:color="auto"/>
      </w:divBdr>
    </w:div>
    <w:div w:id="1367562756">
      <w:bodyDiv w:val="1"/>
      <w:marLeft w:val="0"/>
      <w:marRight w:val="0"/>
      <w:marTop w:val="0"/>
      <w:marBottom w:val="0"/>
      <w:divBdr>
        <w:top w:val="none" w:sz="0" w:space="0" w:color="auto"/>
        <w:left w:val="none" w:sz="0" w:space="0" w:color="auto"/>
        <w:bottom w:val="none" w:sz="0" w:space="0" w:color="auto"/>
        <w:right w:val="none" w:sz="0" w:space="0" w:color="auto"/>
      </w:divBdr>
    </w:div>
    <w:div w:id="1368481851">
      <w:bodyDiv w:val="1"/>
      <w:marLeft w:val="0"/>
      <w:marRight w:val="0"/>
      <w:marTop w:val="0"/>
      <w:marBottom w:val="0"/>
      <w:divBdr>
        <w:top w:val="none" w:sz="0" w:space="0" w:color="auto"/>
        <w:left w:val="none" w:sz="0" w:space="0" w:color="auto"/>
        <w:bottom w:val="none" w:sz="0" w:space="0" w:color="auto"/>
        <w:right w:val="none" w:sz="0" w:space="0" w:color="auto"/>
      </w:divBdr>
    </w:div>
    <w:div w:id="1376588531">
      <w:bodyDiv w:val="1"/>
      <w:marLeft w:val="0"/>
      <w:marRight w:val="0"/>
      <w:marTop w:val="0"/>
      <w:marBottom w:val="0"/>
      <w:divBdr>
        <w:top w:val="none" w:sz="0" w:space="0" w:color="auto"/>
        <w:left w:val="none" w:sz="0" w:space="0" w:color="auto"/>
        <w:bottom w:val="none" w:sz="0" w:space="0" w:color="auto"/>
        <w:right w:val="none" w:sz="0" w:space="0" w:color="auto"/>
      </w:divBdr>
    </w:div>
    <w:div w:id="1377781435">
      <w:bodyDiv w:val="1"/>
      <w:marLeft w:val="0"/>
      <w:marRight w:val="0"/>
      <w:marTop w:val="0"/>
      <w:marBottom w:val="0"/>
      <w:divBdr>
        <w:top w:val="none" w:sz="0" w:space="0" w:color="auto"/>
        <w:left w:val="none" w:sz="0" w:space="0" w:color="auto"/>
        <w:bottom w:val="none" w:sz="0" w:space="0" w:color="auto"/>
        <w:right w:val="none" w:sz="0" w:space="0" w:color="auto"/>
      </w:divBdr>
    </w:div>
    <w:div w:id="1380662303">
      <w:bodyDiv w:val="1"/>
      <w:marLeft w:val="0"/>
      <w:marRight w:val="0"/>
      <w:marTop w:val="0"/>
      <w:marBottom w:val="0"/>
      <w:divBdr>
        <w:top w:val="none" w:sz="0" w:space="0" w:color="auto"/>
        <w:left w:val="none" w:sz="0" w:space="0" w:color="auto"/>
        <w:bottom w:val="none" w:sz="0" w:space="0" w:color="auto"/>
        <w:right w:val="none" w:sz="0" w:space="0" w:color="auto"/>
      </w:divBdr>
    </w:div>
    <w:div w:id="1383214251">
      <w:bodyDiv w:val="1"/>
      <w:marLeft w:val="0"/>
      <w:marRight w:val="0"/>
      <w:marTop w:val="0"/>
      <w:marBottom w:val="0"/>
      <w:divBdr>
        <w:top w:val="none" w:sz="0" w:space="0" w:color="auto"/>
        <w:left w:val="none" w:sz="0" w:space="0" w:color="auto"/>
        <w:bottom w:val="none" w:sz="0" w:space="0" w:color="auto"/>
        <w:right w:val="none" w:sz="0" w:space="0" w:color="auto"/>
      </w:divBdr>
    </w:div>
    <w:div w:id="1387795648">
      <w:bodyDiv w:val="1"/>
      <w:marLeft w:val="0"/>
      <w:marRight w:val="0"/>
      <w:marTop w:val="0"/>
      <w:marBottom w:val="0"/>
      <w:divBdr>
        <w:top w:val="none" w:sz="0" w:space="0" w:color="auto"/>
        <w:left w:val="none" w:sz="0" w:space="0" w:color="auto"/>
        <w:bottom w:val="none" w:sz="0" w:space="0" w:color="auto"/>
        <w:right w:val="none" w:sz="0" w:space="0" w:color="auto"/>
      </w:divBdr>
    </w:div>
    <w:div w:id="1398238554">
      <w:bodyDiv w:val="1"/>
      <w:marLeft w:val="0"/>
      <w:marRight w:val="0"/>
      <w:marTop w:val="0"/>
      <w:marBottom w:val="0"/>
      <w:divBdr>
        <w:top w:val="none" w:sz="0" w:space="0" w:color="auto"/>
        <w:left w:val="none" w:sz="0" w:space="0" w:color="auto"/>
        <w:bottom w:val="none" w:sz="0" w:space="0" w:color="auto"/>
        <w:right w:val="none" w:sz="0" w:space="0" w:color="auto"/>
      </w:divBdr>
    </w:div>
    <w:div w:id="1400325538">
      <w:bodyDiv w:val="1"/>
      <w:marLeft w:val="0"/>
      <w:marRight w:val="0"/>
      <w:marTop w:val="0"/>
      <w:marBottom w:val="0"/>
      <w:divBdr>
        <w:top w:val="none" w:sz="0" w:space="0" w:color="auto"/>
        <w:left w:val="none" w:sz="0" w:space="0" w:color="auto"/>
        <w:bottom w:val="none" w:sz="0" w:space="0" w:color="auto"/>
        <w:right w:val="none" w:sz="0" w:space="0" w:color="auto"/>
      </w:divBdr>
    </w:div>
    <w:div w:id="1403525895">
      <w:bodyDiv w:val="1"/>
      <w:marLeft w:val="0"/>
      <w:marRight w:val="0"/>
      <w:marTop w:val="0"/>
      <w:marBottom w:val="0"/>
      <w:divBdr>
        <w:top w:val="none" w:sz="0" w:space="0" w:color="auto"/>
        <w:left w:val="none" w:sz="0" w:space="0" w:color="auto"/>
        <w:bottom w:val="none" w:sz="0" w:space="0" w:color="auto"/>
        <w:right w:val="none" w:sz="0" w:space="0" w:color="auto"/>
      </w:divBdr>
    </w:div>
    <w:div w:id="1406605531">
      <w:bodyDiv w:val="1"/>
      <w:marLeft w:val="0"/>
      <w:marRight w:val="0"/>
      <w:marTop w:val="0"/>
      <w:marBottom w:val="0"/>
      <w:divBdr>
        <w:top w:val="none" w:sz="0" w:space="0" w:color="auto"/>
        <w:left w:val="none" w:sz="0" w:space="0" w:color="auto"/>
        <w:bottom w:val="none" w:sz="0" w:space="0" w:color="auto"/>
        <w:right w:val="none" w:sz="0" w:space="0" w:color="auto"/>
      </w:divBdr>
    </w:div>
    <w:div w:id="1417285227">
      <w:bodyDiv w:val="1"/>
      <w:marLeft w:val="0"/>
      <w:marRight w:val="0"/>
      <w:marTop w:val="0"/>
      <w:marBottom w:val="0"/>
      <w:divBdr>
        <w:top w:val="none" w:sz="0" w:space="0" w:color="auto"/>
        <w:left w:val="none" w:sz="0" w:space="0" w:color="auto"/>
        <w:bottom w:val="none" w:sz="0" w:space="0" w:color="auto"/>
        <w:right w:val="none" w:sz="0" w:space="0" w:color="auto"/>
      </w:divBdr>
    </w:div>
    <w:div w:id="1423914372">
      <w:bodyDiv w:val="1"/>
      <w:marLeft w:val="0"/>
      <w:marRight w:val="0"/>
      <w:marTop w:val="0"/>
      <w:marBottom w:val="0"/>
      <w:divBdr>
        <w:top w:val="none" w:sz="0" w:space="0" w:color="auto"/>
        <w:left w:val="none" w:sz="0" w:space="0" w:color="auto"/>
        <w:bottom w:val="none" w:sz="0" w:space="0" w:color="auto"/>
        <w:right w:val="none" w:sz="0" w:space="0" w:color="auto"/>
      </w:divBdr>
    </w:div>
    <w:div w:id="1425344213">
      <w:bodyDiv w:val="1"/>
      <w:marLeft w:val="0"/>
      <w:marRight w:val="0"/>
      <w:marTop w:val="0"/>
      <w:marBottom w:val="0"/>
      <w:divBdr>
        <w:top w:val="none" w:sz="0" w:space="0" w:color="auto"/>
        <w:left w:val="none" w:sz="0" w:space="0" w:color="auto"/>
        <w:bottom w:val="none" w:sz="0" w:space="0" w:color="auto"/>
        <w:right w:val="none" w:sz="0" w:space="0" w:color="auto"/>
      </w:divBdr>
    </w:div>
    <w:div w:id="1425884967">
      <w:bodyDiv w:val="1"/>
      <w:marLeft w:val="0"/>
      <w:marRight w:val="0"/>
      <w:marTop w:val="0"/>
      <w:marBottom w:val="0"/>
      <w:divBdr>
        <w:top w:val="none" w:sz="0" w:space="0" w:color="auto"/>
        <w:left w:val="none" w:sz="0" w:space="0" w:color="auto"/>
        <w:bottom w:val="none" w:sz="0" w:space="0" w:color="auto"/>
        <w:right w:val="none" w:sz="0" w:space="0" w:color="auto"/>
      </w:divBdr>
    </w:div>
    <w:div w:id="1426264493">
      <w:bodyDiv w:val="1"/>
      <w:marLeft w:val="0"/>
      <w:marRight w:val="0"/>
      <w:marTop w:val="0"/>
      <w:marBottom w:val="0"/>
      <w:divBdr>
        <w:top w:val="none" w:sz="0" w:space="0" w:color="auto"/>
        <w:left w:val="none" w:sz="0" w:space="0" w:color="auto"/>
        <w:bottom w:val="none" w:sz="0" w:space="0" w:color="auto"/>
        <w:right w:val="none" w:sz="0" w:space="0" w:color="auto"/>
      </w:divBdr>
    </w:div>
    <w:div w:id="1430127450">
      <w:bodyDiv w:val="1"/>
      <w:marLeft w:val="0"/>
      <w:marRight w:val="0"/>
      <w:marTop w:val="0"/>
      <w:marBottom w:val="0"/>
      <w:divBdr>
        <w:top w:val="none" w:sz="0" w:space="0" w:color="auto"/>
        <w:left w:val="none" w:sz="0" w:space="0" w:color="auto"/>
        <w:bottom w:val="none" w:sz="0" w:space="0" w:color="auto"/>
        <w:right w:val="none" w:sz="0" w:space="0" w:color="auto"/>
      </w:divBdr>
    </w:div>
    <w:div w:id="1432553938">
      <w:bodyDiv w:val="1"/>
      <w:marLeft w:val="0"/>
      <w:marRight w:val="0"/>
      <w:marTop w:val="0"/>
      <w:marBottom w:val="0"/>
      <w:divBdr>
        <w:top w:val="none" w:sz="0" w:space="0" w:color="auto"/>
        <w:left w:val="none" w:sz="0" w:space="0" w:color="auto"/>
        <w:bottom w:val="none" w:sz="0" w:space="0" w:color="auto"/>
        <w:right w:val="none" w:sz="0" w:space="0" w:color="auto"/>
      </w:divBdr>
    </w:div>
    <w:div w:id="1435202384">
      <w:bodyDiv w:val="1"/>
      <w:marLeft w:val="0"/>
      <w:marRight w:val="0"/>
      <w:marTop w:val="0"/>
      <w:marBottom w:val="0"/>
      <w:divBdr>
        <w:top w:val="none" w:sz="0" w:space="0" w:color="auto"/>
        <w:left w:val="none" w:sz="0" w:space="0" w:color="auto"/>
        <w:bottom w:val="none" w:sz="0" w:space="0" w:color="auto"/>
        <w:right w:val="none" w:sz="0" w:space="0" w:color="auto"/>
      </w:divBdr>
    </w:div>
    <w:div w:id="1439251902">
      <w:bodyDiv w:val="1"/>
      <w:marLeft w:val="0"/>
      <w:marRight w:val="0"/>
      <w:marTop w:val="0"/>
      <w:marBottom w:val="0"/>
      <w:divBdr>
        <w:top w:val="none" w:sz="0" w:space="0" w:color="auto"/>
        <w:left w:val="none" w:sz="0" w:space="0" w:color="auto"/>
        <w:bottom w:val="none" w:sz="0" w:space="0" w:color="auto"/>
        <w:right w:val="none" w:sz="0" w:space="0" w:color="auto"/>
      </w:divBdr>
    </w:div>
    <w:div w:id="1439329393">
      <w:bodyDiv w:val="1"/>
      <w:marLeft w:val="0"/>
      <w:marRight w:val="0"/>
      <w:marTop w:val="0"/>
      <w:marBottom w:val="0"/>
      <w:divBdr>
        <w:top w:val="none" w:sz="0" w:space="0" w:color="auto"/>
        <w:left w:val="none" w:sz="0" w:space="0" w:color="auto"/>
        <w:bottom w:val="none" w:sz="0" w:space="0" w:color="auto"/>
        <w:right w:val="none" w:sz="0" w:space="0" w:color="auto"/>
      </w:divBdr>
    </w:div>
    <w:div w:id="1449394370">
      <w:bodyDiv w:val="1"/>
      <w:marLeft w:val="0"/>
      <w:marRight w:val="0"/>
      <w:marTop w:val="0"/>
      <w:marBottom w:val="0"/>
      <w:divBdr>
        <w:top w:val="none" w:sz="0" w:space="0" w:color="auto"/>
        <w:left w:val="none" w:sz="0" w:space="0" w:color="auto"/>
        <w:bottom w:val="none" w:sz="0" w:space="0" w:color="auto"/>
        <w:right w:val="none" w:sz="0" w:space="0" w:color="auto"/>
      </w:divBdr>
    </w:div>
    <w:div w:id="1455052688">
      <w:bodyDiv w:val="1"/>
      <w:marLeft w:val="0"/>
      <w:marRight w:val="0"/>
      <w:marTop w:val="0"/>
      <w:marBottom w:val="0"/>
      <w:divBdr>
        <w:top w:val="none" w:sz="0" w:space="0" w:color="auto"/>
        <w:left w:val="none" w:sz="0" w:space="0" w:color="auto"/>
        <w:bottom w:val="none" w:sz="0" w:space="0" w:color="auto"/>
        <w:right w:val="none" w:sz="0" w:space="0" w:color="auto"/>
      </w:divBdr>
    </w:div>
    <w:div w:id="1460415187">
      <w:bodyDiv w:val="1"/>
      <w:marLeft w:val="0"/>
      <w:marRight w:val="0"/>
      <w:marTop w:val="0"/>
      <w:marBottom w:val="0"/>
      <w:divBdr>
        <w:top w:val="none" w:sz="0" w:space="0" w:color="auto"/>
        <w:left w:val="none" w:sz="0" w:space="0" w:color="auto"/>
        <w:bottom w:val="none" w:sz="0" w:space="0" w:color="auto"/>
        <w:right w:val="none" w:sz="0" w:space="0" w:color="auto"/>
      </w:divBdr>
    </w:div>
    <w:div w:id="1466268995">
      <w:bodyDiv w:val="1"/>
      <w:marLeft w:val="0"/>
      <w:marRight w:val="0"/>
      <w:marTop w:val="0"/>
      <w:marBottom w:val="0"/>
      <w:divBdr>
        <w:top w:val="none" w:sz="0" w:space="0" w:color="auto"/>
        <w:left w:val="none" w:sz="0" w:space="0" w:color="auto"/>
        <w:bottom w:val="none" w:sz="0" w:space="0" w:color="auto"/>
        <w:right w:val="none" w:sz="0" w:space="0" w:color="auto"/>
      </w:divBdr>
    </w:div>
    <w:div w:id="1467813124">
      <w:bodyDiv w:val="1"/>
      <w:marLeft w:val="0"/>
      <w:marRight w:val="0"/>
      <w:marTop w:val="0"/>
      <w:marBottom w:val="0"/>
      <w:divBdr>
        <w:top w:val="none" w:sz="0" w:space="0" w:color="auto"/>
        <w:left w:val="none" w:sz="0" w:space="0" w:color="auto"/>
        <w:bottom w:val="none" w:sz="0" w:space="0" w:color="auto"/>
        <w:right w:val="none" w:sz="0" w:space="0" w:color="auto"/>
      </w:divBdr>
    </w:div>
    <w:div w:id="1468471873">
      <w:bodyDiv w:val="1"/>
      <w:marLeft w:val="0"/>
      <w:marRight w:val="0"/>
      <w:marTop w:val="0"/>
      <w:marBottom w:val="0"/>
      <w:divBdr>
        <w:top w:val="none" w:sz="0" w:space="0" w:color="auto"/>
        <w:left w:val="none" w:sz="0" w:space="0" w:color="auto"/>
        <w:bottom w:val="none" w:sz="0" w:space="0" w:color="auto"/>
        <w:right w:val="none" w:sz="0" w:space="0" w:color="auto"/>
      </w:divBdr>
    </w:div>
    <w:div w:id="1481388573">
      <w:bodyDiv w:val="1"/>
      <w:marLeft w:val="0"/>
      <w:marRight w:val="0"/>
      <w:marTop w:val="0"/>
      <w:marBottom w:val="0"/>
      <w:divBdr>
        <w:top w:val="none" w:sz="0" w:space="0" w:color="auto"/>
        <w:left w:val="none" w:sz="0" w:space="0" w:color="auto"/>
        <w:bottom w:val="none" w:sz="0" w:space="0" w:color="auto"/>
        <w:right w:val="none" w:sz="0" w:space="0" w:color="auto"/>
      </w:divBdr>
    </w:div>
    <w:div w:id="1488134294">
      <w:bodyDiv w:val="1"/>
      <w:marLeft w:val="0"/>
      <w:marRight w:val="0"/>
      <w:marTop w:val="0"/>
      <w:marBottom w:val="0"/>
      <w:divBdr>
        <w:top w:val="none" w:sz="0" w:space="0" w:color="auto"/>
        <w:left w:val="none" w:sz="0" w:space="0" w:color="auto"/>
        <w:bottom w:val="none" w:sz="0" w:space="0" w:color="auto"/>
        <w:right w:val="none" w:sz="0" w:space="0" w:color="auto"/>
      </w:divBdr>
    </w:div>
    <w:div w:id="1489831974">
      <w:bodyDiv w:val="1"/>
      <w:marLeft w:val="0"/>
      <w:marRight w:val="0"/>
      <w:marTop w:val="0"/>
      <w:marBottom w:val="0"/>
      <w:divBdr>
        <w:top w:val="none" w:sz="0" w:space="0" w:color="auto"/>
        <w:left w:val="none" w:sz="0" w:space="0" w:color="auto"/>
        <w:bottom w:val="none" w:sz="0" w:space="0" w:color="auto"/>
        <w:right w:val="none" w:sz="0" w:space="0" w:color="auto"/>
      </w:divBdr>
    </w:div>
    <w:div w:id="1492865301">
      <w:bodyDiv w:val="1"/>
      <w:marLeft w:val="0"/>
      <w:marRight w:val="0"/>
      <w:marTop w:val="0"/>
      <w:marBottom w:val="0"/>
      <w:divBdr>
        <w:top w:val="none" w:sz="0" w:space="0" w:color="auto"/>
        <w:left w:val="none" w:sz="0" w:space="0" w:color="auto"/>
        <w:bottom w:val="none" w:sz="0" w:space="0" w:color="auto"/>
        <w:right w:val="none" w:sz="0" w:space="0" w:color="auto"/>
      </w:divBdr>
    </w:div>
    <w:div w:id="1495419063">
      <w:bodyDiv w:val="1"/>
      <w:marLeft w:val="0"/>
      <w:marRight w:val="0"/>
      <w:marTop w:val="0"/>
      <w:marBottom w:val="0"/>
      <w:divBdr>
        <w:top w:val="none" w:sz="0" w:space="0" w:color="auto"/>
        <w:left w:val="none" w:sz="0" w:space="0" w:color="auto"/>
        <w:bottom w:val="none" w:sz="0" w:space="0" w:color="auto"/>
        <w:right w:val="none" w:sz="0" w:space="0" w:color="auto"/>
      </w:divBdr>
    </w:div>
    <w:div w:id="1499880786">
      <w:bodyDiv w:val="1"/>
      <w:marLeft w:val="0"/>
      <w:marRight w:val="0"/>
      <w:marTop w:val="0"/>
      <w:marBottom w:val="0"/>
      <w:divBdr>
        <w:top w:val="none" w:sz="0" w:space="0" w:color="auto"/>
        <w:left w:val="none" w:sz="0" w:space="0" w:color="auto"/>
        <w:bottom w:val="none" w:sz="0" w:space="0" w:color="auto"/>
        <w:right w:val="none" w:sz="0" w:space="0" w:color="auto"/>
      </w:divBdr>
    </w:div>
    <w:div w:id="1503206392">
      <w:bodyDiv w:val="1"/>
      <w:marLeft w:val="0"/>
      <w:marRight w:val="0"/>
      <w:marTop w:val="0"/>
      <w:marBottom w:val="0"/>
      <w:divBdr>
        <w:top w:val="none" w:sz="0" w:space="0" w:color="auto"/>
        <w:left w:val="none" w:sz="0" w:space="0" w:color="auto"/>
        <w:bottom w:val="none" w:sz="0" w:space="0" w:color="auto"/>
        <w:right w:val="none" w:sz="0" w:space="0" w:color="auto"/>
      </w:divBdr>
    </w:div>
    <w:div w:id="1503816031">
      <w:bodyDiv w:val="1"/>
      <w:marLeft w:val="0"/>
      <w:marRight w:val="0"/>
      <w:marTop w:val="0"/>
      <w:marBottom w:val="0"/>
      <w:divBdr>
        <w:top w:val="none" w:sz="0" w:space="0" w:color="auto"/>
        <w:left w:val="none" w:sz="0" w:space="0" w:color="auto"/>
        <w:bottom w:val="none" w:sz="0" w:space="0" w:color="auto"/>
        <w:right w:val="none" w:sz="0" w:space="0" w:color="auto"/>
      </w:divBdr>
    </w:div>
    <w:div w:id="1503859838">
      <w:bodyDiv w:val="1"/>
      <w:marLeft w:val="0"/>
      <w:marRight w:val="0"/>
      <w:marTop w:val="0"/>
      <w:marBottom w:val="0"/>
      <w:divBdr>
        <w:top w:val="none" w:sz="0" w:space="0" w:color="auto"/>
        <w:left w:val="none" w:sz="0" w:space="0" w:color="auto"/>
        <w:bottom w:val="none" w:sz="0" w:space="0" w:color="auto"/>
        <w:right w:val="none" w:sz="0" w:space="0" w:color="auto"/>
      </w:divBdr>
    </w:div>
    <w:div w:id="1512719384">
      <w:bodyDiv w:val="1"/>
      <w:marLeft w:val="0"/>
      <w:marRight w:val="0"/>
      <w:marTop w:val="0"/>
      <w:marBottom w:val="0"/>
      <w:divBdr>
        <w:top w:val="none" w:sz="0" w:space="0" w:color="auto"/>
        <w:left w:val="none" w:sz="0" w:space="0" w:color="auto"/>
        <w:bottom w:val="none" w:sz="0" w:space="0" w:color="auto"/>
        <w:right w:val="none" w:sz="0" w:space="0" w:color="auto"/>
      </w:divBdr>
    </w:div>
    <w:div w:id="1514148488">
      <w:bodyDiv w:val="1"/>
      <w:marLeft w:val="0"/>
      <w:marRight w:val="0"/>
      <w:marTop w:val="0"/>
      <w:marBottom w:val="0"/>
      <w:divBdr>
        <w:top w:val="none" w:sz="0" w:space="0" w:color="auto"/>
        <w:left w:val="none" w:sz="0" w:space="0" w:color="auto"/>
        <w:bottom w:val="none" w:sz="0" w:space="0" w:color="auto"/>
        <w:right w:val="none" w:sz="0" w:space="0" w:color="auto"/>
      </w:divBdr>
    </w:div>
    <w:div w:id="1518811830">
      <w:bodyDiv w:val="1"/>
      <w:marLeft w:val="0"/>
      <w:marRight w:val="0"/>
      <w:marTop w:val="0"/>
      <w:marBottom w:val="0"/>
      <w:divBdr>
        <w:top w:val="none" w:sz="0" w:space="0" w:color="auto"/>
        <w:left w:val="none" w:sz="0" w:space="0" w:color="auto"/>
        <w:bottom w:val="none" w:sz="0" w:space="0" w:color="auto"/>
        <w:right w:val="none" w:sz="0" w:space="0" w:color="auto"/>
      </w:divBdr>
    </w:div>
    <w:div w:id="1522206711">
      <w:bodyDiv w:val="1"/>
      <w:marLeft w:val="0"/>
      <w:marRight w:val="0"/>
      <w:marTop w:val="0"/>
      <w:marBottom w:val="0"/>
      <w:divBdr>
        <w:top w:val="none" w:sz="0" w:space="0" w:color="auto"/>
        <w:left w:val="none" w:sz="0" w:space="0" w:color="auto"/>
        <w:bottom w:val="none" w:sz="0" w:space="0" w:color="auto"/>
        <w:right w:val="none" w:sz="0" w:space="0" w:color="auto"/>
      </w:divBdr>
    </w:div>
    <w:div w:id="1523934734">
      <w:bodyDiv w:val="1"/>
      <w:marLeft w:val="0"/>
      <w:marRight w:val="0"/>
      <w:marTop w:val="0"/>
      <w:marBottom w:val="0"/>
      <w:divBdr>
        <w:top w:val="none" w:sz="0" w:space="0" w:color="auto"/>
        <w:left w:val="none" w:sz="0" w:space="0" w:color="auto"/>
        <w:bottom w:val="none" w:sz="0" w:space="0" w:color="auto"/>
        <w:right w:val="none" w:sz="0" w:space="0" w:color="auto"/>
      </w:divBdr>
    </w:div>
    <w:div w:id="1526752965">
      <w:bodyDiv w:val="1"/>
      <w:marLeft w:val="0"/>
      <w:marRight w:val="0"/>
      <w:marTop w:val="0"/>
      <w:marBottom w:val="0"/>
      <w:divBdr>
        <w:top w:val="none" w:sz="0" w:space="0" w:color="auto"/>
        <w:left w:val="none" w:sz="0" w:space="0" w:color="auto"/>
        <w:bottom w:val="none" w:sz="0" w:space="0" w:color="auto"/>
        <w:right w:val="none" w:sz="0" w:space="0" w:color="auto"/>
      </w:divBdr>
    </w:div>
    <w:div w:id="1527253588">
      <w:bodyDiv w:val="1"/>
      <w:marLeft w:val="0"/>
      <w:marRight w:val="0"/>
      <w:marTop w:val="0"/>
      <w:marBottom w:val="0"/>
      <w:divBdr>
        <w:top w:val="none" w:sz="0" w:space="0" w:color="auto"/>
        <w:left w:val="none" w:sz="0" w:space="0" w:color="auto"/>
        <w:bottom w:val="none" w:sz="0" w:space="0" w:color="auto"/>
        <w:right w:val="none" w:sz="0" w:space="0" w:color="auto"/>
      </w:divBdr>
    </w:div>
    <w:div w:id="1530606953">
      <w:bodyDiv w:val="1"/>
      <w:marLeft w:val="0"/>
      <w:marRight w:val="0"/>
      <w:marTop w:val="0"/>
      <w:marBottom w:val="0"/>
      <w:divBdr>
        <w:top w:val="none" w:sz="0" w:space="0" w:color="auto"/>
        <w:left w:val="none" w:sz="0" w:space="0" w:color="auto"/>
        <w:bottom w:val="none" w:sz="0" w:space="0" w:color="auto"/>
        <w:right w:val="none" w:sz="0" w:space="0" w:color="auto"/>
      </w:divBdr>
    </w:div>
    <w:div w:id="1532575309">
      <w:bodyDiv w:val="1"/>
      <w:marLeft w:val="0"/>
      <w:marRight w:val="0"/>
      <w:marTop w:val="0"/>
      <w:marBottom w:val="0"/>
      <w:divBdr>
        <w:top w:val="none" w:sz="0" w:space="0" w:color="auto"/>
        <w:left w:val="none" w:sz="0" w:space="0" w:color="auto"/>
        <w:bottom w:val="none" w:sz="0" w:space="0" w:color="auto"/>
        <w:right w:val="none" w:sz="0" w:space="0" w:color="auto"/>
      </w:divBdr>
    </w:div>
    <w:div w:id="1534463024">
      <w:bodyDiv w:val="1"/>
      <w:marLeft w:val="0"/>
      <w:marRight w:val="0"/>
      <w:marTop w:val="0"/>
      <w:marBottom w:val="0"/>
      <w:divBdr>
        <w:top w:val="none" w:sz="0" w:space="0" w:color="auto"/>
        <w:left w:val="none" w:sz="0" w:space="0" w:color="auto"/>
        <w:bottom w:val="none" w:sz="0" w:space="0" w:color="auto"/>
        <w:right w:val="none" w:sz="0" w:space="0" w:color="auto"/>
      </w:divBdr>
    </w:div>
    <w:div w:id="1536968095">
      <w:bodyDiv w:val="1"/>
      <w:marLeft w:val="0"/>
      <w:marRight w:val="0"/>
      <w:marTop w:val="0"/>
      <w:marBottom w:val="0"/>
      <w:divBdr>
        <w:top w:val="none" w:sz="0" w:space="0" w:color="auto"/>
        <w:left w:val="none" w:sz="0" w:space="0" w:color="auto"/>
        <w:bottom w:val="none" w:sz="0" w:space="0" w:color="auto"/>
        <w:right w:val="none" w:sz="0" w:space="0" w:color="auto"/>
      </w:divBdr>
    </w:div>
    <w:div w:id="1540312756">
      <w:bodyDiv w:val="1"/>
      <w:marLeft w:val="0"/>
      <w:marRight w:val="0"/>
      <w:marTop w:val="0"/>
      <w:marBottom w:val="0"/>
      <w:divBdr>
        <w:top w:val="none" w:sz="0" w:space="0" w:color="auto"/>
        <w:left w:val="none" w:sz="0" w:space="0" w:color="auto"/>
        <w:bottom w:val="none" w:sz="0" w:space="0" w:color="auto"/>
        <w:right w:val="none" w:sz="0" w:space="0" w:color="auto"/>
      </w:divBdr>
    </w:div>
    <w:div w:id="1542205295">
      <w:bodyDiv w:val="1"/>
      <w:marLeft w:val="0"/>
      <w:marRight w:val="0"/>
      <w:marTop w:val="0"/>
      <w:marBottom w:val="0"/>
      <w:divBdr>
        <w:top w:val="none" w:sz="0" w:space="0" w:color="auto"/>
        <w:left w:val="none" w:sz="0" w:space="0" w:color="auto"/>
        <w:bottom w:val="none" w:sz="0" w:space="0" w:color="auto"/>
        <w:right w:val="none" w:sz="0" w:space="0" w:color="auto"/>
      </w:divBdr>
    </w:div>
    <w:div w:id="1542787100">
      <w:bodyDiv w:val="1"/>
      <w:marLeft w:val="0"/>
      <w:marRight w:val="0"/>
      <w:marTop w:val="0"/>
      <w:marBottom w:val="0"/>
      <w:divBdr>
        <w:top w:val="none" w:sz="0" w:space="0" w:color="auto"/>
        <w:left w:val="none" w:sz="0" w:space="0" w:color="auto"/>
        <w:bottom w:val="none" w:sz="0" w:space="0" w:color="auto"/>
        <w:right w:val="none" w:sz="0" w:space="0" w:color="auto"/>
      </w:divBdr>
    </w:div>
    <w:div w:id="1544978131">
      <w:bodyDiv w:val="1"/>
      <w:marLeft w:val="0"/>
      <w:marRight w:val="0"/>
      <w:marTop w:val="0"/>
      <w:marBottom w:val="0"/>
      <w:divBdr>
        <w:top w:val="none" w:sz="0" w:space="0" w:color="auto"/>
        <w:left w:val="none" w:sz="0" w:space="0" w:color="auto"/>
        <w:bottom w:val="none" w:sz="0" w:space="0" w:color="auto"/>
        <w:right w:val="none" w:sz="0" w:space="0" w:color="auto"/>
      </w:divBdr>
    </w:div>
    <w:div w:id="1545867593">
      <w:bodyDiv w:val="1"/>
      <w:marLeft w:val="0"/>
      <w:marRight w:val="0"/>
      <w:marTop w:val="0"/>
      <w:marBottom w:val="0"/>
      <w:divBdr>
        <w:top w:val="none" w:sz="0" w:space="0" w:color="auto"/>
        <w:left w:val="none" w:sz="0" w:space="0" w:color="auto"/>
        <w:bottom w:val="none" w:sz="0" w:space="0" w:color="auto"/>
        <w:right w:val="none" w:sz="0" w:space="0" w:color="auto"/>
      </w:divBdr>
    </w:div>
    <w:div w:id="1552226675">
      <w:bodyDiv w:val="1"/>
      <w:marLeft w:val="0"/>
      <w:marRight w:val="0"/>
      <w:marTop w:val="0"/>
      <w:marBottom w:val="0"/>
      <w:divBdr>
        <w:top w:val="none" w:sz="0" w:space="0" w:color="auto"/>
        <w:left w:val="none" w:sz="0" w:space="0" w:color="auto"/>
        <w:bottom w:val="none" w:sz="0" w:space="0" w:color="auto"/>
        <w:right w:val="none" w:sz="0" w:space="0" w:color="auto"/>
      </w:divBdr>
    </w:div>
    <w:div w:id="1558737274">
      <w:bodyDiv w:val="1"/>
      <w:marLeft w:val="0"/>
      <w:marRight w:val="0"/>
      <w:marTop w:val="0"/>
      <w:marBottom w:val="0"/>
      <w:divBdr>
        <w:top w:val="none" w:sz="0" w:space="0" w:color="auto"/>
        <w:left w:val="none" w:sz="0" w:space="0" w:color="auto"/>
        <w:bottom w:val="none" w:sz="0" w:space="0" w:color="auto"/>
        <w:right w:val="none" w:sz="0" w:space="0" w:color="auto"/>
      </w:divBdr>
    </w:div>
    <w:div w:id="1560288340">
      <w:bodyDiv w:val="1"/>
      <w:marLeft w:val="0"/>
      <w:marRight w:val="0"/>
      <w:marTop w:val="0"/>
      <w:marBottom w:val="0"/>
      <w:divBdr>
        <w:top w:val="none" w:sz="0" w:space="0" w:color="auto"/>
        <w:left w:val="none" w:sz="0" w:space="0" w:color="auto"/>
        <w:bottom w:val="none" w:sz="0" w:space="0" w:color="auto"/>
        <w:right w:val="none" w:sz="0" w:space="0" w:color="auto"/>
      </w:divBdr>
    </w:div>
    <w:div w:id="1563908549">
      <w:bodyDiv w:val="1"/>
      <w:marLeft w:val="0"/>
      <w:marRight w:val="0"/>
      <w:marTop w:val="0"/>
      <w:marBottom w:val="0"/>
      <w:divBdr>
        <w:top w:val="none" w:sz="0" w:space="0" w:color="auto"/>
        <w:left w:val="none" w:sz="0" w:space="0" w:color="auto"/>
        <w:bottom w:val="none" w:sz="0" w:space="0" w:color="auto"/>
        <w:right w:val="none" w:sz="0" w:space="0" w:color="auto"/>
      </w:divBdr>
    </w:div>
    <w:div w:id="1565413807">
      <w:bodyDiv w:val="1"/>
      <w:marLeft w:val="0"/>
      <w:marRight w:val="0"/>
      <w:marTop w:val="0"/>
      <w:marBottom w:val="0"/>
      <w:divBdr>
        <w:top w:val="none" w:sz="0" w:space="0" w:color="auto"/>
        <w:left w:val="none" w:sz="0" w:space="0" w:color="auto"/>
        <w:bottom w:val="none" w:sz="0" w:space="0" w:color="auto"/>
        <w:right w:val="none" w:sz="0" w:space="0" w:color="auto"/>
      </w:divBdr>
    </w:div>
    <w:div w:id="1575551586">
      <w:bodyDiv w:val="1"/>
      <w:marLeft w:val="0"/>
      <w:marRight w:val="0"/>
      <w:marTop w:val="0"/>
      <w:marBottom w:val="0"/>
      <w:divBdr>
        <w:top w:val="none" w:sz="0" w:space="0" w:color="auto"/>
        <w:left w:val="none" w:sz="0" w:space="0" w:color="auto"/>
        <w:bottom w:val="none" w:sz="0" w:space="0" w:color="auto"/>
        <w:right w:val="none" w:sz="0" w:space="0" w:color="auto"/>
      </w:divBdr>
    </w:div>
    <w:div w:id="1577402804">
      <w:bodyDiv w:val="1"/>
      <w:marLeft w:val="0"/>
      <w:marRight w:val="0"/>
      <w:marTop w:val="0"/>
      <w:marBottom w:val="0"/>
      <w:divBdr>
        <w:top w:val="none" w:sz="0" w:space="0" w:color="auto"/>
        <w:left w:val="none" w:sz="0" w:space="0" w:color="auto"/>
        <w:bottom w:val="none" w:sz="0" w:space="0" w:color="auto"/>
        <w:right w:val="none" w:sz="0" w:space="0" w:color="auto"/>
      </w:divBdr>
    </w:div>
    <w:div w:id="1584101694">
      <w:bodyDiv w:val="1"/>
      <w:marLeft w:val="0"/>
      <w:marRight w:val="0"/>
      <w:marTop w:val="0"/>
      <w:marBottom w:val="0"/>
      <w:divBdr>
        <w:top w:val="none" w:sz="0" w:space="0" w:color="auto"/>
        <w:left w:val="none" w:sz="0" w:space="0" w:color="auto"/>
        <w:bottom w:val="none" w:sz="0" w:space="0" w:color="auto"/>
        <w:right w:val="none" w:sz="0" w:space="0" w:color="auto"/>
      </w:divBdr>
    </w:div>
    <w:div w:id="1584997275">
      <w:bodyDiv w:val="1"/>
      <w:marLeft w:val="0"/>
      <w:marRight w:val="0"/>
      <w:marTop w:val="0"/>
      <w:marBottom w:val="0"/>
      <w:divBdr>
        <w:top w:val="none" w:sz="0" w:space="0" w:color="auto"/>
        <w:left w:val="none" w:sz="0" w:space="0" w:color="auto"/>
        <w:bottom w:val="none" w:sz="0" w:space="0" w:color="auto"/>
        <w:right w:val="none" w:sz="0" w:space="0" w:color="auto"/>
      </w:divBdr>
    </w:div>
    <w:div w:id="1587112431">
      <w:bodyDiv w:val="1"/>
      <w:marLeft w:val="0"/>
      <w:marRight w:val="0"/>
      <w:marTop w:val="0"/>
      <w:marBottom w:val="0"/>
      <w:divBdr>
        <w:top w:val="none" w:sz="0" w:space="0" w:color="auto"/>
        <w:left w:val="none" w:sz="0" w:space="0" w:color="auto"/>
        <w:bottom w:val="none" w:sz="0" w:space="0" w:color="auto"/>
        <w:right w:val="none" w:sz="0" w:space="0" w:color="auto"/>
      </w:divBdr>
    </w:div>
    <w:div w:id="1588536898">
      <w:bodyDiv w:val="1"/>
      <w:marLeft w:val="0"/>
      <w:marRight w:val="0"/>
      <w:marTop w:val="0"/>
      <w:marBottom w:val="0"/>
      <w:divBdr>
        <w:top w:val="none" w:sz="0" w:space="0" w:color="auto"/>
        <w:left w:val="none" w:sz="0" w:space="0" w:color="auto"/>
        <w:bottom w:val="none" w:sz="0" w:space="0" w:color="auto"/>
        <w:right w:val="none" w:sz="0" w:space="0" w:color="auto"/>
      </w:divBdr>
    </w:div>
    <w:div w:id="1593588494">
      <w:bodyDiv w:val="1"/>
      <w:marLeft w:val="0"/>
      <w:marRight w:val="0"/>
      <w:marTop w:val="0"/>
      <w:marBottom w:val="0"/>
      <w:divBdr>
        <w:top w:val="none" w:sz="0" w:space="0" w:color="auto"/>
        <w:left w:val="none" w:sz="0" w:space="0" w:color="auto"/>
        <w:bottom w:val="none" w:sz="0" w:space="0" w:color="auto"/>
        <w:right w:val="none" w:sz="0" w:space="0" w:color="auto"/>
      </w:divBdr>
    </w:div>
    <w:div w:id="1593977880">
      <w:bodyDiv w:val="1"/>
      <w:marLeft w:val="0"/>
      <w:marRight w:val="0"/>
      <w:marTop w:val="0"/>
      <w:marBottom w:val="0"/>
      <w:divBdr>
        <w:top w:val="none" w:sz="0" w:space="0" w:color="auto"/>
        <w:left w:val="none" w:sz="0" w:space="0" w:color="auto"/>
        <w:bottom w:val="none" w:sz="0" w:space="0" w:color="auto"/>
        <w:right w:val="none" w:sz="0" w:space="0" w:color="auto"/>
      </w:divBdr>
    </w:div>
    <w:div w:id="1594581861">
      <w:bodyDiv w:val="1"/>
      <w:marLeft w:val="0"/>
      <w:marRight w:val="0"/>
      <w:marTop w:val="0"/>
      <w:marBottom w:val="0"/>
      <w:divBdr>
        <w:top w:val="none" w:sz="0" w:space="0" w:color="auto"/>
        <w:left w:val="none" w:sz="0" w:space="0" w:color="auto"/>
        <w:bottom w:val="none" w:sz="0" w:space="0" w:color="auto"/>
        <w:right w:val="none" w:sz="0" w:space="0" w:color="auto"/>
      </w:divBdr>
    </w:div>
    <w:div w:id="1597863487">
      <w:bodyDiv w:val="1"/>
      <w:marLeft w:val="0"/>
      <w:marRight w:val="0"/>
      <w:marTop w:val="0"/>
      <w:marBottom w:val="0"/>
      <w:divBdr>
        <w:top w:val="none" w:sz="0" w:space="0" w:color="auto"/>
        <w:left w:val="none" w:sz="0" w:space="0" w:color="auto"/>
        <w:bottom w:val="none" w:sz="0" w:space="0" w:color="auto"/>
        <w:right w:val="none" w:sz="0" w:space="0" w:color="auto"/>
      </w:divBdr>
    </w:div>
    <w:div w:id="1602643569">
      <w:bodyDiv w:val="1"/>
      <w:marLeft w:val="0"/>
      <w:marRight w:val="0"/>
      <w:marTop w:val="0"/>
      <w:marBottom w:val="0"/>
      <w:divBdr>
        <w:top w:val="none" w:sz="0" w:space="0" w:color="auto"/>
        <w:left w:val="none" w:sz="0" w:space="0" w:color="auto"/>
        <w:bottom w:val="none" w:sz="0" w:space="0" w:color="auto"/>
        <w:right w:val="none" w:sz="0" w:space="0" w:color="auto"/>
      </w:divBdr>
    </w:div>
    <w:div w:id="1610119573">
      <w:bodyDiv w:val="1"/>
      <w:marLeft w:val="0"/>
      <w:marRight w:val="0"/>
      <w:marTop w:val="0"/>
      <w:marBottom w:val="0"/>
      <w:divBdr>
        <w:top w:val="none" w:sz="0" w:space="0" w:color="auto"/>
        <w:left w:val="none" w:sz="0" w:space="0" w:color="auto"/>
        <w:bottom w:val="none" w:sz="0" w:space="0" w:color="auto"/>
        <w:right w:val="none" w:sz="0" w:space="0" w:color="auto"/>
      </w:divBdr>
    </w:div>
    <w:div w:id="1619218581">
      <w:bodyDiv w:val="1"/>
      <w:marLeft w:val="0"/>
      <w:marRight w:val="0"/>
      <w:marTop w:val="0"/>
      <w:marBottom w:val="0"/>
      <w:divBdr>
        <w:top w:val="none" w:sz="0" w:space="0" w:color="auto"/>
        <w:left w:val="none" w:sz="0" w:space="0" w:color="auto"/>
        <w:bottom w:val="none" w:sz="0" w:space="0" w:color="auto"/>
        <w:right w:val="none" w:sz="0" w:space="0" w:color="auto"/>
      </w:divBdr>
    </w:div>
    <w:div w:id="1620838012">
      <w:bodyDiv w:val="1"/>
      <w:marLeft w:val="0"/>
      <w:marRight w:val="0"/>
      <w:marTop w:val="0"/>
      <w:marBottom w:val="0"/>
      <w:divBdr>
        <w:top w:val="none" w:sz="0" w:space="0" w:color="auto"/>
        <w:left w:val="none" w:sz="0" w:space="0" w:color="auto"/>
        <w:bottom w:val="none" w:sz="0" w:space="0" w:color="auto"/>
        <w:right w:val="none" w:sz="0" w:space="0" w:color="auto"/>
      </w:divBdr>
    </w:div>
    <w:div w:id="1621642220">
      <w:bodyDiv w:val="1"/>
      <w:marLeft w:val="0"/>
      <w:marRight w:val="0"/>
      <w:marTop w:val="0"/>
      <w:marBottom w:val="0"/>
      <w:divBdr>
        <w:top w:val="none" w:sz="0" w:space="0" w:color="auto"/>
        <w:left w:val="none" w:sz="0" w:space="0" w:color="auto"/>
        <w:bottom w:val="none" w:sz="0" w:space="0" w:color="auto"/>
        <w:right w:val="none" w:sz="0" w:space="0" w:color="auto"/>
      </w:divBdr>
    </w:div>
    <w:div w:id="1623344530">
      <w:bodyDiv w:val="1"/>
      <w:marLeft w:val="0"/>
      <w:marRight w:val="0"/>
      <w:marTop w:val="0"/>
      <w:marBottom w:val="0"/>
      <w:divBdr>
        <w:top w:val="none" w:sz="0" w:space="0" w:color="auto"/>
        <w:left w:val="none" w:sz="0" w:space="0" w:color="auto"/>
        <w:bottom w:val="none" w:sz="0" w:space="0" w:color="auto"/>
        <w:right w:val="none" w:sz="0" w:space="0" w:color="auto"/>
      </w:divBdr>
    </w:div>
    <w:div w:id="1625035345">
      <w:bodyDiv w:val="1"/>
      <w:marLeft w:val="0"/>
      <w:marRight w:val="0"/>
      <w:marTop w:val="0"/>
      <w:marBottom w:val="0"/>
      <w:divBdr>
        <w:top w:val="none" w:sz="0" w:space="0" w:color="auto"/>
        <w:left w:val="none" w:sz="0" w:space="0" w:color="auto"/>
        <w:bottom w:val="none" w:sz="0" w:space="0" w:color="auto"/>
        <w:right w:val="none" w:sz="0" w:space="0" w:color="auto"/>
      </w:divBdr>
    </w:div>
    <w:div w:id="1626541203">
      <w:bodyDiv w:val="1"/>
      <w:marLeft w:val="0"/>
      <w:marRight w:val="0"/>
      <w:marTop w:val="0"/>
      <w:marBottom w:val="0"/>
      <w:divBdr>
        <w:top w:val="none" w:sz="0" w:space="0" w:color="auto"/>
        <w:left w:val="none" w:sz="0" w:space="0" w:color="auto"/>
        <w:bottom w:val="none" w:sz="0" w:space="0" w:color="auto"/>
        <w:right w:val="none" w:sz="0" w:space="0" w:color="auto"/>
      </w:divBdr>
    </w:div>
    <w:div w:id="1629358127">
      <w:bodyDiv w:val="1"/>
      <w:marLeft w:val="0"/>
      <w:marRight w:val="0"/>
      <w:marTop w:val="0"/>
      <w:marBottom w:val="0"/>
      <w:divBdr>
        <w:top w:val="none" w:sz="0" w:space="0" w:color="auto"/>
        <w:left w:val="none" w:sz="0" w:space="0" w:color="auto"/>
        <w:bottom w:val="none" w:sz="0" w:space="0" w:color="auto"/>
        <w:right w:val="none" w:sz="0" w:space="0" w:color="auto"/>
      </w:divBdr>
    </w:div>
    <w:div w:id="1629625590">
      <w:bodyDiv w:val="1"/>
      <w:marLeft w:val="0"/>
      <w:marRight w:val="0"/>
      <w:marTop w:val="0"/>
      <w:marBottom w:val="0"/>
      <w:divBdr>
        <w:top w:val="none" w:sz="0" w:space="0" w:color="auto"/>
        <w:left w:val="none" w:sz="0" w:space="0" w:color="auto"/>
        <w:bottom w:val="none" w:sz="0" w:space="0" w:color="auto"/>
        <w:right w:val="none" w:sz="0" w:space="0" w:color="auto"/>
      </w:divBdr>
    </w:div>
    <w:div w:id="1631127430">
      <w:bodyDiv w:val="1"/>
      <w:marLeft w:val="0"/>
      <w:marRight w:val="0"/>
      <w:marTop w:val="0"/>
      <w:marBottom w:val="0"/>
      <w:divBdr>
        <w:top w:val="none" w:sz="0" w:space="0" w:color="auto"/>
        <w:left w:val="none" w:sz="0" w:space="0" w:color="auto"/>
        <w:bottom w:val="none" w:sz="0" w:space="0" w:color="auto"/>
        <w:right w:val="none" w:sz="0" w:space="0" w:color="auto"/>
      </w:divBdr>
    </w:div>
    <w:div w:id="1633167542">
      <w:bodyDiv w:val="1"/>
      <w:marLeft w:val="0"/>
      <w:marRight w:val="0"/>
      <w:marTop w:val="0"/>
      <w:marBottom w:val="0"/>
      <w:divBdr>
        <w:top w:val="none" w:sz="0" w:space="0" w:color="auto"/>
        <w:left w:val="none" w:sz="0" w:space="0" w:color="auto"/>
        <w:bottom w:val="none" w:sz="0" w:space="0" w:color="auto"/>
        <w:right w:val="none" w:sz="0" w:space="0" w:color="auto"/>
      </w:divBdr>
    </w:div>
    <w:div w:id="1638487311">
      <w:bodyDiv w:val="1"/>
      <w:marLeft w:val="0"/>
      <w:marRight w:val="0"/>
      <w:marTop w:val="0"/>
      <w:marBottom w:val="0"/>
      <w:divBdr>
        <w:top w:val="none" w:sz="0" w:space="0" w:color="auto"/>
        <w:left w:val="none" w:sz="0" w:space="0" w:color="auto"/>
        <w:bottom w:val="none" w:sz="0" w:space="0" w:color="auto"/>
        <w:right w:val="none" w:sz="0" w:space="0" w:color="auto"/>
      </w:divBdr>
    </w:div>
    <w:div w:id="1643802340">
      <w:bodyDiv w:val="1"/>
      <w:marLeft w:val="0"/>
      <w:marRight w:val="0"/>
      <w:marTop w:val="0"/>
      <w:marBottom w:val="0"/>
      <w:divBdr>
        <w:top w:val="none" w:sz="0" w:space="0" w:color="auto"/>
        <w:left w:val="none" w:sz="0" w:space="0" w:color="auto"/>
        <w:bottom w:val="none" w:sz="0" w:space="0" w:color="auto"/>
        <w:right w:val="none" w:sz="0" w:space="0" w:color="auto"/>
      </w:divBdr>
    </w:div>
    <w:div w:id="1647468192">
      <w:bodyDiv w:val="1"/>
      <w:marLeft w:val="0"/>
      <w:marRight w:val="0"/>
      <w:marTop w:val="0"/>
      <w:marBottom w:val="0"/>
      <w:divBdr>
        <w:top w:val="none" w:sz="0" w:space="0" w:color="auto"/>
        <w:left w:val="none" w:sz="0" w:space="0" w:color="auto"/>
        <w:bottom w:val="none" w:sz="0" w:space="0" w:color="auto"/>
        <w:right w:val="none" w:sz="0" w:space="0" w:color="auto"/>
      </w:divBdr>
    </w:div>
    <w:div w:id="1654406628">
      <w:bodyDiv w:val="1"/>
      <w:marLeft w:val="0"/>
      <w:marRight w:val="0"/>
      <w:marTop w:val="0"/>
      <w:marBottom w:val="0"/>
      <w:divBdr>
        <w:top w:val="none" w:sz="0" w:space="0" w:color="auto"/>
        <w:left w:val="none" w:sz="0" w:space="0" w:color="auto"/>
        <w:bottom w:val="none" w:sz="0" w:space="0" w:color="auto"/>
        <w:right w:val="none" w:sz="0" w:space="0" w:color="auto"/>
      </w:divBdr>
    </w:div>
    <w:div w:id="1658417758">
      <w:bodyDiv w:val="1"/>
      <w:marLeft w:val="0"/>
      <w:marRight w:val="0"/>
      <w:marTop w:val="0"/>
      <w:marBottom w:val="0"/>
      <w:divBdr>
        <w:top w:val="none" w:sz="0" w:space="0" w:color="auto"/>
        <w:left w:val="none" w:sz="0" w:space="0" w:color="auto"/>
        <w:bottom w:val="none" w:sz="0" w:space="0" w:color="auto"/>
        <w:right w:val="none" w:sz="0" w:space="0" w:color="auto"/>
      </w:divBdr>
    </w:div>
    <w:div w:id="1662805584">
      <w:bodyDiv w:val="1"/>
      <w:marLeft w:val="0"/>
      <w:marRight w:val="0"/>
      <w:marTop w:val="0"/>
      <w:marBottom w:val="0"/>
      <w:divBdr>
        <w:top w:val="none" w:sz="0" w:space="0" w:color="auto"/>
        <w:left w:val="none" w:sz="0" w:space="0" w:color="auto"/>
        <w:bottom w:val="none" w:sz="0" w:space="0" w:color="auto"/>
        <w:right w:val="none" w:sz="0" w:space="0" w:color="auto"/>
      </w:divBdr>
    </w:div>
    <w:div w:id="1665623205">
      <w:bodyDiv w:val="1"/>
      <w:marLeft w:val="0"/>
      <w:marRight w:val="0"/>
      <w:marTop w:val="0"/>
      <w:marBottom w:val="0"/>
      <w:divBdr>
        <w:top w:val="none" w:sz="0" w:space="0" w:color="auto"/>
        <w:left w:val="none" w:sz="0" w:space="0" w:color="auto"/>
        <w:bottom w:val="none" w:sz="0" w:space="0" w:color="auto"/>
        <w:right w:val="none" w:sz="0" w:space="0" w:color="auto"/>
      </w:divBdr>
    </w:div>
    <w:div w:id="1672177729">
      <w:bodyDiv w:val="1"/>
      <w:marLeft w:val="0"/>
      <w:marRight w:val="0"/>
      <w:marTop w:val="0"/>
      <w:marBottom w:val="0"/>
      <w:divBdr>
        <w:top w:val="none" w:sz="0" w:space="0" w:color="auto"/>
        <w:left w:val="none" w:sz="0" w:space="0" w:color="auto"/>
        <w:bottom w:val="none" w:sz="0" w:space="0" w:color="auto"/>
        <w:right w:val="none" w:sz="0" w:space="0" w:color="auto"/>
      </w:divBdr>
    </w:div>
    <w:div w:id="1678188588">
      <w:bodyDiv w:val="1"/>
      <w:marLeft w:val="0"/>
      <w:marRight w:val="0"/>
      <w:marTop w:val="0"/>
      <w:marBottom w:val="0"/>
      <w:divBdr>
        <w:top w:val="none" w:sz="0" w:space="0" w:color="auto"/>
        <w:left w:val="none" w:sz="0" w:space="0" w:color="auto"/>
        <w:bottom w:val="none" w:sz="0" w:space="0" w:color="auto"/>
        <w:right w:val="none" w:sz="0" w:space="0" w:color="auto"/>
      </w:divBdr>
    </w:div>
    <w:div w:id="1682049288">
      <w:bodyDiv w:val="1"/>
      <w:marLeft w:val="0"/>
      <w:marRight w:val="0"/>
      <w:marTop w:val="0"/>
      <w:marBottom w:val="0"/>
      <w:divBdr>
        <w:top w:val="none" w:sz="0" w:space="0" w:color="auto"/>
        <w:left w:val="none" w:sz="0" w:space="0" w:color="auto"/>
        <w:bottom w:val="none" w:sz="0" w:space="0" w:color="auto"/>
        <w:right w:val="none" w:sz="0" w:space="0" w:color="auto"/>
      </w:divBdr>
    </w:div>
    <w:div w:id="1692951949">
      <w:bodyDiv w:val="1"/>
      <w:marLeft w:val="0"/>
      <w:marRight w:val="0"/>
      <w:marTop w:val="0"/>
      <w:marBottom w:val="0"/>
      <w:divBdr>
        <w:top w:val="none" w:sz="0" w:space="0" w:color="auto"/>
        <w:left w:val="none" w:sz="0" w:space="0" w:color="auto"/>
        <w:bottom w:val="none" w:sz="0" w:space="0" w:color="auto"/>
        <w:right w:val="none" w:sz="0" w:space="0" w:color="auto"/>
      </w:divBdr>
    </w:div>
    <w:div w:id="1694962574">
      <w:bodyDiv w:val="1"/>
      <w:marLeft w:val="0"/>
      <w:marRight w:val="0"/>
      <w:marTop w:val="0"/>
      <w:marBottom w:val="0"/>
      <w:divBdr>
        <w:top w:val="none" w:sz="0" w:space="0" w:color="auto"/>
        <w:left w:val="none" w:sz="0" w:space="0" w:color="auto"/>
        <w:bottom w:val="none" w:sz="0" w:space="0" w:color="auto"/>
        <w:right w:val="none" w:sz="0" w:space="0" w:color="auto"/>
      </w:divBdr>
    </w:div>
    <w:div w:id="1696154032">
      <w:bodyDiv w:val="1"/>
      <w:marLeft w:val="0"/>
      <w:marRight w:val="0"/>
      <w:marTop w:val="0"/>
      <w:marBottom w:val="0"/>
      <w:divBdr>
        <w:top w:val="none" w:sz="0" w:space="0" w:color="auto"/>
        <w:left w:val="none" w:sz="0" w:space="0" w:color="auto"/>
        <w:bottom w:val="none" w:sz="0" w:space="0" w:color="auto"/>
        <w:right w:val="none" w:sz="0" w:space="0" w:color="auto"/>
      </w:divBdr>
    </w:div>
    <w:div w:id="1707635619">
      <w:bodyDiv w:val="1"/>
      <w:marLeft w:val="0"/>
      <w:marRight w:val="0"/>
      <w:marTop w:val="0"/>
      <w:marBottom w:val="0"/>
      <w:divBdr>
        <w:top w:val="none" w:sz="0" w:space="0" w:color="auto"/>
        <w:left w:val="none" w:sz="0" w:space="0" w:color="auto"/>
        <w:bottom w:val="none" w:sz="0" w:space="0" w:color="auto"/>
        <w:right w:val="none" w:sz="0" w:space="0" w:color="auto"/>
      </w:divBdr>
    </w:div>
    <w:div w:id="1709599910">
      <w:bodyDiv w:val="1"/>
      <w:marLeft w:val="0"/>
      <w:marRight w:val="0"/>
      <w:marTop w:val="0"/>
      <w:marBottom w:val="0"/>
      <w:divBdr>
        <w:top w:val="none" w:sz="0" w:space="0" w:color="auto"/>
        <w:left w:val="none" w:sz="0" w:space="0" w:color="auto"/>
        <w:bottom w:val="none" w:sz="0" w:space="0" w:color="auto"/>
        <w:right w:val="none" w:sz="0" w:space="0" w:color="auto"/>
      </w:divBdr>
    </w:div>
    <w:div w:id="1728454001">
      <w:bodyDiv w:val="1"/>
      <w:marLeft w:val="0"/>
      <w:marRight w:val="0"/>
      <w:marTop w:val="0"/>
      <w:marBottom w:val="0"/>
      <w:divBdr>
        <w:top w:val="none" w:sz="0" w:space="0" w:color="auto"/>
        <w:left w:val="none" w:sz="0" w:space="0" w:color="auto"/>
        <w:bottom w:val="none" w:sz="0" w:space="0" w:color="auto"/>
        <w:right w:val="none" w:sz="0" w:space="0" w:color="auto"/>
      </w:divBdr>
    </w:div>
    <w:div w:id="1736584656">
      <w:bodyDiv w:val="1"/>
      <w:marLeft w:val="0"/>
      <w:marRight w:val="0"/>
      <w:marTop w:val="0"/>
      <w:marBottom w:val="0"/>
      <w:divBdr>
        <w:top w:val="none" w:sz="0" w:space="0" w:color="auto"/>
        <w:left w:val="none" w:sz="0" w:space="0" w:color="auto"/>
        <w:bottom w:val="none" w:sz="0" w:space="0" w:color="auto"/>
        <w:right w:val="none" w:sz="0" w:space="0" w:color="auto"/>
      </w:divBdr>
    </w:div>
    <w:div w:id="1740975042">
      <w:bodyDiv w:val="1"/>
      <w:marLeft w:val="0"/>
      <w:marRight w:val="0"/>
      <w:marTop w:val="0"/>
      <w:marBottom w:val="0"/>
      <w:divBdr>
        <w:top w:val="none" w:sz="0" w:space="0" w:color="auto"/>
        <w:left w:val="none" w:sz="0" w:space="0" w:color="auto"/>
        <w:bottom w:val="none" w:sz="0" w:space="0" w:color="auto"/>
        <w:right w:val="none" w:sz="0" w:space="0" w:color="auto"/>
      </w:divBdr>
    </w:div>
    <w:div w:id="1741246809">
      <w:bodyDiv w:val="1"/>
      <w:marLeft w:val="0"/>
      <w:marRight w:val="0"/>
      <w:marTop w:val="0"/>
      <w:marBottom w:val="0"/>
      <w:divBdr>
        <w:top w:val="none" w:sz="0" w:space="0" w:color="auto"/>
        <w:left w:val="none" w:sz="0" w:space="0" w:color="auto"/>
        <w:bottom w:val="none" w:sz="0" w:space="0" w:color="auto"/>
        <w:right w:val="none" w:sz="0" w:space="0" w:color="auto"/>
      </w:divBdr>
    </w:div>
    <w:div w:id="1749644480">
      <w:bodyDiv w:val="1"/>
      <w:marLeft w:val="0"/>
      <w:marRight w:val="0"/>
      <w:marTop w:val="0"/>
      <w:marBottom w:val="0"/>
      <w:divBdr>
        <w:top w:val="none" w:sz="0" w:space="0" w:color="auto"/>
        <w:left w:val="none" w:sz="0" w:space="0" w:color="auto"/>
        <w:bottom w:val="none" w:sz="0" w:space="0" w:color="auto"/>
        <w:right w:val="none" w:sz="0" w:space="0" w:color="auto"/>
      </w:divBdr>
    </w:div>
    <w:div w:id="1751925850">
      <w:bodyDiv w:val="1"/>
      <w:marLeft w:val="0"/>
      <w:marRight w:val="0"/>
      <w:marTop w:val="0"/>
      <w:marBottom w:val="0"/>
      <w:divBdr>
        <w:top w:val="none" w:sz="0" w:space="0" w:color="auto"/>
        <w:left w:val="none" w:sz="0" w:space="0" w:color="auto"/>
        <w:bottom w:val="none" w:sz="0" w:space="0" w:color="auto"/>
        <w:right w:val="none" w:sz="0" w:space="0" w:color="auto"/>
      </w:divBdr>
    </w:div>
    <w:div w:id="1756003467">
      <w:bodyDiv w:val="1"/>
      <w:marLeft w:val="0"/>
      <w:marRight w:val="0"/>
      <w:marTop w:val="0"/>
      <w:marBottom w:val="0"/>
      <w:divBdr>
        <w:top w:val="none" w:sz="0" w:space="0" w:color="auto"/>
        <w:left w:val="none" w:sz="0" w:space="0" w:color="auto"/>
        <w:bottom w:val="none" w:sz="0" w:space="0" w:color="auto"/>
        <w:right w:val="none" w:sz="0" w:space="0" w:color="auto"/>
      </w:divBdr>
    </w:div>
    <w:div w:id="1756323447">
      <w:bodyDiv w:val="1"/>
      <w:marLeft w:val="0"/>
      <w:marRight w:val="0"/>
      <w:marTop w:val="0"/>
      <w:marBottom w:val="0"/>
      <w:divBdr>
        <w:top w:val="none" w:sz="0" w:space="0" w:color="auto"/>
        <w:left w:val="none" w:sz="0" w:space="0" w:color="auto"/>
        <w:bottom w:val="none" w:sz="0" w:space="0" w:color="auto"/>
        <w:right w:val="none" w:sz="0" w:space="0" w:color="auto"/>
      </w:divBdr>
    </w:div>
    <w:div w:id="1761215864">
      <w:bodyDiv w:val="1"/>
      <w:marLeft w:val="0"/>
      <w:marRight w:val="0"/>
      <w:marTop w:val="0"/>
      <w:marBottom w:val="0"/>
      <w:divBdr>
        <w:top w:val="none" w:sz="0" w:space="0" w:color="auto"/>
        <w:left w:val="none" w:sz="0" w:space="0" w:color="auto"/>
        <w:bottom w:val="none" w:sz="0" w:space="0" w:color="auto"/>
        <w:right w:val="none" w:sz="0" w:space="0" w:color="auto"/>
      </w:divBdr>
    </w:div>
    <w:div w:id="1762098835">
      <w:bodyDiv w:val="1"/>
      <w:marLeft w:val="0"/>
      <w:marRight w:val="0"/>
      <w:marTop w:val="0"/>
      <w:marBottom w:val="0"/>
      <w:divBdr>
        <w:top w:val="none" w:sz="0" w:space="0" w:color="auto"/>
        <w:left w:val="none" w:sz="0" w:space="0" w:color="auto"/>
        <w:bottom w:val="none" w:sz="0" w:space="0" w:color="auto"/>
        <w:right w:val="none" w:sz="0" w:space="0" w:color="auto"/>
      </w:divBdr>
    </w:div>
    <w:div w:id="1763333845">
      <w:bodyDiv w:val="1"/>
      <w:marLeft w:val="0"/>
      <w:marRight w:val="0"/>
      <w:marTop w:val="0"/>
      <w:marBottom w:val="0"/>
      <w:divBdr>
        <w:top w:val="none" w:sz="0" w:space="0" w:color="auto"/>
        <w:left w:val="none" w:sz="0" w:space="0" w:color="auto"/>
        <w:bottom w:val="none" w:sz="0" w:space="0" w:color="auto"/>
        <w:right w:val="none" w:sz="0" w:space="0" w:color="auto"/>
      </w:divBdr>
    </w:div>
    <w:div w:id="1764957544">
      <w:bodyDiv w:val="1"/>
      <w:marLeft w:val="0"/>
      <w:marRight w:val="0"/>
      <w:marTop w:val="0"/>
      <w:marBottom w:val="0"/>
      <w:divBdr>
        <w:top w:val="none" w:sz="0" w:space="0" w:color="auto"/>
        <w:left w:val="none" w:sz="0" w:space="0" w:color="auto"/>
        <w:bottom w:val="none" w:sz="0" w:space="0" w:color="auto"/>
        <w:right w:val="none" w:sz="0" w:space="0" w:color="auto"/>
      </w:divBdr>
    </w:div>
    <w:div w:id="1771928110">
      <w:bodyDiv w:val="1"/>
      <w:marLeft w:val="0"/>
      <w:marRight w:val="0"/>
      <w:marTop w:val="0"/>
      <w:marBottom w:val="0"/>
      <w:divBdr>
        <w:top w:val="none" w:sz="0" w:space="0" w:color="auto"/>
        <w:left w:val="none" w:sz="0" w:space="0" w:color="auto"/>
        <w:bottom w:val="none" w:sz="0" w:space="0" w:color="auto"/>
        <w:right w:val="none" w:sz="0" w:space="0" w:color="auto"/>
      </w:divBdr>
    </w:div>
    <w:div w:id="1774545267">
      <w:bodyDiv w:val="1"/>
      <w:marLeft w:val="0"/>
      <w:marRight w:val="0"/>
      <w:marTop w:val="0"/>
      <w:marBottom w:val="0"/>
      <w:divBdr>
        <w:top w:val="none" w:sz="0" w:space="0" w:color="auto"/>
        <w:left w:val="none" w:sz="0" w:space="0" w:color="auto"/>
        <w:bottom w:val="none" w:sz="0" w:space="0" w:color="auto"/>
        <w:right w:val="none" w:sz="0" w:space="0" w:color="auto"/>
      </w:divBdr>
    </w:div>
    <w:div w:id="1780180099">
      <w:bodyDiv w:val="1"/>
      <w:marLeft w:val="0"/>
      <w:marRight w:val="0"/>
      <w:marTop w:val="0"/>
      <w:marBottom w:val="0"/>
      <w:divBdr>
        <w:top w:val="none" w:sz="0" w:space="0" w:color="auto"/>
        <w:left w:val="none" w:sz="0" w:space="0" w:color="auto"/>
        <w:bottom w:val="none" w:sz="0" w:space="0" w:color="auto"/>
        <w:right w:val="none" w:sz="0" w:space="0" w:color="auto"/>
      </w:divBdr>
    </w:div>
    <w:div w:id="1787575480">
      <w:bodyDiv w:val="1"/>
      <w:marLeft w:val="0"/>
      <w:marRight w:val="0"/>
      <w:marTop w:val="0"/>
      <w:marBottom w:val="0"/>
      <w:divBdr>
        <w:top w:val="none" w:sz="0" w:space="0" w:color="auto"/>
        <w:left w:val="none" w:sz="0" w:space="0" w:color="auto"/>
        <w:bottom w:val="none" w:sz="0" w:space="0" w:color="auto"/>
        <w:right w:val="none" w:sz="0" w:space="0" w:color="auto"/>
      </w:divBdr>
    </w:div>
    <w:div w:id="1793934171">
      <w:bodyDiv w:val="1"/>
      <w:marLeft w:val="0"/>
      <w:marRight w:val="0"/>
      <w:marTop w:val="0"/>
      <w:marBottom w:val="0"/>
      <w:divBdr>
        <w:top w:val="none" w:sz="0" w:space="0" w:color="auto"/>
        <w:left w:val="none" w:sz="0" w:space="0" w:color="auto"/>
        <w:bottom w:val="none" w:sz="0" w:space="0" w:color="auto"/>
        <w:right w:val="none" w:sz="0" w:space="0" w:color="auto"/>
      </w:divBdr>
    </w:div>
    <w:div w:id="1796632735">
      <w:bodyDiv w:val="1"/>
      <w:marLeft w:val="0"/>
      <w:marRight w:val="0"/>
      <w:marTop w:val="0"/>
      <w:marBottom w:val="0"/>
      <w:divBdr>
        <w:top w:val="none" w:sz="0" w:space="0" w:color="auto"/>
        <w:left w:val="none" w:sz="0" w:space="0" w:color="auto"/>
        <w:bottom w:val="none" w:sz="0" w:space="0" w:color="auto"/>
        <w:right w:val="none" w:sz="0" w:space="0" w:color="auto"/>
      </w:divBdr>
    </w:div>
    <w:div w:id="1803880822">
      <w:bodyDiv w:val="1"/>
      <w:marLeft w:val="0"/>
      <w:marRight w:val="0"/>
      <w:marTop w:val="0"/>
      <w:marBottom w:val="0"/>
      <w:divBdr>
        <w:top w:val="none" w:sz="0" w:space="0" w:color="auto"/>
        <w:left w:val="none" w:sz="0" w:space="0" w:color="auto"/>
        <w:bottom w:val="none" w:sz="0" w:space="0" w:color="auto"/>
        <w:right w:val="none" w:sz="0" w:space="0" w:color="auto"/>
      </w:divBdr>
    </w:div>
    <w:div w:id="1808010876">
      <w:bodyDiv w:val="1"/>
      <w:marLeft w:val="0"/>
      <w:marRight w:val="0"/>
      <w:marTop w:val="0"/>
      <w:marBottom w:val="0"/>
      <w:divBdr>
        <w:top w:val="none" w:sz="0" w:space="0" w:color="auto"/>
        <w:left w:val="none" w:sz="0" w:space="0" w:color="auto"/>
        <w:bottom w:val="none" w:sz="0" w:space="0" w:color="auto"/>
        <w:right w:val="none" w:sz="0" w:space="0" w:color="auto"/>
      </w:divBdr>
    </w:div>
    <w:div w:id="1819422677">
      <w:bodyDiv w:val="1"/>
      <w:marLeft w:val="0"/>
      <w:marRight w:val="0"/>
      <w:marTop w:val="0"/>
      <w:marBottom w:val="0"/>
      <w:divBdr>
        <w:top w:val="none" w:sz="0" w:space="0" w:color="auto"/>
        <w:left w:val="none" w:sz="0" w:space="0" w:color="auto"/>
        <w:bottom w:val="none" w:sz="0" w:space="0" w:color="auto"/>
        <w:right w:val="none" w:sz="0" w:space="0" w:color="auto"/>
      </w:divBdr>
    </w:div>
    <w:div w:id="1821535693">
      <w:bodyDiv w:val="1"/>
      <w:marLeft w:val="0"/>
      <w:marRight w:val="0"/>
      <w:marTop w:val="0"/>
      <w:marBottom w:val="0"/>
      <w:divBdr>
        <w:top w:val="none" w:sz="0" w:space="0" w:color="auto"/>
        <w:left w:val="none" w:sz="0" w:space="0" w:color="auto"/>
        <w:bottom w:val="none" w:sz="0" w:space="0" w:color="auto"/>
        <w:right w:val="none" w:sz="0" w:space="0" w:color="auto"/>
      </w:divBdr>
    </w:div>
    <w:div w:id="1827285238">
      <w:bodyDiv w:val="1"/>
      <w:marLeft w:val="0"/>
      <w:marRight w:val="0"/>
      <w:marTop w:val="0"/>
      <w:marBottom w:val="0"/>
      <w:divBdr>
        <w:top w:val="none" w:sz="0" w:space="0" w:color="auto"/>
        <w:left w:val="none" w:sz="0" w:space="0" w:color="auto"/>
        <w:bottom w:val="none" w:sz="0" w:space="0" w:color="auto"/>
        <w:right w:val="none" w:sz="0" w:space="0" w:color="auto"/>
      </w:divBdr>
    </w:div>
    <w:div w:id="1829665537">
      <w:bodyDiv w:val="1"/>
      <w:marLeft w:val="0"/>
      <w:marRight w:val="0"/>
      <w:marTop w:val="0"/>
      <w:marBottom w:val="0"/>
      <w:divBdr>
        <w:top w:val="none" w:sz="0" w:space="0" w:color="auto"/>
        <w:left w:val="none" w:sz="0" w:space="0" w:color="auto"/>
        <w:bottom w:val="none" w:sz="0" w:space="0" w:color="auto"/>
        <w:right w:val="none" w:sz="0" w:space="0" w:color="auto"/>
      </w:divBdr>
    </w:div>
    <w:div w:id="1830094216">
      <w:bodyDiv w:val="1"/>
      <w:marLeft w:val="0"/>
      <w:marRight w:val="0"/>
      <w:marTop w:val="0"/>
      <w:marBottom w:val="0"/>
      <w:divBdr>
        <w:top w:val="none" w:sz="0" w:space="0" w:color="auto"/>
        <w:left w:val="none" w:sz="0" w:space="0" w:color="auto"/>
        <w:bottom w:val="none" w:sz="0" w:space="0" w:color="auto"/>
        <w:right w:val="none" w:sz="0" w:space="0" w:color="auto"/>
      </w:divBdr>
    </w:div>
    <w:div w:id="1834098939">
      <w:bodyDiv w:val="1"/>
      <w:marLeft w:val="0"/>
      <w:marRight w:val="0"/>
      <w:marTop w:val="0"/>
      <w:marBottom w:val="0"/>
      <w:divBdr>
        <w:top w:val="none" w:sz="0" w:space="0" w:color="auto"/>
        <w:left w:val="none" w:sz="0" w:space="0" w:color="auto"/>
        <w:bottom w:val="none" w:sz="0" w:space="0" w:color="auto"/>
        <w:right w:val="none" w:sz="0" w:space="0" w:color="auto"/>
      </w:divBdr>
    </w:div>
    <w:div w:id="1835608714">
      <w:bodyDiv w:val="1"/>
      <w:marLeft w:val="0"/>
      <w:marRight w:val="0"/>
      <w:marTop w:val="0"/>
      <w:marBottom w:val="0"/>
      <w:divBdr>
        <w:top w:val="none" w:sz="0" w:space="0" w:color="auto"/>
        <w:left w:val="none" w:sz="0" w:space="0" w:color="auto"/>
        <w:bottom w:val="none" w:sz="0" w:space="0" w:color="auto"/>
        <w:right w:val="none" w:sz="0" w:space="0" w:color="auto"/>
      </w:divBdr>
    </w:div>
    <w:div w:id="1835610827">
      <w:bodyDiv w:val="1"/>
      <w:marLeft w:val="0"/>
      <w:marRight w:val="0"/>
      <w:marTop w:val="0"/>
      <w:marBottom w:val="0"/>
      <w:divBdr>
        <w:top w:val="none" w:sz="0" w:space="0" w:color="auto"/>
        <w:left w:val="none" w:sz="0" w:space="0" w:color="auto"/>
        <w:bottom w:val="none" w:sz="0" w:space="0" w:color="auto"/>
        <w:right w:val="none" w:sz="0" w:space="0" w:color="auto"/>
      </w:divBdr>
    </w:div>
    <w:div w:id="1839076421">
      <w:bodyDiv w:val="1"/>
      <w:marLeft w:val="0"/>
      <w:marRight w:val="0"/>
      <w:marTop w:val="0"/>
      <w:marBottom w:val="0"/>
      <w:divBdr>
        <w:top w:val="none" w:sz="0" w:space="0" w:color="auto"/>
        <w:left w:val="none" w:sz="0" w:space="0" w:color="auto"/>
        <w:bottom w:val="none" w:sz="0" w:space="0" w:color="auto"/>
        <w:right w:val="none" w:sz="0" w:space="0" w:color="auto"/>
      </w:divBdr>
    </w:div>
    <w:div w:id="1844276451">
      <w:bodyDiv w:val="1"/>
      <w:marLeft w:val="0"/>
      <w:marRight w:val="0"/>
      <w:marTop w:val="0"/>
      <w:marBottom w:val="0"/>
      <w:divBdr>
        <w:top w:val="none" w:sz="0" w:space="0" w:color="auto"/>
        <w:left w:val="none" w:sz="0" w:space="0" w:color="auto"/>
        <w:bottom w:val="none" w:sz="0" w:space="0" w:color="auto"/>
        <w:right w:val="none" w:sz="0" w:space="0" w:color="auto"/>
      </w:divBdr>
    </w:div>
    <w:div w:id="1850221163">
      <w:bodyDiv w:val="1"/>
      <w:marLeft w:val="0"/>
      <w:marRight w:val="0"/>
      <w:marTop w:val="0"/>
      <w:marBottom w:val="0"/>
      <w:divBdr>
        <w:top w:val="none" w:sz="0" w:space="0" w:color="auto"/>
        <w:left w:val="none" w:sz="0" w:space="0" w:color="auto"/>
        <w:bottom w:val="none" w:sz="0" w:space="0" w:color="auto"/>
        <w:right w:val="none" w:sz="0" w:space="0" w:color="auto"/>
      </w:divBdr>
    </w:div>
    <w:div w:id="1850825179">
      <w:bodyDiv w:val="1"/>
      <w:marLeft w:val="0"/>
      <w:marRight w:val="0"/>
      <w:marTop w:val="0"/>
      <w:marBottom w:val="0"/>
      <w:divBdr>
        <w:top w:val="none" w:sz="0" w:space="0" w:color="auto"/>
        <w:left w:val="none" w:sz="0" w:space="0" w:color="auto"/>
        <w:bottom w:val="none" w:sz="0" w:space="0" w:color="auto"/>
        <w:right w:val="none" w:sz="0" w:space="0" w:color="auto"/>
      </w:divBdr>
    </w:div>
    <w:div w:id="1851213958">
      <w:bodyDiv w:val="1"/>
      <w:marLeft w:val="0"/>
      <w:marRight w:val="0"/>
      <w:marTop w:val="0"/>
      <w:marBottom w:val="0"/>
      <w:divBdr>
        <w:top w:val="none" w:sz="0" w:space="0" w:color="auto"/>
        <w:left w:val="none" w:sz="0" w:space="0" w:color="auto"/>
        <w:bottom w:val="none" w:sz="0" w:space="0" w:color="auto"/>
        <w:right w:val="none" w:sz="0" w:space="0" w:color="auto"/>
      </w:divBdr>
    </w:div>
    <w:div w:id="1853452894">
      <w:bodyDiv w:val="1"/>
      <w:marLeft w:val="0"/>
      <w:marRight w:val="0"/>
      <w:marTop w:val="0"/>
      <w:marBottom w:val="0"/>
      <w:divBdr>
        <w:top w:val="none" w:sz="0" w:space="0" w:color="auto"/>
        <w:left w:val="none" w:sz="0" w:space="0" w:color="auto"/>
        <w:bottom w:val="none" w:sz="0" w:space="0" w:color="auto"/>
        <w:right w:val="none" w:sz="0" w:space="0" w:color="auto"/>
      </w:divBdr>
    </w:div>
    <w:div w:id="1858889806">
      <w:bodyDiv w:val="1"/>
      <w:marLeft w:val="0"/>
      <w:marRight w:val="0"/>
      <w:marTop w:val="0"/>
      <w:marBottom w:val="0"/>
      <w:divBdr>
        <w:top w:val="none" w:sz="0" w:space="0" w:color="auto"/>
        <w:left w:val="none" w:sz="0" w:space="0" w:color="auto"/>
        <w:bottom w:val="none" w:sz="0" w:space="0" w:color="auto"/>
        <w:right w:val="none" w:sz="0" w:space="0" w:color="auto"/>
      </w:divBdr>
    </w:div>
    <w:div w:id="1862821659">
      <w:bodyDiv w:val="1"/>
      <w:marLeft w:val="0"/>
      <w:marRight w:val="0"/>
      <w:marTop w:val="0"/>
      <w:marBottom w:val="0"/>
      <w:divBdr>
        <w:top w:val="none" w:sz="0" w:space="0" w:color="auto"/>
        <w:left w:val="none" w:sz="0" w:space="0" w:color="auto"/>
        <w:bottom w:val="none" w:sz="0" w:space="0" w:color="auto"/>
        <w:right w:val="none" w:sz="0" w:space="0" w:color="auto"/>
      </w:divBdr>
    </w:div>
    <w:div w:id="1866747481">
      <w:bodyDiv w:val="1"/>
      <w:marLeft w:val="0"/>
      <w:marRight w:val="0"/>
      <w:marTop w:val="0"/>
      <w:marBottom w:val="0"/>
      <w:divBdr>
        <w:top w:val="none" w:sz="0" w:space="0" w:color="auto"/>
        <w:left w:val="none" w:sz="0" w:space="0" w:color="auto"/>
        <w:bottom w:val="none" w:sz="0" w:space="0" w:color="auto"/>
        <w:right w:val="none" w:sz="0" w:space="0" w:color="auto"/>
      </w:divBdr>
    </w:div>
    <w:div w:id="1870215672">
      <w:bodyDiv w:val="1"/>
      <w:marLeft w:val="0"/>
      <w:marRight w:val="0"/>
      <w:marTop w:val="0"/>
      <w:marBottom w:val="0"/>
      <w:divBdr>
        <w:top w:val="none" w:sz="0" w:space="0" w:color="auto"/>
        <w:left w:val="none" w:sz="0" w:space="0" w:color="auto"/>
        <w:bottom w:val="none" w:sz="0" w:space="0" w:color="auto"/>
        <w:right w:val="none" w:sz="0" w:space="0" w:color="auto"/>
      </w:divBdr>
    </w:div>
    <w:div w:id="1878395080">
      <w:bodyDiv w:val="1"/>
      <w:marLeft w:val="0"/>
      <w:marRight w:val="0"/>
      <w:marTop w:val="0"/>
      <w:marBottom w:val="0"/>
      <w:divBdr>
        <w:top w:val="none" w:sz="0" w:space="0" w:color="auto"/>
        <w:left w:val="none" w:sz="0" w:space="0" w:color="auto"/>
        <w:bottom w:val="none" w:sz="0" w:space="0" w:color="auto"/>
        <w:right w:val="none" w:sz="0" w:space="0" w:color="auto"/>
      </w:divBdr>
    </w:div>
    <w:div w:id="1886522987">
      <w:bodyDiv w:val="1"/>
      <w:marLeft w:val="0"/>
      <w:marRight w:val="0"/>
      <w:marTop w:val="0"/>
      <w:marBottom w:val="0"/>
      <w:divBdr>
        <w:top w:val="none" w:sz="0" w:space="0" w:color="auto"/>
        <w:left w:val="none" w:sz="0" w:space="0" w:color="auto"/>
        <w:bottom w:val="none" w:sz="0" w:space="0" w:color="auto"/>
        <w:right w:val="none" w:sz="0" w:space="0" w:color="auto"/>
      </w:divBdr>
    </w:div>
    <w:div w:id="1887640387">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92307412">
      <w:bodyDiv w:val="1"/>
      <w:marLeft w:val="0"/>
      <w:marRight w:val="0"/>
      <w:marTop w:val="0"/>
      <w:marBottom w:val="0"/>
      <w:divBdr>
        <w:top w:val="none" w:sz="0" w:space="0" w:color="auto"/>
        <w:left w:val="none" w:sz="0" w:space="0" w:color="auto"/>
        <w:bottom w:val="none" w:sz="0" w:space="0" w:color="auto"/>
        <w:right w:val="none" w:sz="0" w:space="0" w:color="auto"/>
      </w:divBdr>
    </w:div>
    <w:div w:id="1892376069">
      <w:bodyDiv w:val="1"/>
      <w:marLeft w:val="0"/>
      <w:marRight w:val="0"/>
      <w:marTop w:val="0"/>
      <w:marBottom w:val="0"/>
      <w:divBdr>
        <w:top w:val="none" w:sz="0" w:space="0" w:color="auto"/>
        <w:left w:val="none" w:sz="0" w:space="0" w:color="auto"/>
        <w:bottom w:val="none" w:sz="0" w:space="0" w:color="auto"/>
        <w:right w:val="none" w:sz="0" w:space="0" w:color="auto"/>
      </w:divBdr>
    </w:div>
    <w:div w:id="1896618541">
      <w:bodyDiv w:val="1"/>
      <w:marLeft w:val="0"/>
      <w:marRight w:val="0"/>
      <w:marTop w:val="0"/>
      <w:marBottom w:val="0"/>
      <w:divBdr>
        <w:top w:val="none" w:sz="0" w:space="0" w:color="auto"/>
        <w:left w:val="none" w:sz="0" w:space="0" w:color="auto"/>
        <w:bottom w:val="none" w:sz="0" w:space="0" w:color="auto"/>
        <w:right w:val="none" w:sz="0" w:space="0" w:color="auto"/>
      </w:divBdr>
    </w:div>
    <w:div w:id="1898664544">
      <w:bodyDiv w:val="1"/>
      <w:marLeft w:val="0"/>
      <w:marRight w:val="0"/>
      <w:marTop w:val="0"/>
      <w:marBottom w:val="0"/>
      <w:divBdr>
        <w:top w:val="none" w:sz="0" w:space="0" w:color="auto"/>
        <w:left w:val="none" w:sz="0" w:space="0" w:color="auto"/>
        <w:bottom w:val="none" w:sz="0" w:space="0" w:color="auto"/>
        <w:right w:val="none" w:sz="0" w:space="0" w:color="auto"/>
      </w:divBdr>
    </w:div>
    <w:div w:id="1899437144">
      <w:bodyDiv w:val="1"/>
      <w:marLeft w:val="0"/>
      <w:marRight w:val="0"/>
      <w:marTop w:val="0"/>
      <w:marBottom w:val="0"/>
      <w:divBdr>
        <w:top w:val="none" w:sz="0" w:space="0" w:color="auto"/>
        <w:left w:val="none" w:sz="0" w:space="0" w:color="auto"/>
        <w:bottom w:val="none" w:sz="0" w:space="0" w:color="auto"/>
        <w:right w:val="none" w:sz="0" w:space="0" w:color="auto"/>
      </w:divBdr>
    </w:div>
    <w:div w:id="1902476840">
      <w:bodyDiv w:val="1"/>
      <w:marLeft w:val="0"/>
      <w:marRight w:val="0"/>
      <w:marTop w:val="0"/>
      <w:marBottom w:val="0"/>
      <w:divBdr>
        <w:top w:val="none" w:sz="0" w:space="0" w:color="auto"/>
        <w:left w:val="none" w:sz="0" w:space="0" w:color="auto"/>
        <w:bottom w:val="none" w:sz="0" w:space="0" w:color="auto"/>
        <w:right w:val="none" w:sz="0" w:space="0" w:color="auto"/>
      </w:divBdr>
    </w:div>
    <w:div w:id="1906913045">
      <w:bodyDiv w:val="1"/>
      <w:marLeft w:val="0"/>
      <w:marRight w:val="0"/>
      <w:marTop w:val="0"/>
      <w:marBottom w:val="0"/>
      <w:divBdr>
        <w:top w:val="none" w:sz="0" w:space="0" w:color="auto"/>
        <w:left w:val="none" w:sz="0" w:space="0" w:color="auto"/>
        <w:bottom w:val="none" w:sz="0" w:space="0" w:color="auto"/>
        <w:right w:val="none" w:sz="0" w:space="0" w:color="auto"/>
      </w:divBdr>
    </w:div>
    <w:div w:id="1909654355">
      <w:bodyDiv w:val="1"/>
      <w:marLeft w:val="0"/>
      <w:marRight w:val="0"/>
      <w:marTop w:val="0"/>
      <w:marBottom w:val="0"/>
      <w:divBdr>
        <w:top w:val="none" w:sz="0" w:space="0" w:color="auto"/>
        <w:left w:val="none" w:sz="0" w:space="0" w:color="auto"/>
        <w:bottom w:val="none" w:sz="0" w:space="0" w:color="auto"/>
        <w:right w:val="none" w:sz="0" w:space="0" w:color="auto"/>
      </w:divBdr>
    </w:div>
    <w:div w:id="1910798478">
      <w:bodyDiv w:val="1"/>
      <w:marLeft w:val="0"/>
      <w:marRight w:val="0"/>
      <w:marTop w:val="0"/>
      <w:marBottom w:val="0"/>
      <w:divBdr>
        <w:top w:val="none" w:sz="0" w:space="0" w:color="auto"/>
        <w:left w:val="none" w:sz="0" w:space="0" w:color="auto"/>
        <w:bottom w:val="none" w:sz="0" w:space="0" w:color="auto"/>
        <w:right w:val="none" w:sz="0" w:space="0" w:color="auto"/>
      </w:divBdr>
    </w:div>
    <w:div w:id="1911381112">
      <w:bodyDiv w:val="1"/>
      <w:marLeft w:val="0"/>
      <w:marRight w:val="0"/>
      <w:marTop w:val="0"/>
      <w:marBottom w:val="0"/>
      <w:divBdr>
        <w:top w:val="none" w:sz="0" w:space="0" w:color="auto"/>
        <w:left w:val="none" w:sz="0" w:space="0" w:color="auto"/>
        <w:bottom w:val="none" w:sz="0" w:space="0" w:color="auto"/>
        <w:right w:val="none" w:sz="0" w:space="0" w:color="auto"/>
      </w:divBdr>
    </w:div>
    <w:div w:id="1917010980">
      <w:bodyDiv w:val="1"/>
      <w:marLeft w:val="0"/>
      <w:marRight w:val="0"/>
      <w:marTop w:val="0"/>
      <w:marBottom w:val="0"/>
      <w:divBdr>
        <w:top w:val="none" w:sz="0" w:space="0" w:color="auto"/>
        <w:left w:val="none" w:sz="0" w:space="0" w:color="auto"/>
        <w:bottom w:val="none" w:sz="0" w:space="0" w:color="auto"/>
        <w:right w:val="none" w:sz="0" w:space="0" w:color="auto"/>
      </w:divBdr>
    </w:div>
    <w:div w:id="1918125490">
      <w:bodyDiv w:val="1"/>
      <w:marLeft w:val="0"/>
      <w:marRight w:val="0"/>
      <w:marTop w:val="0"/>
      <w:marBottom w:val="0"/>
      <w:divBdr>
        <w:top w:val="none" w:sz="0" w:space="0" w:color="auto"/>
        <w:left w:val="none" w:sz="0" w:space="0" w:color="auto"/>
        <w:bottom w:val="none" w:sz="0" w:space="0" w:color="auto"/>
        <w:right w:val="none" w:sz="0" w:space="0" w:color="auto"/>
      </w:divBdr>
    </w:div>
    <w:div w:id="1922642922">
      <w:bodyDiv w:val="1"/>
      <w:marLeft w:val="0"/>
      <w:marRight w:val="0"/>
      <w:marTop w:val="0"/>
      <w:marBottom w:val="0"/>
      <w:divBdr>
        <w:top w:val="none" w:sz="0" w:space="0" w:color="auto"/>
        <w:left w:val="none" w:sz="0" w:space="0" w:color="auto"/>
        <w:bottom w:val="none" w:sz="0" w:space="0" w:color="auto"/>
        <w:right w:val="none" w:sz="0" w:space="0" w:color="auto"/>
      </w:divBdr>
    </w:div>
    <w:div w:id="1922835212">
      <w:bodyDiv w:val="1"/>
      <w:marLeft w:val="0"/>
      <w:marRight w:val="0"/>
      <w:marTop w:val="0"/>
      <w:marBottom w:val="0"/>
      <w:divBdr>
        <w:top w:val="none" w:sz="0" w:space="0" w:color="auto"/>
        <w:left w:val="none" w:sz="0" w:space="0" w:color="auto"/>
        <w:bottom w:val="none" w:sz="0" w:space="0" w:color="auto"/>
        <w:right w:val="none" w:sz="0" w:space="0" w:color="auto"/>
      </w:divBdr>
    </w:div>
    <w:div w:id="1929078677">
      <w:bodyDiv w:val="1"/>
      <w:marLeft w:val="0"/>
      <w:marRight w:val="0"/>
      <w:marTop w:val="0"/>
      <w:marBottom w:val="0"/>
      <w:divBdr>
        <w:top w:val="none" w:sz="0" w:space="0" w:color="auto"/>
        <w:left w:val="none" w:sz="0" w:space="0" w:color="auto"/>
        <w:bottom w:val="none" w:sz="0" w:space="0" w:color="auto"/>
        <w:right w:val="none" w:sz="0" w:space="0" w:color="auto"/>
      </w:divBdr>
    </w:div>
    <w:div w:id="1940988320">
      <w:bodyDiv w:val="1"/>
      <w:marLeft w:val="0"/>
      <w:marRight w:val="0"/>
      <w:marTop w:val="0"/>
      <w:marBottom w:val="0"/>
      <w:divBdr>
        <w:top w:val="none" w:sz="0" w:space="0" w:color="auto"/>
        <w:left w:val="none" w:sz="0" w:space="0" w:color="auto"/>
        <w:bottom w:val="none" w:sz="0" w:space="0" w:color="auto"/>
        <w:right w:val="none" w:sz="0" w:space="0" w:color="auto"/>
      </w:divBdr>
    </w:div>
    <w:div w:id="1942488810">
      <w:bodyDiv w:val="1"/>
      <w:marLeft w:val="0"/>
      <w:marRight w:val="0"/>
      <w:marTop w:val="0"/>
      <w:marBottom w:val="0"/>
      <w:divBdr>
        <w:top w:val="none" w:sz="0" w:space="0" w:color="auto"/>
        <w:left w:val="none" w:sz="0" w:space="0" w:color="auto"/>
        <w:bottom w:val="none" w:sz="0" w:space="0" w:color="auto"/>
        <w:right w:val="none" w:sz="0" w:space="0" w:color="auto"/>
      </w:divBdr>
    </w:div>
    <w:div w:id="1943561867">
      <w:bodyDiv w:val="1"/>
      <w:marLeft w:val="0"/>
      <w:marRight w:val="0"/>
      <w:marTop w:val="0"/>
      <w:marBottom w:val="0"/>
      <w:divBdr>
        <w:top w:val="none" w:sz="0" w:space="0" w:color="auto"/>
        <w:left w:val="none" w:sz="0" w:space="0" w:color="auto"/>
        <w:bottom w:val="none" w:sz="0" w:space="0" w:color="auto"/>
        <w:right w:val="none" w:sz="0" w:space="0" w:color="auto"/>
      </w:divBdr>
    </w:div>
    <w:div w:id="1945765914">
      <w:bodyDiv w:val="1"/>
      <w:marLeft w:val="0"/>
      <w:marRight w:val="0"/>
      <w:marTop w:val="0"/>
      <w:marBottom w:val="0"/>
      <w:divBdr>
        <w:top w:val="none" w:sz="0" w:space="0" w:color="auto"/>
        <w:left w:val="none" w:sz="0" w:space="0" w:color="auto"/>
        <w:bottom w:val="none" w:sz="0" w:space="0" w:color="auto"/>
        <w:right w:val="none" w:sz="0" w:space="0" w:color="auto"/>
      </w:divBdr>
    </w:div>
    <w:div w:id="1948585333">
      <w:bodyDiv w:val="1"/>
      <w:marLeft w:val="0"/>
      <w:marRight w:val="0"/>
      <w:marTop w:val="0"/>
      <w:marBottom w:val="0"/>
      <w:divBdr>
        <w:top w:val="none" w:sz="0" w:space="0" w:color="auto"/>
        <w:left w:val="none" w:sz="0" w:space="0" w:color="auto"/>
        <w:bottom w:val="none" w:sz="0" w:space="0" w:color="auto"/>
        <w:right w:val="none" w:sz="0" w:space="0" w:color="auto"/>
      </w:divBdr>
    </w:div>
    <w:div w:id="1949265565">
      <w:bodyDiv w:val="1"/>
      <w:marLeft w:val="0"/>
      <w:marRight w:val="0"/>
      <w:marTop w:val="0"/>
      <w:marBottom w:val="0"/>
      <w:divBdr>
        <w:top w:val="none" w:sz="0" w:space="0" w:color="auto"/>
        <w:left w:val="none" w:sz="0" w:space="0" w:color="auto"/>
        <w:bottom w:val="none" w:sz="0" w:space="0" w:color="auto"/>
        <w:right w:val="none" w:sz="0" w:space="0" w:color="auto"/>
      </w:divBdr>
    </w:div>
    <w:div w:id="1953126072">
      <w:bodyDiv w:val="1"/>
      <w:marLeft w:val="0"/>
      <w:marRight w:val="0"/>
      <w:marTop w:val="0"/>
      <w:marBottom w:val="0"/>
      <w:divBdr>
        <w:top w:val="none" w:sz="0" w:space="0" w:color="auto"/>
        <w:left w:val="none" w:sz="0" w:space="0" w:color="auto"/>
        <w:bottom w:val="none" w:sz="0" w:space="0" w:color="auto"/>
        <w:right w:val="none" w:sz="0" w:space="0" w:color="auto"/>
      </w:divBdr>
    </w:div>
    <w:div w:id="1953584513">
      <w:bodyDiv w:val="1"/>
      <w:marLeft w:val="0"/>
      <w:marRight w:val="0"/>
      <w:marTop w:val="0"/>
      <w:marBottom w:val="0"/>
      <w:divBdr>
        <w:top w:val="none" w:sz="0" w:space="0" w:color="auto"/>
        <w:left w:val="none" w:sz="0" w:space="0" w:color="auto"/>
        <w:bottom w:val="none" w:sz="0" w:space="0" w:color="auto"/>
        <w:right w:val="none" w:sz="0" w:space="0" w:color="auto"/>
      </w:divBdr>
    </w:div>
    <w:div w:id="1954556839">
      <w:bodyDiv w:val="1"/>
      <w:marLeft w:val="0"/>
      <w:marRight w:val="0"/>
      <w:marTop w:val="0"/>
      <w:marBottom w:val="0"/>
      <w:divBdr>
        <w:top w:val="none" w:sz="0" w:space="0" w:color="auto"/>
        <w:left w:val="none" w:sz="0" w:space="0" w:color="auto"/>
        <w:bottom w:val="none" w:sz="0" w:space="0" w:color="auto"/>
        <w:right w:val="none" w:sz="0" w:space="0" w:color="auto"/>
      </w:divBdr>
    </w:div>
    <w:div w:id="1960261271">
      <w:bodyDiv w:val="1"/>
      <w:marLeft w:val="0"/>
      <w:marRight w:val="0"/>
      <w:marTop w:val="0"/>
      <w:marBottom w:val="0"/>
      <w:divBdr>
        <w:top w:val="none" w:sz="0" w:space="0" w:color="auto"/>
        <w:left w:val="none" w:sz="0" w:space="0" w:color="auto"/>
        <w:bottom w:val="none" w:sz="0" w:space="0" w:color="auto"/>
        <w:right w:val="none" w:sz="0" w:space="0" w:color="auto"/>
      </w:divBdr>
    </w:div>
    <w:div w:id="1966933762">
      <w:bodyDiv w:val="1"/>
      <w:marLeft w:val="0"/>
      <w:marRight w:val="0"/>
      <w:marTop w:val="0"/>
      <w:marBottom w:val="0"/>
      <w:divBdr>
        <w:top w:val="none" w:sz="0" w:space="0" w:color="auto"/>
        <w:left w:val="none" w:sz="0" w:space="0" w:color="auto"/>
        <w:bottom w:val="none" w:sz="0" w:space="0" w:color="auto"/>
        <w:right w:val="none" w:sz="0" w:space="0" w:color="auto"/>
      </w:divBdr>
    </w:div>
    <w:div w:id="1968201157">
      <w:bodyDiv w:val="1"/>
      <w:marLeft w:val="0"/>
      <w:marRight w:val="0"/>
      <w:marTop w:val="0"/>
      <w:marBottom w:val="0"/>
      <w:divBdr>
        <w:top w:val="none" w:sz="0" w:space="0" w:color="auto"/>
        <w:left w:val="none" w:sz="0" w:space="0" w:color="auto"/>
        <w:bottom w:val="none" w:sz="0" w:space="0" w:color="auto"/>
        <w:right w:val="none" w:sz="0" w:space="0" w:color="auto"/>
      </w:divBdr>
    </w:div>
    <w:div w:id="1970747647">
      <w:bodyDiv w:val="1"/>
      <w:marLeft w:val="0"/>
      <w:marRight w:val="0"/>
      <w:marTop w:val="0"/>
      <w:marBottom w:val="0"/>
      <w:divBdr>
        <w:top w:val="none" w:sz="0" w:space="0" w:color="auto"/>
        <w:left w:val="none" w:sz="0" w:space="0" w:color="auto"/>
        <w:bottom w:val="none" w:sz="0" w:space="0" w:color="auto"/>
        <w:right w:val="none" w:sz="0" w:space="0" w:color="auto"/>
      </w:divBdr>
    </w:div>
    <w:div w:id="1972401522">
      <w:bodyDiv w:val="1"/>
      <w:marLeft w:val="0"/>
      <w:marRight w:val="0"/>
      <w:marTop w:val="0"/>
      <w:marBottom w:val="0"/>
      <w:divBdr>
        <w:top w:val="none" w:sz="0" w:space="0" w:color="auto"/>
        <w:left w:val="none" w:sz="0" w:space="0" w:color="auto"/>
        <w:bottom w:val="none" w:sz="0" w:space="0" w:color="auto"/>
        <w:right w:val="none" w:sz="0" w:space="0" w:color="auto"/>
      </w:divBdr>
    </w:div>
    <w:div w:id="1973436783">
      <w:bodyDiv w:val="1"/>
      <w:marLeft w:val="0"/>
      <w:marRight w:val="0"/>
      <w:marTop w:val="0"/>
      <w:marBottom w:val="0"/>
      <w:divBdr>
        <w:top w:val="none" w:sz="0" w:space="0" w:color="auto"/>
        <w:left w:val="none" w:sz="0" w:space="0" w:color="auto"/>
        <w:bottom w:val="none" w:sz="0" w:space="0" w:color="auto"/>
        <w:right w:val="none" w:sz="0" w:space="0" w:color="auto"/>
      </w:divBdr>
    </w:div>
    <w:div w:id="1977099539">
      <w:bodyDiv w:val="1"/>
      <w:marLeft w:val="0"/>
      <w:marRight w:val="0"/>
      <w:marTop w:val="0"/>
      <w:marBottom w:val="0"/>
      <w:divBdr>
        <w:top w:val="none" w:sz="0" w:space="0" w:color="auto"/>
        <w:left w:val="none" w:sz="0" w:space="0" w:color="auto"/>
        <w:bottom w:val="none" w:sz="0" w:space="0" w:color="auto"/>
        <w:right w:val="none" w:sz="0" w:space="0" w:color="auto"/>
      </w:divBdr>
    </w:div>
    <w:div w:id="1977836679">
      <w:bodyDiv w:val="1"/>
      <w:marLeft w:val="0"/>
      <w:marRight w:val="0"/>
      <w:marTop w:val="0"/>
      <w:marBottom w:val="0"/>
      <w:divBdr>
        <w:top w:val="none" w:sz="0" w:space="0" w:color="auto"/>
        <w:left w:val="none" w:sz="0" w:space="0" w:color="auto"/>
        <w:bottom w:val="none" w:sz="0" w:space="0" w:color="auto"/>
        <w:right w:val="none" w:sz="0" w:space="0" w:color="auto"/>
      </w:divBdr>
    </w:div>
    <w:div w:id="1978795639">
      <w:bodyDiv w:val="1"/>
      <w:marLeft w:val="0"/>
      <w:marRight w:val="0"/>
      <w:marTop w:val="0"/>
      <w:marBottom w:val="0"/>
      <w:divBdr>
        <w:top w:val="none" w:sz="0" w:space="0" w:color="auto"/>
        <w:left w:val="none" w:sz="0" w:space="0" w:color="auto"/>
        <w:bottom w:val="none" w:sz="0" w:space="0" w:color="auto"/>
        <w:right w:val="none" w:sz="0" w:space="0" w:color="auto"/>
      </w:divBdr>
    </w:div>
    <w:div w:id="1980987616">
      <w:bodyDiv w:val="1"/>
      <w:marLeft w:val="0"/>
      <w:marRight w:val="0"/>
      <w:marTop w:val="0"/>
      <w:marBottom w:val="0"/>
      <w:divBdr>
        <w:top w:val="none" w:sz="0" w:space="0" w:color="auto"/>
        <w:left w:val="none" w:sz="0" w:space="0" w:color="auto"/>
        <w:bottom w:val="none" w:sz="0" w:space="0" w:color="auto"/>
        <w:right w:val="none" w:sz="0" w:space="0" w:color="auto"/>
      </w:divBdr>
    </w:div>
    <w:div w:id="1983610371">
      <w:bodyDiv w:val="1"/>
      <w:marLeft w:val="0"/>
      <w:marRight w:val="0"/>
      <w:marTop w:val="0"/>
      <w:marBottom w:val="0"/>
      <w:divBdr>
        <w:top w:val="none" w:sz="0" w:space="0" w:color="auto"/>
        <w:left w:val="none" w:sz="0" w:space="0" w:color="auto"/>
        <w:bottom w:val="none" w:sz="0" w:space="0" w:color="auto"/>
        <w:right w:val="none" w:sz="0" w:space="0" w:color="auto"/>
      </w:divBdr>
    </w:div>
    <w:div w:id="1986353755">
      <w:bodyDiv w:val="1"/>
      <w:marLeft w:val="0"/>
      <w:marRight w:val="0"/>
      <w:marTop w:val="0"/>
      <w:marBottom w:val="0"/>
      <w:divBdr>
        <w:top w:val="none" w:sz="0" w:space="0" w:color="auto"/>
        <w:left w:val="none" w:sz="0" w:space="0" w:color="auto"/>
        <w:bottom w:val="none" w:sz="0" w:space="0" w:color="auto"/>
        <w:right w:val="none" w:sz="0" w:space="0" w:color="auto"/>
      </w:divBdr>
    </w:div>
    <w:div w:id="1991129884">
      <w:bodyDiv w:val="1"/>
      <w:marLeft w:val="0"/>
      <w:marRight w:val="0"/>
      <w:marTop w:val="0"/>
      <w:marBottom w:val="0"/>
      <w:divBdr>
        <w:top w:val="none" w:sz="0" w:space="0" w:color="auto"/>
        <w:left w:val="none" w:sz="0" w:space="0" w:color="auto"/>
        <w:bottom w:val="none" w:sz="0" w:space="0" w:color="auto"/>
        <w:right w:val="none" w:sz="0" w:space="0" w:color="auto"/>
      </w:divBdr>
    </w:div>
    <w:div w:id="1992556932">
      <w:bodyDiv w:val="1"/>
      <w:marLeft w:val="0"/>
      <w:marRight w:val="0"/>
      <w:marTop w:val="0"/>
      <w:marBottom w:val="0"/>
      <w:divBdr>
        <w:top w:val="none" w:sz="0" w:space="0" w:color="auto"/>
        <w:left w:val="none" w:sz="0" w:space="0" w:color="auto"/>
        <w:bottom w:val="none" w:sz="0" w:space="0" w:color="auto"/>
        <w:right w:val="none" w:sz="0" w:space="0" w:color="auto"/>
      </w:divBdr>
    </w:div>
    <w:div w:id="1994024315">
      <w:bodyDiv w:val="1"/>
      <w:marLeft w:val="0"/>
      <w:marRight w:val="0"/>
      <w:marTop w:val="0"/>
      <w:marBottom w:val="0"/>
      <w:divBdr>
        <w:top w:val="none" w:sz="0" w:space="0" w:color="auto"/>
        <w:left w:val="none" w:sz="0" w:space="0" w:color="auto"/>
        <w:bottom w:val="none" w:sz="0" w:space="0" w:color="auto"/>
        <w:right w:val="none" w:sz="0" w:space="0" w:color="auto"/>
      </w:divBdr>
    </w:div>
    <w:div w:id="1995062582">
      <w:bodyDiv w:val="1"/>
      <w:marLeft w:val="0"/>
      <w:marRight w:val="0"/>
      <w:marTop w:val="0"/>
      <w:marBottom w:val="0"/>
      <w:divBdr>
        <w:top w:val="none" w:sz="0" w:space="0" w:color="auto"/>
        <w:left w:val="none" w:sz="0" w:space="0" w:color="auto"/>
        <w:bottom w:val="none" w:sz="0" w:space="0" w:color="auto"/>
        <w:right w:val="none" w:sz="0" w:space="0" w:color="auto"/>
      </w:divBdr>
    </w:div>
    <w:div w:id="1999728780">
      <w:bodyDiv w:val="1"/>
      <w:marLeft w:val="0"/>
      <w:marRight w:val="0"/>
      <w:marTop w:val="0"/>
      <w:marBottom w:val="0"/>
      <w:divBdr>
        <w:top w:val="none" w:sz="0" w:space="0" w:color="auto"/>
        <w:left w:val="none" w:sz="0" w:space="0" w:color="auto"/>
        <w:bottom w:val="none" w:sz="0" w:space="0" w:color="auto"/>
        <w:right w:val="none" w:sz="0" w:space="0" w:color="auto"/>
      </w:divBdr>
    </w:div>
    <w:div w:id="2008556277">
      <w:bodyDiv w:val="1"/>
      <w:marLeft w:val="0"/>
      <w:marRight w:val="0"/>
      <w:marTop w:val="0"/>
      <w:marBottom w:val="0"/>
      <w:divBdr>
        <w:top w:val="none" w:sz="0" w:space="0" w:color="auto"/>
        <w:left w:val="none" w:sz="0" w:space="0" w:color="auto"/>
        <w:bottom w:val="none" w:sz="0" w:space="0" w:color="auto"/>
        <w:right w:val="none" w:sz="0" w:space="0" w:color="auto"/>
      </w:divBdr>
    </w:div>
    <w:div w:id="2017926088">
      <w:bodyDiv w:val="1"/>
      <w:marLeft w:val="0"/>
      <w:marRight w:val="0"/>
      <w:marTop w:val="0"/>
      <w:marBottom w:val="0"/>
      <w:divBdr>
        <w:top w:val="none" w:sz="0" w:space="0" w:color="auto"/>
        <w:left w:val="none" w:sz="0" w:space="0" w:color="auto"/>
        <w:bottom w:val="none" w:sz="0" w:space="0" w:color="auto"/>
        <w:right w:val="none" w:sz="0" w:space="0" w:color="auto"/>
      </w:divBdr>
    </w:div>
    <w:div w:id="2021085613">
      <w:bodyDiv w:val="1"/>
      <w:marLeft w:val="0"/>
      <w:marRight w:val="0"/>
      <w:marTop w:val="0"/>
      <w:marBottom w:val="0"/>
      <w:divBdr>
        <w:top w:val="none" w:sz="0" w:space="0" w:color="auto"/>
        <w:left w:val="none" w:sz="0" w:space="0" w:color="auto"/>
        <w:bottom w:val="none" w:sz="0" w:space="0" w:color="auto"/>
        <w:right w:val="none" w:sz="0" w:space="0" w:color="auto"/>
      </w:divBdr>
    </w:div>
    <w:div w:id="2021396944">
      <w:bodyDiv w:val="1"/>
      <w:marLeft w:val="0"/>
      <w:marRight w:val="0"/>
      <w:marTop w:val="0"/>
      <w:marBottom w:val="0"/>
      <w:divBdr>
        <w:top w:val="none" w:sz="0" w:space="0" w:color="auto"/>
        <w:left w:val="none" w:sz="0" w:space="0" w:color="auto"/>
        <w:bottom w:val="none" w:sz="0" w:space="0" w:color="auto"/>
        <w:right w:val="none" w:sz="0" w:space="0" w:color="auto"/>
      </w:divBdr>
    </w:div>
    <w:div w:id="2032294889">
      <w:bodyDiv w:val="1"/>
      <w:marLeft w:val="0"/>
      <w:marRight w:val="0"/>
      <w:marTop w:val="0"/>
      <w:marBottom w:val="0"/>
      <w:divBdr>
        <w:top w:val="none" w:sz="0" w:space="0" w:color="auto"/>
        <w:left w:val="none" w:sz="0" w:space="0" w:color="auto"/>
        <w:bottom w:val="none" w:sz="0" w:space="0" w:color="auto"/>
        <w:right w:val="none" w:sz="0" w:space="0" w:color="auto"/>
      </w:divBdr>
    </w:div>
    <w:div w:id="2038701784">
      <w:bodyDiv w:val="1"/>
      <w:marLeft w:val="0"/>
      <w:marRight w:val="0"/>
      <w:marTop w:val="0"/>
      <w:marBottom w:val="0"/>
      <w:divBdr>
        <w:top w:val="none" w:sz="0" w:space="0" w:color="auto"/>
        <w:left w:val="none" w:sz="0" w:space="0" w:color="auto"/>
        <w:bottom w:val="none" w:sz="0" w:space="0" w:color="auto"/>
        <w:right w:val="none" w:sz="0" w:space="0" w:color="auto"/>
      </w:divBdr>
    </w:div>
    <w:div w:id="2038970589">
      <w:bodyDiv w:val="1"/>
      <w:marLeft w:val="0"/>
      <w:marRight w:val="0"/>
      <w:marTop w:val="0"/>
      <w:marBottom w:val="0"/>
      <w:divBdr>
        <w:top w:val="none" w:sz="0" w:space="0" w:color="auto"/>
        <w:left w:val="none" w:sz="0" w:space="0" w:color="auto"/>
        <w:bottom w:val="none" w:sz="0" w:space="0" w:color="auto"/>
        <w:right w:val="none" w:sz="0" w:space="0" w:color="auto"/>
      </w:divBdr>
    </w:div>
    <w:div w:id="2040549377">
      <w:bodyDiv w:val="1"/>
      <w:marLeft w:val="0"/>
      <w:marRight w:val="0"/>
      <w:marTop w:val="0"/>
      <w:marBottom w:val="0"/>
      <w:divBdr>
        <w:top w:val="none" w:sz="0" w:space="0" w:color="auto"/>
        <w:left w:val="none" w:sz="0" w:space="0" w:color="auto"/>
        <w:bottom w:val="none" w:sz="0" w:space="0" w:color="auto"/>
        <w:right w:val="none" w:sz="0" w:space="0" w:color="auto"/>
      </w:divBdr>
    </w:div>
    <w:div w:id="2041274525">
      <w:bodyDiv w:val="1"/>
      <w:marLeft w:val="0"/>
      <w:marRight w:val="0"/>
      <w:marTop w:val="0"/>
      <w:marBottom w:val="0"/>
      <w:divBdr>
        <w:top w:val="none" w:sz="0" w:space="0" w:color="auto"/>
        <w:left w:val="none" w:sz="0" w:space="0" w:color="auto"/>
        <w:bottom w:val="none" w:sz="0" w:space="0" w:color="auto"/>
        <w:right w:val="none" w:sz="0" w:space="0" w:color="auto"/>
      </w:divBdr>
    </w:div>
    <w:div w:id="2041972882">
      <w:bodyDiv w:val="1"/>
      <w:marLeft w:val="0"/>
      <w:marRight w:val="0"/>
      <w:marTop w:val="0"/>
      <w:marBottom w:val="0"/>
      <w:divBdr>
        <w:top w:val="none" w:sz="0" w:space="0" w:color="auto"/>
        <w:left w:val="none" w:sz="0" w:space="0" w:color="auto"/>
        <w:bottom w:val="none" w:sz="0" w:space="0" w:color="auto"/>
        <w:right w:val="none" w:sz="0" w:space="0" w:color="auto"/>
      </w:divBdr>
    </w:div>
    <w:div w:id="2043550767">
      <w:bodyDiv w:val="1"/>
      <w:marLeft w:val="0"/>
      <w:marRight w:val="0"/>
      <w:marTop w:val="0"/>
      <w:marBottom w:val="0"/>
      <w:divBdr>
        <w:top w:val="none" w:sz="0" w:space="0" w:color="auto"/>
        <w:left w:val="none" w:sz="0" w:space="0" w:color="auto"/>
        <w:bottom w:val="none" w:sz="0" w:space="0" w:color="auto"/>
        <w:right w:val="none" w:sz="0" w:space="0" w:color="auto"/>
      </w:divBdr>
    </w:div>
    <w:div w:id="2043631653">
      <w:bodyDiv w:val="1"/>
      <w:marLeft w:val="0"/>
      <w:marRight w:val="0"/>
      <w:marTop w:val="0"/>
      <w:marBottom w:val="0"/>
      <w:divBdr>
        <w:top w:val="none" w:sz="0" w:space="0" w:color="auto"/>
        <w:left w:val="none" w:sz="0" w:space="0" w:color="auto"/>
        <w:bottom w:val="none" w:sz="0" w:space="0" w:color="auto"/>
        <w:right w:val="none" w:sz="0" w:space="0" w:color="auto"/>
      </w:divBdr>
    </w:div>
    <w:div w:id="2050060825">
      <w:bodyDiv w:val="1"/>
      <w:marLeft w:val="0"/>
      <w:marRight w:val="0"/>
      <w:marTop w:val="0"/>
      <w:marBottom w:val="0"/>
      <w:divBdr>
        <w:top w:val="none" w:sz="0" w:space="0" w:color="auto"/>
        <w:left w:val="none" w:sz="0" w:space="0" w:color="auto"/>
        <w:bottom w:val="none" w:sz="0" w:space="0" w:color="auto"/>
        <w:right w:val="none" w:sz="0" w:space="0" w:color="auto"/>
      </w:divBdr>
    </w:div>
    <w:div w:id="2050184927">
      <w:bodyDiv w:val="1"/>
      <w:marLeft w:val="0"/>
      <w:marRight w:val="0"/>
      <w:marTop w:val="0"/>
      <w:marBottom w:val="0"/>
      <w:divBdr>
        <w:top w:val="none" w:sz="0" w:space="0" w:color="auto"/>
        <w:left w:val="none" w:sz="0" w:space="0" w:color="auto"/>
        <w:bottom w:val="none" w:sz="0" w:space="0" w:color="auto"/>
        <w:right w:val="none" w:sz="0" w:space="0" w:color="auto"/>
      </w:divBdr>
    </w:div>
    <w:div w:id="2050837340">
      <w:bodyDiv w:val="1"/>
      <w:marLeft w:val="0"/>
      <w:marRight w:val="0"/>
      <w:marTop w:val="0"/>
      <w:marBottom w:val="0"/>
      <w:divBdr>
        <w:top w:val="none" w:sz="0" w:space="0" w:color="auto"/>
        <w:left w:val="none" w:sz="0" w:space="0" w:color="auto"/>
        <w:bottom w:val="none" w:sz="0" w:space="0" w:color="auto"/>
        <w:right w:val="none" w:sz="0" w:space="0" w:color="auto"/>
      </w:divBdr>
    </w:div>
    <w:div w:id="2053188547">
      <w:bodyDiv w:val="1"/>
      <w:marLeft w:val="0"/>
      <w:marRight w:val="0"/>
      <w:marTop w:val="0"/>
      <w:marBottom w:val="0"/>
      <w:divBdr>
        <w:top w:val="none" w:sz="0" w:space="0" w:color="auto"/>
        <w:left w:val="none" w:sz="0" w:space="0" w:color="auto"/>
        <w:bottom w:val="none" w:sz="0" w:space="0" w:color="auto"/>
        <w:right w:val="none" w:sz="0" w:space="0" w:color="auto"/>
      </w:divBdr>
    </w:div>
    <w:div w:id="2053382016">
      <w:bodyDiv w:val="1"/>
      <w:marLeft w:val="0"/>
      <w:marRight w:val="0"/>
      <w:marTop w:val="0"/>
      <w:marBottom w:val="0"/>
      <w:divBdr>
        <w:top w:val="none" w:sz="0" w:space="0" w:color="auto"/>
        <w:left w:val="none" w:sz="0" w:space="0" w:color="auto"/>
        <w:bottom w:val="none" w:sz="0" w:space="0" w:color="auto"/>
        <w:right w:val="none" w:sz="0" w:space="0" w:color="auto"/>
      </w:divBdr>
    </w:div>
    <w:div w:id="2056810029">
      <w:bodyDiv w:val="1"/>
      <w:marLeft w:val="0"/>
      <w:marRight w:val="0"/>
      <w:marTop w:val="0"/>
      <w:marBottom w:val="0"/>
      <w:divBdr>
        <w:top w:val="none" w:sz="0" w:space="0" w:color="auto"/>
        <w:left w:val="none" w:sz="0" w:space="0" w:color="auto"/>
        <w:bottom w:val="none" w:sz="0" w:space="0" w:color="auto"/>
        <w:right w:val="none" w:sz="0" w:space="0" w:color="auto"/>
      </w:divBdr>
    </w:div>
    <w:div w:id="2057193882">
      <w:bodyDiv w:val="1"/>
      <w:marLeft w:val="0"/>
      <w:marRight w:val="0"/>
      <w:marTop w:val="0"/>
      <w:marBottom w:val="0"/>
      <w:divBdr>
        <w:top w:val="none" w:sz="0" w:space="0" w:color="auto"/>
        <w:left w:val="none" w:sz="0" w:space="0" w:color="auto"/>
        <w:bottom w:val="none" w:sz="0" w:space="0" w:color="auto"/>
        <w:right w:val="none" w:sz="0" w:space="0" w:color="auto"/>
      </w:divBdr>
    </w:div>
    <w:div w:id="2058972839">
      <w:bodyDiv w:val="1"/>
      <w:marLeft w:val="0"/>
      <w:marRight w:val="0"/>
      <w:marTop w:val="0"/>
      <w:marBottom w:val="0"/>
      <w:divBdr>
        <w:top w:val="none" w:sz="0" w:space="0" w:color="auto"/>
        <w:left w:val="none" w:sz="0" w:space="0" w:color="auto"/>
        <w:bottom w:val="none" w:sz="0" w:space="0" w:color="auto"/>
        <w:right w:val="none" w:sz="0" w:space="0" w:color="auto"/>
      </w:divBdr>
    </w:div>
    <w:div w:id="2061394581">
      <w:bodyDiv w:val="1"/>
      <w:marLeft w:val="0"/>
      <w:marRight w:val="0"/>
      <w:marTop w:val="0"/>
      <w:marBottom w:val="0"/>
      <w:divBdr>
        <w:top w:val="none" w:sz="0" w:space="0" w:color="auto"/>
        <w:left w:val="none" w:sz="0" w:space="0" w:color="auto"/>
        <w:bottom w:val="none" w:sz="0" w:space="0" w:color="auto"/>
        <w:right w:val="none" w:sz="0" w:space="0" w:color="auto"/>
      </w:divBdr>
    </w:div>
    <w:div w:id="2065134846">
      <w:bodyDiv w:val="1"/>
      <w:marLeft w:val="0"/>
      <w:marRight w:val="0"/>
      <w:marTop w:val="0"/>
      <w:marBottom w:val="0"/>
      <w:divBdr>
        <w:top w:val="none" w:sz="0" w:space="0" w:color="auto"/>
        <w:left w:val="none" w:sz="0" w:space="0" w:color="auto"/>
        <w:bottom w:val="none" w:sz="0" w:space="0" w:color="auto"/>
        <w:right w:val="none" w:sz="0" w:space="0" w:color="auto"/>
      </w:divBdr>
    </w:div>
    <w:div w:id="2067603347">
      <w:bodyDiv w:val="1"/>
      <w:marLeft w:val="0"/>
      <w:marRight w:val="0"/>
      <w:marTop w:val="0"/>
      <w:marBottom w:val="0"/>
      <w:divBdr>
        <w:top w:val="none" w:sz="0" w:space="0" w:color="auto"/>
        <w:left w:val="none" w:sz="0" w:space="0" w:color="auto"/>
        <w:bottom w:val="none" w:sz="0" w:space="0" w:color="auto"/>
        <w:right w:val="none" w:sz="0" w:space="0" w:color="auto"/>
      </w:divBdr>
    </w:div>
    <w:div w:id="2077125368">
      <w:bodyDiv w:val="1"/>
      <w:marLeft w:val="0"/>
      <w:marRight w:val="0"/>
      <w:marTop w:val="0"/>
      <w:marBottom w:val="0"/>
      <w:divBdr>
        <w:top w:val="none" w:sz="0" w:space="0" w:color="auto"/>
        <w:left w:val="none" w:sz="0" w:space="0" w:color="auto"/>
        <w:bottom w:val="none" w:sz="0" w:space="0" w:color="auto"/>
        <w:right w:val="none" w:sz="0" w:space="0" w:color="auto"/>
      </w:divBdr>
    </w:div>
    <w:div w:id="2078092546">
      <w:bodyDiv w:val="1"/>
      <w:marLeft w:val="0"/>
      <w:marRight w:val="0"/>
      <w:marTop w:val="0"/>
      <w:marBottom w:val="0"/>
      <w:divBdr>
        <w:top w:val="none" w:sz="0" w:space="0" w:color="auto"/>
        <w:left w:val="none" w:sz="0" w:space="0" w:color="auto"/>
        <w:bottom w:val="none" w:sz="0" w:space="0" w:color="auto"/>
        <w:right w:val="none" w:sz="0" w:space="0" w:color="auto"/>
      </w:divBdr>
    </w:div>
    <w:div w:id="2078505337">
      <w:bodyDiv w:val="1"/>
      <w:marLeft w:val="0"/>
      <w:marRight w:val="0"/>
      <w:marTop w:val="0"/>
      <w:marBottom w:val="0"/>
      <w:divBdr>
        <w:top w:val="none" w:sz="0" w:space="0" w:color="auto"/>
        <w:left w:val="none" w:sz="0" w:space="0" w:color="auto"/>
        <w:bottom w:val="none" w:sz="0" w:space="0" w:color="auto"/>
        <w:right w:val="none" w:sz="0" w:space="0" w:color="auto"/>
      </w:divBdr>
    </w:div>
    <w:div w:id="2083066292">
      <w:bodyDiv w:val="1"/>
      <w:marLeft w:val="0"/>
      <w:marRight w:val="0"/>
      <w:marTop w:val="0"/>
      <w:marBottom w:val="0"/>
      <w:divBdr>
        <w:top w:val="none" w:sz="0" w:space="0" w:color="auto"/>
        <w:left w:val="none" w:sz="0" w:space="0" w:color="auto"/>
        <w:bottom w:val="none" w:sz="0" w:space="0" w:color="auto"/>
        <w:right w:val="none" w:sz="0" w:space="0" w:color="auto"/>
      </w:divBdr>
    </w:div>
    <w:div w:id="2083481813">
      <w:bodyDiv w:val="1"/>
      <w:marLeft w:val="0"/>
      <w:marRight w:val="0"/>
      <w:marTop w:val="0"/>
      <w:marBottom w:val="0"/>
      <w:divBdr>
        <w:top w:val="none" w:sz="0" w:space="0" w:color="auto"/>
        <w:left w:val="none" w:sz="0" w:space="0" w:color="auto"/>
        <w:bottom w:val="none" w:sz="0" w:space="0" w:color="auto"/>
        <w:right w:val="none" w:sz="0" w:space="0" w:color="auto"/>
      </w:divBdr>
    </w:div>
    <w:div w:id="2084527223">
      <w:bodyDiv w:val="1"/>
      <w:marLeft w:val="0"/>
      <w:marRight w:val="0"/>
      <w:marTop w:val="0"/>
      <w:marBottom w:val="0"/>
      <w:divBdr>
        <w:top w:val="none" w:sz="0" w:space="0" w:color="auto"/>
        <w:left w:val="none" w:sz="0" w:space="0" w:color="auto"/>
        <w:bottom w:val="none" w:sz="0" w:space="0" w:color="auto"/>
        <w:right w:val="none" w:sz="0" w:space="0" w:color="auto"/>
      </w:divBdr>
    </w:div>
    <w:div w:id="2085838061">
      <w:bodyDiv w:val="1"/>
      <w:marLeft w:val="0"/>
      <w:marRight w:val="0"/>
      <w:marTop w:val="0"/>
      <w:marBottom w:val="0"/>
      <w:divBdr>
        <w:top w:val="none" w:sz="0" w:space="0" w:color="auto"/>
        <w:left w:val="none" w:sz="0" w:space="0" w:color="auto"/>
        <w:bottom w:val="none" w:sz="0" w:space="0" w:color="auto"/>
        <w:right w:val="none" w:sz="0" w:space="0" w:color="auto"/>
      </w:divBdr>
    </w:div>
    <w:div w:id="2090611406">
      <w:bodyDiv w:val="1"/>
      <w:marLeft w:val="0"/>
      <w:marRight w:val="0"/>
      <w:marTop w:val="0"/>
      <w:marBottom w:val="0"/>
      <w:divBdr>
        <w:top w:val="none" w:sz="0" w:space="0" w:color="auto"/>
        <w:left w:val="none" w:sz="0" w:space="0" w:color="auto"/>
        <w:bottom w:val="none" w:sz="0" w:space="0" w:color="auto"/>
        <w:right w:val="none" w:sz="0" w:space="0" w:color="auto"/>
      </w:divBdr>
    </w:div>
    <w:div w:id="2094278655">
      <w:bodyDiv w:val="1"/>
      <w:marLeft w:val="0"/>
      <w:marRight w:val="0"/>
      <w:marTop w:val="0"/>
      <w:marBottom w:val="0"/>
      <w:divBdr>
        <w:top w:val="none" w:sz="0" w:space="0" w:color="auto"/>
        <w:left w:val="none" w:sz="0" w:space="0" w:color="auto"/>
        <w:bottom w:val="none" w:sz="0" w:space="0" w:color="auto"/>
        <w:right w:val="none" w:sz="0" w:space="0" w:color="auto"/>
      </w:divBdr>
    </w:div>
    <w:div w:id="2095011147">
      <w:bodyDiv w:val="1"/>
      <w:marLeft w:val="0"/>
      <w:marRight w:val="0"/>
      <w:marTop w:val="0"/>
      <w:marBottom w:val="0"/>
      <w:divBdr>
        <w:top w:val="none" w:sz="0" w:space="0" w:color="auto"/>
        <w:left w:val="none" w:sz="0" w:space="0" w:color="auto"/>
        <w:bottom w:val="none" w:sz="0" w:space="0" w:color="auto"/>
        <w:right w:val="none" w:sz="0" w:space="0" w:color="auto"/>
      </w:divBdr>
    </w:div>
    <w:div w:id="2095392754">
      <w:bodyDiv w:val="1"/>
      <w:marLeft w:val="0"/>
      <w:marRight w:val="0"/>
      <w:marTop w:val="0"/>
      <w:marBottom w:val="0"/>
      <w:divBdr>
        <w:top w:val="none" w:sz="0" w:space="0" w:color="auto"/>
        <w:left w:val="none" w:sz="0" w:space="0" w:color="auto"/>
        <w:bottom w:val="none" w:sz="0" w:space="0" w:color="auto"/>
        <w:right w:val="none" w:sz="0" w:space="0" w:color="auto"/>
      </w:divBdr>
    </w:div>
    <w:div w:id="2098360241">
      <w:bodyDiv w:val="1"/>
      <w:marLeft w:val="0"/>
      <w:marRight w:val="0"/>
      <w:marTop w:val="0"/>
      <w:marBottom w:val="0"/>
      <w:divBdr>
        <w:top w:val="none" w:sz="0" w:space="0" w:color="auto"/>
        <w:left w:val="none" w:sz="0" w:space="0" w:color="auto"/>
        <w:bottom w:val="none" w:sz="0" w:space="0" w:color="auto"/>
        <w:right w:val="none" w:sz="0" w:space="0" w:color="auto"/>
      </w:divBdr>
    </w:div>
    <w:div w:id="2101755785">
      <w:bodyDiv w:val="1"/>
      <w:marLeft w:val="0"/>
      <w:marRight w:val="0"/>
      <w:marTop w:val="0"/>
      <w:marBottom w:val="0"/>
      <w:divBdr>
        <w:top w:val="none" w:sz="0" w:space="0" w:color="auto"/>
        <w:left w:val="none" w:sz="0" w:space="0" w:color="auto"/>
        <w:bottom w:val="none" w:sz="0" w:space="0" w:color="auto"/>
        <w:right w:val="none" w:sz="0" w:space="0" w:color="auto"/>
      </w:divBdr>
    </w:div>
    <w:div w:id="2101825100">
      <w:bodyDiv w:val="1"/>
      <w:marLeft w:val="0"/>
      <w:marRight w:val="0"/>
      <w:marTop w:val="0"/>
      <w:marBottom w:val="0"/>
      <w:divBdr>
        <w:top w:val="none" w:sz="0" w:space="0" w:color="auto"/>
        <w:left w:val="none" w:sz="0" w:space="0" w:color="auto"/>
        <w:bottom w:val="none" w:sz="0" w:space="0" w:color="auto"/>
        <w:right w:val="none" w:sz="0" w:space="0" w:color="auto"/>
      </w:divBdr>
    </w:div>
    <w:div w:id="2102137651">
      <w:bodyDiv w:val="1"/>
      <w:marLeft w:val="0"/>
      <w:marRight w:val="0"/>
      <w:marTop w:val="0"/>
      <w:marBottom w:val="0"/>
      <w:divBdr>
        <w:top w:val="none" w:sz="0" w:space="0" w:color="auto"/>
        <w:left w:val="none" w:sz="0" w:space="0" w:color="auto"/>
        <w:bottom w:val="none" w:sz="0" w:space="0" w:color="auto"/>
        <w:right w:val="none" w:sz="0" w:space="0" w:color="auto"/>
      </w:divBdr>
    </w:div>
    <w:div w:id="2102602930">
      <w:bodyDiv w:val="1"/>
      <w:marLeft w:val="0"/>
      <w:marRight w:val="0"/>
      <w:marTop w:val="0"/>
      <w:marBottom w:val="0"/>
      <w:divBdr>
        <w:top w:val="none" w:sz="0" w:space="0" w:color="auto"/>
        <w:left w:val="none" w:sz="0" w:space="0" w:color="auto"/>
        <w:bottom w:val="none" w:sz="0" w:space="0" w:color="auto"/>
        <w:right w:val="none" w:sz="0" w:space="0" w:color="auto"/>
      </w:divBdr>
    </w:div>
    <w:div w:id="2105607210">
      <w:bodyDiv w:val="1"/>
      <w:marLeft w:val="0"/>
      <w:marRight w:val="0"/>
      <w:marTop w:val="0"/>
      <w:marBottom w:val="0"/>
      <w:divBdr>
        <w:top w:val="none" w:sz="0" w:space="0" w:color="auto"/>
        <w:left w:val="none" w:sz="0" w:space="0" w:color="auto"/>
        <w:bottom w:val="none" w:sz="0" w:space="0" w:color="auto"/>
        <w:right w:val="none" w:sz="0" w:space="0" w:color="auto"/>
      </w:divBdr>
    </w:div>
    <w:div w:id="2109884383">
      <w:bodyDiv w:val="1"/>
      <w:marLeft w:val="0"/>
      <w:marRight w:val="0"/>
      <w:marTop w:val="0"/>
      <w:marBottom w:val="0"/>
      <w:divBdr>
        <w:top w:val="none" w:sz="0" w:space="0" w:color="auto"/>
        <w:left w:val="none" w:sz="0" w:space="0" w:color="auto"/>
        <w:bottom w:val="none" w:sz="0" w:space="0" w:color="auto"/>
        <w:right w:val="none" w:sz="0" w:space="0" w:color="auto"/>
      </w:divBdr>
    </w:div>
    <w:div w:id="2115634774">
      <w:bodyDiv w:val="1"/>
      <w:marLeft w:val="0"/>
      <w:marRight w:val="0"/>
      <w:marTop w:val="0"/>
      <w:marBottom w:val="0"/>
      <w:divBdr>
        <w:top w:val="none" w:sz="0" w:space="0" w:color="auto"/>
        <w:left w:val="none" w:sz="0" w:space="0" w:color="auto"/>
        <w:bottom w:val="none" w:sz="0" w:space="0" w:color="auto"/>
        <w:right w:val="none" w:sz="0" w:space="0" w:color="auto"/>
      </w:divBdr>
    </w:div>
    <w:div w:id="2116974987">
      <w:bodyDiv w:val="1"/>
      <w:marLeft w:val="0"/>
      <w:marRight w:val="0"/>
      <w:marTop w:val="0"/>
      <w:marBottom w:val="0"/>
      <w:divBdr>
        <w:top w:val="none" w:sz="0" w:space="0" w:color="auto"/>
        <w:left w:val="none" w:sz="0" w:space="0" w:color="auto"/>
        <w:bottom w:val="none" w:sz="0" w:space="0" w:color="auto"/>
        <w:right w:val="none" w:sz="0" w:space="0" w:color="auto"/>
      </w:divBdr>
    </w:div>
    <w:div w:id="2117866280">
      <w:bodyDiv w:val="1"/>
      <w:marLeft w:val="0"/>
      <w:marRight w:val="0"/>
      <w:marTop w:val="0"/>
      <w:marBottom w:val="0"/>
      <w:divBdr>
        <w:top w:val="none" w:sz="0" w:space="0" w:color="auto"/>
        <w:left w:val="none" w:sz="0" w:space="0" w:color="auto"/>
        <w:bottom w:val="none" w:sz="0" w:space="0" w:color="auto"/>
        <w:right w:val="none" w:sz="0" w:space="0" w:color="auto"/>
      </w:divBdr>
    </w:div>
    <w:div w:id="2120832810">
      <w:bodyDiv w:val="1"/>
      <w:marLeft w:val="0"/>
      <w:marRight w:val="0"/>
      <w:marTop w:val="0"/>
      <w:marBottom w:val="0"/>
      <w:divBdr>
        <w:top w:val="none" w:sz="0" w:space="0" w:color="auto"/>
        <w:left w:val="none" w:sz="0" w:space="0" w:color="auto"/>
        <w:bottom w:val="none" w:sz="0" w:space="0" w:color="auto"/>
        <w:right w:val="none" w:sz="0" w:space="0" w:color="auto"/>
      </w:divBdr>
    </w:div>
    <w:div w:id="2123301153">
      <w:bodyDiv w:val="1"/>
      <w:marLeft w:val="0"/>
      <w:marRight w:val="0"/>
      <w:marTop w:val="0"/>
      <w:marBottom w:val="0"/>
      <w:divBdr>
        <w:top w:val="none" w:sz="0" w:space="0" w:color="auto"/>
        <w:left w:val="none" w:sz="0" w:space="0" w:color="auto"/>
        <w:bottom w:val="none" w:sz="0" w:space="0" w:color="auto"/>
        <w:right w:val="none" w:sz="0" w:space="0" w:color="auto"/>
      </w:divBdr>
    </w:div>
    <w:div w:id="2129428050">
      <w:bodyDiv w:val="1"/>
      <w:marLeft w:val="0"/>
      <w:marRight w:val="0"/>
      <w:marTop w:val="0"/>
      <w:marBottom w:val="0"/>
      <w:divBdr>
        <w:top w:val="none" w:sz="0" w:space="0" w:color="auto"/>
        <w:left w:val="none" w:sz="0" w:space="0" w:color="auto"/>
        <w:bottom w:val="none" w:sz="0" w:space="0" w:color="auto"/>
        <w:right w:val="none" w:sz="0" w:space="0" w:color="auto"/>
      </w:divBdr>
    </w:div>
    <w:div w:id="2134784537">
      <w:bodyDiv w:val="1"/>
      <w:marLeft w:val="0"/>
      <w:marRight w:val="0"/>
      <w:marTop w:val="0"/>
      <w:marBottom w:val="0"/>
      <w:divBdr>
        <w:top w:val="none" w:sz="0" w:space="0" w:color="auto"/>
        <w:left w:val="none" w:sz="0" w:space="0" w:color="auto"/>
        <w:bottom w:val="none" w:sz="0" w:space="0" w:color="auto"/>
        <w:right w:val="none" w:sz="0" w:space="0" w:color="auto"/>
      </w:divBdr>
    </w:div>
    <w:div w:id="2134786807">
      <w:bodyDiv w:val="1"/>
      <w:marLeft w:val="0"/>
      <w:marRight w:val="0"/>
      <w:marTop w:val="0"/>
      <w:marBottom w:val="0"/>
      <w:divBdr>
        <w:top w:val="none" w:sz="0" w:space="0" w:color="auto"/>
        <w:left w:val="none" w:sz="0" w:space="0" w:color="auto"/>
        <w:bottom w:val="none" w:sz="0" w:space="0" w:color="auto"/>
        <w:right w:val="none" w:sz="0" w:space="0" w:color="auto"/>
      </w:divBdr>
    </w:div>
    <w:div w:id="2137332845">
      <w:bodyDiv w:val="1"/>
      <w:marLeft w:val="0"/>
      <w:marRight w:val="0"/>
      <w:marTop w:val="0"/>
      <w:marBottom w:val="0"/>
      <w:divBdr>
        <w:top w:val="none" w:sz="0" w:space="0" w:color="auto"/>
        <w:left w:val="none" w:sz="0" w:space="0" w:color="auto"/>
        <w:bottom w:val="none" w:sz="0" w:space="0" w:color="auto"/>
        <w:right w:val="none" w:sz="0" w:space="0" w:color="auto"/>
      </w:divBdr>
    </w:div>
    <w:div w:id="2137947176">
      <w:bodyDiv w:val="1"/>
      <w:marLeft w:val="0"/>
      <w:marRight w:val="0"/>
      <w:marTop w:val="0"/>
      <w:marBottom w:val="0"/>
      <w:divBdr>
        <w:top w:val="none" w:sz="0" w:space="0" w:color="auto"/>
        <w:left w:val="none" w:sz="0" w:space="0" w:color="auto"/>
        <w:bottom w:val="none" w:sz="0" w:space="0" w:color="auto"/>
        <w:right w:val="none" w:sz="0" w:space="0" w:color="auto"/>
      </w:divBdr>
    </w:div>
    <w:div w:id="2139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w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0.emf"/><Relationship Id="rId11" Type="http://schemas.openxmlformats.org/officeDocument/2006/relationships/image" Target="media/image3.wmf"/><Relationship Id="rId24" Type="http://schemas.openxmlformats.org/officeDocument/2006/relationships/image" Target="media/image15.emf"/><Relationship Id="rId32" Type="http://schemas.openxmlformats.org/officeDocument/2006/relationships/image" Target="media/image23.w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61" Type="http://schemas.microsoft.com/office/2016/09/relationships/commentsIds" Target="commentsIds.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footer" Target="footer3.xml"/><Relationship Id="rId64" Type="http://schemas.microsoft.com/office/2018/08/relationships/commentsExtensible" Target="commentsExtensible.xml"/><Relationship Id="rId8" Type="http://schemas.openxmlformats.org/officeDocument/2006/relationships/header" Target="header1.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Hoja_de_c_lculo_de_Microsoft_Excel_97-20031.xls"/><Relationship Id="rId25" Type="http://schemas.openxmlformats.org/officeDocument/2006/relationships/image" Target="media/image16.emf"/><Relationship Id="rId33" Type="http://schemas.openxmlformats.org/officeDocument/2006/relationships/image" Target="media/image24.wmf"/><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22.emf"/><Relationship Id="rId44" Type="http://schemas.openxmlformats.org/officeDocument/2006/relationships/image" Target="media/image35.wmf"/><Relationship Id="rId52" Type="http://schemas.openxmlformats.org/officeDocument/2006/relationships/image" Target="media/image43.emf"/></Relationships>
</file>

<file path=word/_rels/header2.xml.rels><?xml version="1.0" encoding="UTF-8" standalone="yes"?>
<Relationships xmlns="http://schemas.openxmlformats.org/package/2006/relationships"><Relationship Id="rId1" Type="http://schemas.openxmlformats.org/officeDocument/2006/relationships/image" Target="media/image44.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odelo%20informes-borr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CE08-BE5D-45B3-87D2-1C7CB839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informes-borrar.dot</Template>
  <TotalTime>0</TotalTime>
  <Pages>83</Pages>
  <Words>31339</Words>
  <Characters>172367</Characters>
  <Application>Microsoft Office Word</Application>
  <DocSecurity>4</DocSecurity>
  <Lines>1436</Lines>
  <Paragraphs>406</Paragraphs>
  <ScaleCrop>false</ScaleCrop>
  <HeadingPairs>
    <vt:vector size="2" baseType="variant">
      <vt:variant>
        <vt:lpstr>Título</vt:lpstr>
      </vt:variant>
      <vt:variant>
        <vt:i4>1</vt:i4>
      </vt:variant>
    </vt:vector>
  </HeadingPairs>
  <TitlesOfParts>
    <vt:vector size="1" baseType="lpstr">
      <vt:lpstr>COMPAÑIA MANUFACTURERA, S.A.</vt:lpstr>
    </vt:vector>
  </TitlesOfParts>
  <Manager>DTA</Manager>
  <Company>MSFT</Company>
  <LinksUpToDate>false</LinksUpToDate>
  <CharactersWithSpaces>203300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COMPAÑIA MANUFACTURERA, S.A.</dc:title>
  <dc:subject>Cuentas anuales individuales 1 ejercicio</dc:subject>
  <dc:creator>Marta Sanjuán</dc:creator>
  <cp:lastModifiedBy>Dácil Alemán Rodríguez</cp:lastModifiedBy>
  <cp:revision>2</cp:revision>
  <cp:lastPrinted>2019-03-28T18:02:00Z</cp:lastPrinted>
  <dcterms:created xsi:type="dcterms:W3CDTF">2020-06-23T17:05:00Z</dcterms:created>
  <dcterms:modified xsi:type="dcterms:W3CDTF">2020-06-23T17:05:00Z</dcterms:modified>
</cp:coreProperties>
</file>