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7131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La Ley de Transparencia permite a los ciudadanos que se pueda ejercer el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Derecho de Acceso a la Información Pública</w:t>
      </w:r>
      <w:r>
        <w:rPr>
          <w:rFonts w:ascii="Open Sans" w:hAnsi="Open Sans" w:cs="Open Sans"/>
          <w:color w:val="333333"/>
          <w:sz w:val="23"/>
          <w:szCs w:val="23"/>
        </w:rPr>
        <w:t>, en aquellos ámbitos que no estén cubiertos por la parte de publicidad activa. En este portal puede acceder a múltiple información de transparencia por parte del Instituto Tecnológico de Canarias, pero puede que le interese información que no se encuentra en el portal. Tiene a su disposición, a través de este servicio, la posibilidad de ejercer este derecho, que tiene como límites las cuestiones que puedan afectar a la seguridad nacional y similares.</w:t>
      </w:r>
    </w:p>
    <w:p w14:paraId="6B571D98" w14:textId="77777777" w:rsidR="0074673F" w:rsidRDefault="0074673F" w:rsidP="0074673F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Fonts w:ascii="Montserrat" w:hAnsi="Montserrat"/>
          <w:b w:val="0"/>
          <w:bCs w:val="0"/>
          <w:caps/>
          <w:color w:val="0095F8"/>
          <w:spacing w:val="-4"/>
        </w:rPr>
        <w:t> </w:t>
      </w:r>
    </w:p>
    <w:p w14:paraId="08174449" w14:textId="77777777" w:rsidR="0074673F" w:rsidRDefault="0074673F" w:rsidP="0074673F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Textoennegrita"/>
          <w:rFonts w:ascii="Montserrat" w:hAnsi="Montserrat"/>
          <w:b/>
          <w:bCs/>
          <w:caps/>
          <w:color w:val="0095F8"/>
          <w:spacing w:val="-4"/>
        </w:rPr>
        <w:t>UNIDADES DE INFORMACIÓN. SOLICITUD DE INFORMACIÓN PÚBLICA</w:t>
      </w:r>
    </w:p>
    <w:p w14:paraId="7FA365EE" w14:textId="77777777" w:rsidR="0074673F" w:rsidRDefault="0074673F" w:rsidP="0074673F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 </w:t>
      </w:r>
    </w:p>
    <w:p w14:paraId="3A8A4B41" w14:textId="77777777" w:rsidR="0074673F" w:rsidRDefault="0074673F" w:rsidP="0074673F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Órgano competente en materia de derecho de acceso</w:t>
      </w:r>
    </w:p>
    <w:p w14:paraId="6675D6C0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órgano competente dentro del ITC en materia de derecho de acceso es el Gerente de la Sociedad, </w:t>
      </w:r>
      <w:r>
        <w:rPr>
          <w:rFonts w:ascii="Open Sans" w:hAnsi="Open Sans" w:cs="Open Sans"/>
          <w:color w:val="333333"/>
          <w:sz w:val="23"/>
          <w:szCs w:val="23"/>
        </w:rPr>
        <w:t>asistido por el Departamento Jurídico y la Unidad Oficina de Proyectos del ITC.</w:t>
      </w:r>
    </w:p>
    <w:p w14:paraId="51BC714B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45533984" w14:textId="77777777" w:rsidR="0074673F" w:rsidRDefault="0074673F" w:rsidP="0074673F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Procedimiento de solicitud</w:t>
      </w:r>
    </w:p>
    <w:p w14:paraId="24D24CAE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32D46CE1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Las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solicitudes de acceso a la información pública</w:t>
      </w:r>
      <w:r>
        <w:rPr>
          <w:rFonts w:ascii="Open Sans" w:hAnsi="Open Sans" w:cs="Open Sans"/>
          <w:color w:val="333333"/>
          <w:sz w:val="23"/>
          <w:szCs w:val="23"/>
        </w:rPr>
        <w:t> de la Sociedad pueden realizarse por cualquiera de los siguientes medios y deberá ir acompañada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de copia del DNI del solicitante</w:t>
      </w:r>
      <w:r>
        <w:rPr>
          <w:rFonts w:ascii="Open Sans" w:hAnsi="Open Sans" w:cs="Open Sans"/>
          <w:color w:val="333333"/>
          <w:sz w:val="23"/>
          <w:szCs w:val="23"/>
        </w:rPr>
        <w:t>:</w:t>
      </w:r>
    </w:p>
    <w:p w14:paraId="1A61BA06" w14:textId="77777777" w:rsidR="0074673F" w:rsidRDefault="0074673F" w:rsidP="00746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Presentación telemática.-</w:t>
      </w:r>
      <w:r>
        <w:rPr>
          <w:rFonts w:ascii="Open Sans" w:hAnsi="Open Sans" w:cs="Open Sans"/>
          <w:color w:val="333333"/>
          <w:sz w:val="23"/>
          <w:szCs w:val="23"/>
        </w:rPr>
        <w:t> Cumplimentando y enviando el siguiente formulario</w:t>
      </w:r>
    </w:p>
    <w:p w14:paraId="322A3A31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1907449E" w14:textId="77777777" w:rsidR="0074673F" w:rsidRDefault="0074673F" w:rsidP="0074673F">
      <w:pPr>
        <w:pStyle w:val="z-Principiodelformulario"/>
      </w:pPr>
      <w:r>
        <w:t>Principio del formulario</w:t>
      </w:r>
    </w:p>
    <w:p w14:paraId="46E01A92" w14:textId="43F7E008" w:rsidR="0074673F" w:rsidRDefault="0074673F" w:rsidP="0074673F">
      <w:pPr>
        <w:shd w:val="clear" w:color="auto" w:fill="FFFFFF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Nombre</w:t>
      </w: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67C67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9.65pt;height:18.6pt" o:ole="">
            <v:imagedata r:id="rId7" o:title=""/>
          </v:shape>
          <w:control r:id="rId8" w:name="DefaultOcxName" w:shapeid="_x0000_i1042"/>
        </w:object>
      </w:r>
    </w:p>
    <w:p w14:paraId="1E681D38" w14:textId="7FC4260D" w:rsidR="0074673F" w:rsidRDefault="0074673F" w:rsidP="0074673F">
      <w:pPr>
        <w:shd w:val="clear" w:color="auto" w:fill="FFFFFF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Email</w:t>
      </w: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44C84481">
          <v:shape id="_x0000_i1041" type="#_x0000_t75" style="width:49.65pt;height:18.6pt" o:ole="">
            <v:imagedata r:id="rId7" o:title=""/>
          </v:shape>
          <w:control r:id="rId9" w:name="DefaultOcxName1" w:shapeid="_x0000_i1041"/>
        </w:object>
      </w:r>
    </w:p>
    <w:p w14:paraId="1B35C071" w14:textId="77777777" w:rsidR="0074673F" w:rsidRDefault="0074673F" w:rsidP="0074673F">
      <w:pPr>
        <w:shd w:val="clear" w:color="auto" w:fill="FFFFFF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Tipo Consulta</w:t>
      </w:r>
    </w:p>
    <w:p w14:paraId="78247362" w14:textId="0A846B06" w:rsidR="0074673F" w:rsidRDefault="0074673F" w:rsidP="0074673F">
      <w:pPr>
        <w:shd w:val="clear" w:color="auto" w:fill="FFFFFF"/>
        <w:spacing w:line="24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object w:dxaOrig="225" w:dyaOrig="225" w14:anchorId="51F8CF85">
          <v:shape id="_x0000_i1040" type="#_x0000_t75" style="width:93.1pt;height:18.6pt" o:ole="">
            <v:imagedata r:id="rId10" o:title=""/>
          </v:shape>
          <w:control r:id="rId11" w:name="DefaultOcxName2" w:shapeid="_x0000_i1040"/>
        </w:object>
      </w:r>
    </w:p>
    <w:p w14:paraId="296B699E" w14:textId="77777777" w:rsidR="0074673F" w:rsidRDefault="0074673F" w:rsidP="0074673F">
      <w:pPr>
        <w:shd w:val="clear" w:color="auto" w:fill="FFFFFF"/>
        <w:spacing w:line="24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Transparencia</w:t>
      </w:r>
    </w:p>
    <w:p w14:paraId="18BFA559" w14:textId="77777777" w:rsidR="0074673F" w:rsidRDefault="0074673F" w:rsidP="0074673F">
      <w:pPr>
        <w:shd w:val="clear" w:color="auto" w:fill="FFFFFF"/>
        <w:spacing w:line="240" w:lineRule="auto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Apartado</w:t>
      </w:r>
    </w:p>
    <w:p w14:paraId="0B36FDBC" w14:textId="35D8C211" w:rsidR="0074673F" w:rsidRDefault="0074673F" w:rsidP="0074673F">
      <w:pPr>
        <w:shd w:val="clear" w:color="auto" w:fill="FFFFFF"/>
        <w:spacing w:line="24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</w:t>
      </w: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13E062B">
          <v:shape id="_x0000_i1039" type="#_x0000_t75" style="width:187.45pt;height:18.6pt" o:ole="">
            <v:imagedata r:id="rId12" o:title=""/>
          </v:shape>
          <w:control r:id="rId13" w:name="DefaultOcxName3" w:shapeid="_x0000_i1039"/>
        </w:object>
      </w:r>
    </w:p>
    <w:p w14:paraId="57B0C3D4" w14:textId="77777777" w:rsidR="0074673F" w:rsidRDefault="0074673F" w:rsidP="0074673F">
      <w:pPr>
        <w:shd w:val="clear" w:color="auto" w:fill="FFFFFF"/>
        <w:spacing w:line="24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Seleccionar</w:t>
      </w:r>
    </w:p>
    <w:p w14:paraId="33556E23" w14:textId="113212D5" w:rsidR="0074673F" w:rsidRDefault="0074673F" w:rsidP="0074673F">
      <w:pPr>
        <w:shd w:val="clear" w:color="auto" w:fill="FFFFFF"/>
        <w:spacing w:line="240" w:lineRule="auto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Mensaje</w:t>
      </w: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37F8C31">
          <v:shape id="_x0000_i1038" type="#_x0000_t75" style="width:136.55pt;height:70.75pt" o:ole="">
            <v:imagedata r:id="rId14" o:title=""/>
          </v:shape>
          <w:control r:id="rId15" w:name="DefaultOcxName4" w:shapeid="_x0000_i1038"/>
        </w:object>
      </w:r>
    </w:p>
    <w:p w14:paraId="6F6F118C" w14:textId="77777777" w:rsidR="0074673F" w:rsidRDefault="0074673F" w:rsidP="0074673F">
      <w:pPr>
        <w:shd w:val="clear" w:color="auto" w:fill="FFFFFF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Adjuntos</w:t>
      </w:r>
    </w:p>
    <w:p w14:paraId="13012A16" w14:textId="12A51289" w:rsidR="0074673F" w:rsidRDefault="0074673F" w:rsidP="0074673F">
      <w:pPr>
        <w:shd w:val="clear" w:color="auto" w:fill="FFFFFF"/>
        <w:spacing w:line="255" w:lineRule="atLeast"/>
        <w:textAlignment w:val="baseline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F321535">
          <v:shape id="_x0000_i1037" type="#_x0000_t75" style="width:19.85pt;height:18.6pt" o:ole="">
            <v:imagedata r:id="rId16" o:title=""/>
          </v:shape>
          <w:control r:id="rId17" w:name="DefaultOcxName5" w:shapeid="_x0000_i1037"/>
        </w:object>
      </w:r>
      <w:r>
        <w:rPr>
          <w:rFonts w:ascii="Open Sans" w:hAnsi="Open Sans" w:cs="Open Sans"/>
          <w:color w:val="333333"/>
          <w:sz w:val="21"/>
          <w:szCs w:val="21"/>
        </w:rPr>
        <w:t>He leído y acepto la </w:t>
      </w:r>
      <w:hyperlink r:id="rId18" w:tgtFrame="_blank" w:history="1">
        <w:r>
          <w:rPr>
            <w:rStyle w:val="Hipervnculo"/>
            <w:rFonts w:ascii="Open Sans" w:hAnsi="Open Sans" w:cs="Open Sans"/>
            <w:color w:val="4183C4"/>
            <w:sz w:val="21"/>
            <w:szCs w:val="21"/>
          </w:rPr>
          <w:t>Política de Privacidad</w:t>
        </w:r>
      </w:hyperlink>
    </w:p>
    <w:p w14:paraId="2EB85C25" w14:textId="77777777" w:rsidR="0074673F" w:rsidRDefault="0074673F" w:rsidP="0074673F">
      <w:pPr>
        <w:shd w:val="clear" w:color="auto" w:fill="FFFFFF"/>
        <w:spacing w:line="240" w:lineRule="auto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Enviar</w:t>
      </w:r>
    </w:p>
    <w:p w14:paraId="71B3BC39" w14:textId="77777777" w:rsidR="0074673F" w:rsidRDefault="0074673F" w:rsidP="0074673F">
      <w:pPr>
        <w:pStyle w:val="z-Finaldelformulario"/>
      </w:pPr>
      <w:r>
        <w:t>Final del formulario</w:t>
      </w:r>
    </w:p>
    <w:p w14:paraId="1748CD2C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5EF3CB34" w14:textId="77777777" w:rsidR="0074673F" w:rsidRDefault="0074673F" w:rsidP="00746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Correo Electrónico.-</w:t>
      </w:r>
      <w:r>
        <w:rPr>
          <w:rFonts w:ascii="Open Sans" w:hAnsi="Open Sans" w:cs="Open Sans"/>
          <w:color w:val="333333"/>
          <w:sz w:val="23"/>
          <w:szCs w:val="23"/>
        </w:rPr>
        <w:t> Remitiendo el formulario establecido, debidamente cumplimentado, a la dirección de e-mail habilitada a tal fin (</w:t>
      </w:r>
      <w:hyperlink r:id="rId19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transparencia@itccanarias.org</w:t>
        </w:r>
      </w:hyperlink>
      <w:r>
        <w:rPr>
          <w:rFonts w:ascii="Open Sans" w:hAnsi="Open Sans" w:cs="Open Sans"/>
          <w:color w:val="333333"/>
          <w:sz w:val="23"/>
          <w:szCs w:val="23"/>
        </w:rPr>
        <w:t>).</w:t>
      </w:r>
    </w:p>
    <w:p w14:paraId="49C768E6" w14:textId="77777777" w:rsidR="0074673F" w:rsidRDefault="0074673F" w:rsidP="0074673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Formulario de Derecho de Acceso a la Información Pública (</w:t>
      </w:r>
      <w:hyperlink r:id="rId20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1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.odt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021025B0" w14:textId="77777777" w:rsidR="0074673F" w:rsidRDefault="0074673F" w:rsidP="00746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Oficinas de Registro.-</w:t>
      </w:r>
      <w:r>
        <w:rPr>
          <w:rFonts w:ascii="Open Sans" w:hAnsi="Open Sans" w:cs="Open Sans"/>
          <w:color w:val="333333"/>
          <w:sz w:val="23"/>
          <w:szCs w:val="23"/>
        </w:rPr>
        <w:t> Entregando escrito simple o formulario establecido, facilitado in situ, en las oficinas de las dos sedes insulares del ITC en Gran Canaria (C/ Cebrián nº 3, planta 6ª 35003 Las Palmas de Gran Canaria) y en el centro de Tenerife (Plaza de Sixto Machado, 3. 38009 S/C de Tenerife).</w:t>
      </w:r>
    </w:p>
    <w:p w14:paraId="40827427" w14:textId="77777777" w:rsidR="0074673F" w:rsidRDefault="0074673F" w:rsidP="0074673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Formulario de Derecho de Acceso a la Información Pública (</w:t>
      </w:r>
      <w:hyperlink r:id="rId22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3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.odt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67AEE43E" w14:textId="77777777" w:rsidR="0074673F" w:rsidRDefault="0074673F" w:rsidP="00746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Correo Postal.-</w:t>
      </w:r>
      <w:r>
        <w:rPr>
          <w:rFonts w:ascii="Open Sans" w:hAnsi="Open Sans" w:cs="Open Sans"/>
          <w:color w:val="333333"/>
          <w:sz w:val="23"/>
          <w:szCs w:val="23"/>
        </w:rPr>
        <w:t> Remitiendo por correo postal, escrito simple o formulario establecido a las sedes insulares del ITC en Gran Canaria (C/ Cebrián nº 3, planta 6ª, 35003 Las Palmas de Gran Canaria) o en Tenerife (Plaza de Sixto Machado, 3. 38009 S/C de Tenerife).</w:t>
      </w:r>
    </w:p>
    <w:p w14:paraId="3B771AD4" w14:textId="77777777" w:rsidR="0074673F" w:rsidRDefault="0074673F" w:rsidP="0074673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Formulario de Derecho de Acceso a la Información Pública (</w:t>
      </w:r>
      <w:hyperlink r:id="rId24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5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.odt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634D1DF7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 </w:t>
      </w:r>
    </w:p>
    <w:p w14:paraId="20837C9A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En el ITC se ha establecido una instrucción que recoge el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procedimiento que indica el ejercicio de derecho de acceso a la información pública</w:t>
      </w:r>
    </w:p>
    <w:p w14:paraId="6F4FDAB0" w14:textId="77777777" w:rsidR="0074673F" w:rsidRDefault="0074673F" w:rsidP="007467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lastRenderedPageBreak/>
        <w:t>Instrucción que regula el procedimiento de Derecho de Acceso a la Información Pública (</w:t>
      </w:r>
      <w:hyperlink r:id="rId26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7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.odt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65857B5C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4CDA6824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Cualquier solicitud de información que no llegue vía telemática, será escaneada por la persona receptora de la misma y remitida vía correo electrónico (</w:t>
      </w:r>
      <w:hyperlink r:id="rId28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transparencia@itccanarias.org</w:t>
        </w:r>
      </w:hyperlink>
      <w:r>
        <w:rPr>
          <w:rFonts w:ascii="Open Sans" w:hAnsi="Open Sans" w:cs="Open Sans"/>
          <w:color w:val="333333"/>
          <w:sz w:val="23"/>
          <w:szCs w:val="23"/>
        </w:rPr>
        <w:t>), para su correspondiente gestión y registro. Se llevará un registro de las solicitudes anuales formuladas por los ciudadanos, en el que se incluirán todos los campos indicados conforme al artículo 11 de la </w:t>
      </w:r>
      <w:hyperlink r:id="rId29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Ley 12/2014, de 26 de diciembre, de transparencia y acceso a la información pública</w:t>
        </w:r>
      </w:hyperlink>
      <w:r>
        <w:rPr>
          <w:rFonts w:ascii="Open Sans" w:hAnsi="Open Sans" w:cs="Open Sans"/>
          <w:color w:val="333333"/>
          <w:sz w:val="23"/>
          <w:szCs w:val="23"/>
        </w:rPr>
        <w:t>.</w:t>
      </w:r>
    </w:p>
    <w:p w14:paraId="71DA003F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Puede ejercer el Derecho de reclamar información pública no aportada por el Instituto Tecnológico de Canarias,S.A., a través del correo electrónico del Comisionado de Transparencia. </w:t>
      </w:r>
      <w:hyperlink r:id="rId30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comisionadotransparencia@transparenciacanarias.org</w:t>
        </w:r>
      </w:hyperlink>
      <w:r>
        <w:rPr>
          <w:rFonts w:ascii="Open Sans" w:hAnsi="Open Sans" w:cs="Open Sans"/>
          <w:color w:val="333333"/>
          <w:sz w:val="23"/>
          <w:szCs w:val="23"/>
        </w:rPr>
        <w:t>. Contra la resolución, expresa o presunta de la solicitud de acceso podrá interponerse reclamación ante el Comisionado de Transparencia y Acceso a la Información con carácter potestativo y previo a su impugnación en vía contencioso-administrativo. </w:t>
      </w:r>
      <w:hyperlink r:id="rId31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https://transparenciacanarias.org/como-reclamar/</w:t>
        </w:r>
      </w:hyperlink>
    </w:p>
    <w:p w14:paraId="5348628D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 </w:t>
      </w:r>
    </w:p>
    <w:p w14:paraId="1AF9AA32" w14:textId="77777777" w:rsidR="0074673F" w:rsidRDefault="0074673F" w:rsidP="0074673F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Textoennegrita"/>
          <w:rFonts w:ascii="Montserrat" w:hAnsi="Montserrat"/>
          <w:b/>
          <w:bCs/>
          <w:caps/>
          <w:color w:val="0095F8"/>
          <w:spacing w:val="-4"/>
        </w:rPr>
        <w:t>RESOLUCIONES DENEGATORIAS</w:t>
      </w:r>
    </w:p>
    <w:p w14:paraId="7702F403" w14:textId="77777777" w:rsidR="0074673F" w:rsidRDefault="0074673F" w:rsidP="0074673F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 </w:t>
      </w:r>
    </w:p>
    <w:p w14:paraId="47580B9A" w14:textId="77777777" w:rsidR="0074673F" w:rsidRDefault="0074673F" w:rsidP="0074673F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Resoluciones denegatorias previa disociación de los datos de carácter personal</w:t>
      </w:r>
    </w:p>
    <w:p w14:paraId="17C1FE2C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 Instituto Tecnológico de Canarias no ha dictado ninguna resolución mediante la cual se deniegue una solicitud de acceso a información pública de ITC</w:t>
      </w:r>
    </w:p>
    <w:p w14:paraId="08408EB1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 </w:t>
      </w:r>
    </w:p>
    <w:p w14:paraId="2FAED253" w14:textId="77777777" w:rsidR="0074673F" w:rsidRDefault="0074673F" w:rsidP="0074673F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Textoennegrita"/>
          <w:rFonts w:ascii="Montserrat" w:hAnsi="Montserrat"/>
          <w:b/>
          <w:bCs/>
          <w:caps/>
          <w:color w:val="0095F8"/>
          <w:spacing w:val="-4"/>
        </w:rPr>
        <w:t>ESTADÍSTICAS DE DERECHO DE ACCESO</w:t>
      </w:r>
    </w:p>
    <w:p w14:paraId="60C79291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634EAB67" w14:textId="77777777" w:rsidR="0074673F" w:rsidRDefault="0074673F" w:rsidP="0074673F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Información estadística sobre las resoluciones de las solicitudes de derecho de acceso a la información pública</w:t>
      </w:r>
    </w:p>
    <w:p w14:paraId="5C126961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lastRenderedPageBreak/>
        <w:t>En este apartado se muestran datos estadísticos sobre la resolución por el ITC de las solicitudes de acceso a su información pública. Durante el ejercicio 2021 no ha habido ninguna solicitud de derecho de acceso a la información pública</w:t>
      </w:r>
    </w:p>
    <w:p w14:paraId="49619BB5" w14:textId="77777777" w:rsidR="0074673F" w:rsidRDefault="0074673F" w:rsidP="007467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Estadística resolución solicitudes de acceso Ejercicios 2019-2021 (</w:t>
      </w:r>
      <w:hyperlink r:id="rId32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.xlsx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33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.ods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409F570E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3BDB87EE" w14:textId="77777777" w:rsidR="0074673F" w:rsidRDefault="0074673F" w:rsidP="0074673F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Informes de Transparencia</w:t>
      </w:r>
    </w:p>
    <w:p w14:paraId="6FFA991D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Instituto Tecnológico de Canarias, S.A. </w:t>
      </w:r>
      <w:r>
        <w:rPr>
          <w:rFonts w:ascii="Open Sans" w:hAnsi="Open Sans" w:cs="Open Sans"/>
          <w:color w:val="333333"/>
          <w:sz w:val="23"/>
          <w:szCs w:val="23"/>
        </w:rPr>
        <w:t>se encuentra inmerso en un proceso de adaptación de sus procesos y procedimientos para reforzar la transparencia de su actividad pública. Les facilitamos los informes de cumplimiento del grado de transparencia del ITC emitido por Comisionado de Transparencia y Acceso a la Información Pública de Canarias:</w:t>
      </w:r>
    </w:p>
    <w:p w14:paraId="7BD0DDB3" w14:textId="77777777" w:rsidR="0074673F" w:rsidRDefault="0074673F" w:rsidP="007467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Informe del grado de cumplimiento de Transparencia del ITC. Comisionado de Transparencia. Ejercicio 2017 (.</w:t>
      </w:r>
      <w:hyperlink r:id="rId34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</w:hyperlink>
      <w:r>
        <w:rPr>
          <w:rFonts w:ascii="Open Sans" w:hAnsi="Open Sans" w:cs="Open Sans"/>
          <w:color w:val="333333"/>
          <w:sz w:val="23"/>
          <w:szCs w:val="23"/>
        </w:rPr>
        <w:t>) (.</w:t>
      </w:r>
      <w:hyperlink r:id="rId35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(.</w:t>
      </w:r>
      <w:hyperlink r:id="rId36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16D61916" w14:textId="77777777" w:rsidR="0074673F" w:rsidRDefault="0074673F" w:rsidP="007467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Informe del grado de cumplimiento de Transparencia del ITC. Comisionado de Transparencia. Ejercicio 2018 (.</w:t>
      </w:r>
      <w:hyperlink r:id="rId37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</w:hyperlink>
      <w:r>
        <w:rPr>
          <w:rFonts w:ascii="Open Sans" w:hAnsi="Open Sans" w:cs="Open Sans"/>
          <w:color w:val="333333"/>
          <w:sz w:val="23"/>
          <w:szCs w:val="23"/>
        </w:rPr>
        <w:t>) (.</w:t>
      </w:r>
      <w:hyperlink r:id="rId38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(.</w:t>
      </w:r>
      <w:hyperlink r:id="rId39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2E8D1A9D" w14:textId="77777777" w:rsidR="0074673F" w:rsidRDefault="0074673F" w:rsidP="007467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Informe del grado de cumplimiento de Transparencia del ITC. Comisionado de Transparencia. Ejercicio 2019 (.</w:t>
      </w:r>
      <w:hyperlink r:id="rId40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</w:hyperlink>
      <w:r>
        <w:rPr>
          <w:rFonts w:ascii="Open Sans" w:hAnsi="Open Sans" w:cs="Open Sans"/>
          <w:color w:val="333333"/>
          <w:sz w:val="23"/>
          <w:szCs w:val="23"/>
        </w:rPr>
        <w:t>) (.</w:t>
      </w:r>
      <w:hyperlink r:id="rId41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(.</w:t>
      </w:r>
      <w:hyperlink r:id="rId42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7642C6A8" w14:textId="77777777" w:rsidR="0074673F" w:rsidRDefault="0074673F" w:rsidP="007467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Informe del grado de cumplimiento de Transparencia del ITC. Comisionado de Transparencia. Ejercicio 2020 (.</w:t>
      </w:r>
      <w:hyperlink r:id="rId43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</w:hyperlink>
      <w:r>
        <w:rPr>
          <w:rFonts w:ascii="Open Sans" w:hAnsi="Open Sans" w:cs="Open Sans"/>
          <w:color w:val="333333"/>
          <w:sz w:val="23"/>
          <w:szCs w:val="23"/>
        </w:rPr>
        <w:t>) (.</w:t>
      </w:r>
      <w:hyperlink r:id="rId44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(.</w:t>
      </w:r>
      <w:hyperlink r:id="rId45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7ACC2220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044612A6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 Instituto Tecnológico de Canarias, S.A. elabora anualmente, y tras la evaluación por parte del Comisionado de Transparencia y Acceso a la Información Pública de Canarias, un informe sobre el grado de aplicación de la Ley de Transparencia.</w:t>
      </w:r>
    </w:p>
    <w:p w14:paraId="0F4628E0" w14:textId="77777777" w:rsidR="0074673F" w:rsidRDefault="0074673F" w:rsidP="00746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Informe Anual sobre el grado de aplicación de la Ley 12/2014, de 26 de diciembre, de Transparencia y Acceso a la Información Pública. Ejercicio 2019 (</w:t>
      </w:r>
      <w:hyperlink r:id="rId46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.pdf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119AC031" w14:textId="77777777" w:rsidR="0074673F" w:rsidRDefault="0074673F" w:rsidP="00746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Informe Anual sobre el grado de aplicación de la Ley 12/2014, de 26 de diciembre, de Transparencia y Acceso a la Información Pública. Ejercicio 2020 (</w:t>
      </w:r>
      <w:hyperlink r:id="rId47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.pdf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78CBCEB8" w14:textId="77777777" w:rsidR="0074673F" w:rsidRDefault="0074673F" w:rsidP="00746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Informe Anual sobre el grado de aplicación de la Ley 12/2014, de 26 de diciembre, de Transparencia y Acceso a la Información Pública. Ejercicio 2021 (</w:t>
      </w:r>
      <w:hyperlink r:id="rId48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.pdf</w:t>
        </w:r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3DC66E84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008A9998" w14:textId="77777777" w:rsidR="0074673F" w:rsidRDefault="0074673F" w:rsidP="0074673F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lastRenderedPageBreak/>
        <w:t>Fecha de Actualización</w:t>
      </w:r>
      <w:r>
        <w:rPr>
          <w:rFonts w:ascii="Open Sans" w:hAnsi="Open Sans" w:cs="Open Sans"/>
          <w:color w:val="333333"/>
          <w:sz w:val="23"/>
          <w:szCs w:val="23"/>
        </w:rPr>
        <w:t>: 12 de julio de 2022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Periodicidad: </w:t>
      </w:r>
      <w:r>
        <w:rPr>
          <w:rFonts w:ascii="Open Sans" w:hAnsi="Open Sans" w:cs="Open Sans"/>
          <w:color w:val="333333"/>
          <w:sz w:val="23"/>
          <w:szCs w:val="23"/>
        </w:rPr>
        <w:t>Cada vez que se actualice el ejercicio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Tipo de información:</w:t>
      </w:r>
      <w:r>
        <w:rPr>
          <w:rFonts w:ascii="Open Sans" w:hAnsi="Open Sans" w:cs="Open Sans"/>
          <w:color w:val="333333"/>
          <w:sz w:val="23"/>
          <w:szCs w:val="23"/>
        </w:rPr>
        <w:t> Derecho de Acceso</w:t>
      </w:r>
    </w:p>
    <w:p w14:paraId="7277A629" w14:textId="6186EAF2" w:rsidR="00C8667E" w:rsidRPr="0074673F" w:rsidRDefault="00C8667E" w:rsidP="0074673F"/>
    <w:sectPr w:rsidR="00C8667E" w:rsidRPr="0074673F" w:rsidSect="0080777A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2268" w:right="170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E982" w14:textId="77777777" w:rsidR="00111D7A" w:rsidRDefault="00111D7A" w:rsidP="003453D9">
      <w:pPr>
        <w:spacing w:after="0" w:line="240" w:lineRule="auto"/>
      </w:pPr>
      <w:r>
        <w:separator/>
      </w:r>
    </w:p>
  </w:endnote>
  <w:endnote w:type="continuationSeparator" w:id="0">
    <w:p w14:paraId="5A89B78D" w14:textId="77777777" w:rsidR="00111D7A" w:rsidRDefault="00111D7A" w:rsidP="003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3EF8" w14:textId="77777777" w:rsidR="003D7819" w:rsidRDefault="003D78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B120" w14:textId="77777777" w:rsidR="003D7819" w:rsidRDefault="003D78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9E3B" w14:textId="77777777" w:rsidR="003D7819" w:rsidRDefault="003D7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5647" w14:textId="77777777" w:rsidR="00111D7A" w:rsidRDefault="00111D7A" w:rsidP="003453D9">
      <w:pPr>
        <w:spacing w:after="0" w:line="240" w:lineRule="auto"/>
      </w:pPr>
      <w:r>
        <w:separator/>
      </w:r>
    </w:p>
  </w:footnote>
  <w:footnote w:type="continuationSeparator" w:id="0">
    <w:p w14:paraId="5349225E" w14:textId="77777777" w:rsidR="00111D7A" w:rsidRDefault="00111D7A" w:rsidP="0034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CD5" w14:textId="77777777" w:rsidR="003D7819" w:rsidRDefault="003D78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68FB" w14:textId="6221312B" w:rsidR="003453D9" w:rsidRDefault="003453D9">
    <w:pPr>
      <w:pStyle w:val="Encabezado"/>
    </w:pPr>
  </w:p>
  <w:tbl>
    <w:tblPr>
      <w:tblStyle w:val="Tablaconcuadrcula"/>
      <w:tblW w:w="1007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6095"/>
    </w:tblGrid>
    <w:tr w:rsidR="003453D9" w14:paraId="721DE9DF" w14:textId="77777777" w:rsidTr="0080777A">
      <w:trPr>
        <w:trHeight w:val="835"/>
      </w:trPr>
      <w:tc>
        <w:tcPr>
          <w:tcW w:w="3975" w:type="dxa"/>
          <w:vAlign w:val="center"/>
        </w:tcPr>
        <w:p w14:paraId="78CDA767" w14:textId="0D78716A" w:rsidR="003453D9" w:rsidRDefault="003453D9" w:rsidP="003453D9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60A3963E" wp14:editId="572DA44C">
                <wp:extent cx="2264636" cy="356098"/>
                <wp:effectExtent l="0" t="0" r="2540" b="6350"/>
                <wp:docPr id="14" name="Imagen 14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54D256D8" w14:textId="77777777" w:rsidR="003453D9" w:rsidRPr="00F45F47" w:rsidRDefault="003453D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</w:pPr>
          <w:r w:rsidRPr="00F45F47"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  <w:t>PORTAL DE TRANSPARENCIA</w:t>
          </w:r>
        </w:p>
        <w:p w14:paraId="049C0FFC" w14:textId="55B3AB21" w:rsidR="00F45F47" w:rsidRPr="003453D9" w:rsidRDefault="003D781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DERECHO DE ACCESO</w:t>
          </w:r>
        </w:p>
      </w:tc>
    </w:tr>
  </w:tbl>
  <w:p w14:paraId="79FF7433" w14:textId="09AE5FA8" w:rsidR="003453D9" w:rsidRDefault="003453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D85A" w14:textId="77777777" w:rsidR="003D7819" w:rsidRDefault="003D78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3D8E"/>
    <w:multiLevelType w:val="multilevel"/>
    <w:tmpl w:val="849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4054"/>
    <w:multiLevelType w:val="multilevel"/>
    <w:tmpl w:val="1B5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97E3E"/>
    <w:multiLevelType w:val="multilevel"/>
    <w:tmpl w:val="A53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958CA"/>
    <w:multiLevelType w:val="multilevel"/>
    <w:tmpl w:val="1C4C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467F7"/>
    <w:multiLevelType w:val="multilevel"/>
    <w:tmpl w:val="9C3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00B38"/>
    <w:multiLevelType w:val="multilevel"/>
    <w:tmpl w:val="480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117042">
    <w:abstractNumId w:val="3"/>
  </w:num>
  <w:num w:numId="2" w16cid:durableId="56829896">
    <w:abstractNumId w:val="2"/>
  </w:num>
  <w:num w:numId="3" w16cid:durableId="1508398272">
    <w:abstractNumId w:val="1"/>
  </w:num>
  <w:num w:numId="4" w16cid:durableId="138235117">
    <w:abstractNumId w:val="4"/>
  </w:num>
  <w:num w:numId="5" w16cid:durableId="1836264902">
    <w:abstractNumId w:val="0"/>
  </w:num>
  <w:num w:numId="6" w16cid:durableId="89636148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9"/>
    <w:rsid w:val="00111D7A"/>
    <w:rsid w:val="003453D9"/>
    <w:rsid w:val="003D7819"/>
    <w:rsid w:val="003E2CE3"/>
    <w:rsid w:val="00537F1E"/>
    <w:rsid w:val="00540D04"/>
    <w:rsid w:val="005921ED"/>
    <w:rsid w:val="006242CE"/>
    <w:rsid w:val="00642FBF"/>
    <w:rsid w:val="0068227D"/>
    <w:rsid w:val="0074673F"/>
    <w:rsid w:val="007F44D5"/>
    <w:rsid w:val="0080777A"/>
    <w:rsid w:val="00964374"/>
    <w:rsid w:val="00A1265C"/>
    <w:rsid w:val="00AC0EC7"/>
    <w:rsid w:val="00C8667E"/>
    <w:rsid w:val="00DF5824"/>
    <w:rsid w:val="00E00B04"/>
    <w:rsid w:val="00EE735B"/>
    <w:rsid w:val="00F175CB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0E7"/>
  <w15:chartTrackingRefBased/>
  <w15:docId w15:val="{2C9718A5-4CD5-496C-89C6-23F48BE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45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45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3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53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53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item-106">
    <w:name w:val="item-10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453D9"/>
    <w:rPr>
      <w:color w:val="0000FF"/>
      <w:u w:val="single"/>
    </w:rPr>
  </w:style>
  <w:style w:type="paragraph" w:customStyle="1" w:styleId="item-103">
    <w:name w:val="item-10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7">
    <w:name w:val="item-10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3453D9"/>
  </w:style>
  <w:style w:type="paragraph" w:customStyle="1" w:styleId="item-323">
    <w:name w:val="item-3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5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5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sp-menu-item">
    <w:name w:val="sp-menu-item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1">
    <w:name w:val="p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3453D9"/>
  </w:style>
  <w:style w:type="character" w:styleId="Textoennegrita">
    <w:name w:val="Strong"/>
    <w:basedOn w:val="Fuentedeprrafopredeter"/>
    <w:uiPriority w:val="22"/>
    <w:qFormat/>
    <w:rsid w:val="003453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2">
    <w:name w:val="p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3453D9"/>
  </w:style>
  <w:style w:type="paragraph" w:customStyle="1" w:styleId="p4">
    <w:name w:val="p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4">
    <w:name w:val="item-10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5">
    <w:name w:val="item-10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209">
    <w:name w:val="item-209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45">
    <w:name w:val="item-14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6">
    <w:name w:val="item-35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4">
    <w:name w:val="item-35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8">
    <w:name w:val="item-358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-copyright">
    <w:name w:val="sp-copyright"/>
    <w:basedOn w:val="Fuentedeprrafopredeter"/>
    <w:rsid w:val="003453D9"/>
  </w:style>
  <w:style w:type="paragraph" w:customStyle="1" w:styleId="item-101">
    <w:name w:val="item-10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12">
    <w:name w:val="item-11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23">
    <w:name w:val="item-1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74">
    <w:name w:val="item-17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67">
    <w:name w:val="item-16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ng-active">
    <w:name w:val="lang-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3D9"/>
  </w:style>
  <w:style w:type="paragraph" w:styleId="Piedepgina">
    <w:name w:val="footer"/>
    <w:basedOn w:val="Normal"/>
    <w:link w:val="Piedepgina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D9"/>
  </w:style>
  <w:style w:type="table" w:styleId="Tablaconcuadrcula">
    <w:name w:val="Table Grid"/>
    <w:basedOn w:val="Tablanormal"/>
    <w:uiPriority w:val="39"/>
    <w:rsid w:val="0034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866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C86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8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63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461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4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2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0147">
                                  <w:marLeft w:val="0"/>
                                  <w:marRight w:val="0"/>
                                  <w:marTop w:val="45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034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697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none" w:sz="0" w:space="0" w:color="auto"/>
          </w:divBdr>
          <w:divsChild>
            <w:div w:id="59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048">
              <w:marLeft w:val="-120"/>
              <w:marRight w:val="-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507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4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hyperlink" Target="https://www.itccanarias.org/web/es/politica-de-privacidad" TargetMode="External"/><Relationship Id="rId26" Type="http://schemas.openxmlformats.org/officeDocument/2006/relationships/hyperlink" Target="https://www.itccanarias.org/web/images/itc/TR-DER-INSTRUCCION_QUE_REGULA_PROCEDIMIENTO_DERECHO_DE_ACCESO.docx" TargetMode="External"/><Relationship Id="rId39" Type="http://schemas.openxmlformats.org/officeDocument/2006/relationships/hyperlink" Target="https://www.itccanarias.org/web/images/itc/TR-POR-Resultado_de_la_evaluacin_del_grado_de_transparencia_2018.odt" TargetMode="External"/><Relationship Id="rId21" Type="http://schemas.openxmlformats.org/officeDocument/2006/relationships/hyperlink" Target="https://www.itccanarias.org/web/images/itc/TR-DER-FORMULARIO_DERECHO_DE_ACCESO_A_LA_INFORMACIN.odt" TargetMode="External"/><Relationship Id="rId34" Type="http://schemas.openxmlformats.org/officeDocument/2006/relationships/hyperlink" Target="https://www.itccanarias.org/web/images/itc/TR-POR-Resultado_de_la_evaluacin_del_grado_de_transparencia_2017.pdf" TargetMode="External"/><Relationship Id="rId42" Type="http://schemas.openxmlformats.org/officeDocument/2006/relationships/hyperlink" Target="https://www.itccanarias.org/web/images/itc/TR-POR-Resultado_de_la_evaluacin_del_grado_de_transparencia_2019.odt" TargetMode="External"/><Relationship Id="rId47" Type="http://schemas.openxmlformats.org/officeDocument/2006/relationships/hyperlink" Target="https://www.itccanarias.org/web/images/itc/TR-POR-Informe_de_Transparencia_2020.pdf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yperlink" Target="https://www.itccanarias.org/web/images/itc/TR-DER-FORMULARIO_DERECHO_DE_ACCESO_A_LA_INFORMACIN.odt" TargetMode="External"/><Relationship Id="rId33" Type="http://schemas.openxmlformats.org/officeDocument/2006/relationships/hyperlink" Target="https://www.itccanarias.org/web/images/itc/TR-DER-2021_Estadsticas_solicitudes_derecho_de_acceso.ods" TargetMode="External"/><Relationship Id="rId38" Type="http://schemas.openxmlformats.org/officeDocument/2006/relationships/hyperlink" Target="https://www.itccanarias.org/web/images/itc/TR-POR-Resultado_de_la_evaluacin_del_grado_de_transparencia_2018.docx" TargetMode="External"/><Relationship Id="rId46" Type="http://schemas.openxmlformats.org/officeDocument/2006/relationships/hyperlink" Target="https://www.itccanarias.org/web/images/itc/TR-POR-Informe_de_Transparencia_2019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https://www.itccanarias.org/web/images/itc/TR-DER-FORMULARIO_DERECHO_DE_ACCESO_A_LA_INFORMACIN.docx" TargetMode="External"/><Relationship Id="rId29" Type="http://schemas.openxmlformats.org/officeDocument/2006/relationships/hyperlink" Target="https://www.gobiernodecanarias.org/libroazul/pdf/71248.pdf" TargetMode="External"/><Relationship Id="rId41" Type="http://schemas.openxmlformats.org/officeDocument/2006/relationships/hyperlink" Target="https://www.itccanarias.org/web/images/itc/TR-POR-Resultado_de_la_evaluacin_del_grado_de_transparencia_2019.docx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www.itccanarias.org/web/images/itc/TR-DER-FORMULARIO_DERECHO_DE_ACCESO_A_LA_INFORMACIN.docx" TargetMode="External"/><Relationship Id="rId32" Type="http://schemas.openxmlformats.org/officeDocument/2006/relationships/hyperlink" Target="https://www.itccanarias.org/web/images/itc/TR-DER-2021_Estadsticas_solicitudes_derecho_de_acceso.xlsx" TargetMode="External"/><Relationship Id="rId37" Type="http://schemas.openxmlformats.org/officeDocument/2006/relationships/hyperlink" Target="https://www.itccanarias.org/web/images/itc/TR-POR-Resultado_de_la_evaluacin_del_grado_de_transparencia_2018.pdf" TargetMode="External"/><Relationship Id="rId40" Type="http://schemas.openxmlformats.org/officeDocument/2006/relationships/hyperlink" Target="https://www.itccanarias.org/web/images/itc/TR-POR-Resultado_de_la_evaluacin_del_grado_de_transparencia_2019.pdf" TargetMode="External"/><Relationship Id="rId45" Type="http://schemas.openxmlformats.org/officeDocument/2006/relationships/hyperlink" Target="https://www.itccanarias.org/web/images/itc/TR-POR-Resultado_de_la_evaluacin_del_grado_de_transparencia_2020.odt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hyperlink" Target="https://www.itccanarias.org/web/images/itc/TR-DER-FORMULARIO_DERECHO_DE_ACCESO_A_LA_INFORMACIN.odt" TargetMode="External"/><Relationship Id="rId28" Type="http://schemas.openxmlformats.org/officeDocument/2006/relationships/hyperlink" Target="mailto:transparencia@itccanarias.org" TargetMode="External"/><Relationship Id="rId36" Type="http://schemas.openxmlformats.org/officeDocument/2006/relationships/hyperlink" Target="https://www.itccanarias.org/web/images/itc/TR-POR-Resultado_de_la_evaluacin_del_grado_de_transparencia_2017.odt" TargetMode="External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yperlink" Target="mailto:transparencia@itccanarias.org" TargetMode="External"/><Relationship Id="rId31" Type="http://schemas.openxmlformats.org/officeDocument/2006/relationships/hyperlink" Target="https://transparenciacanarias.org/como-reclamar/" TargetMode="External"/><Relationship Id="rId44" Type="http://schemas.openxmlformats.org/officeDocument/2006/relationships/hyperlink" Target="https://www.itccanarias.org/web/images/itc/TR-POR-Resultado_de_la_evaluacin_del_grado_de_transparencia_2020.docx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hyperlink" Target="https://www.itccanarias.org/web/images/itc/TR-DER-FORMULARIO_DERECHO_DE_ACCESO_A_LA_INFORMACIN.docx" TargetMode="External"/><Relationship Id="rId27" Type="http://schemas.openxmlformats.org/officeDocument/2006/relationships/hyperlink" Target="https://www.itccanarias.org/web/images/itc/TR-DER-INSTRUCCION_QUE_REGULA_PROCEDIMIENTO_DERECHO_DE_ACCESO.odt" TargetMode="External"/><Relationship Id="rId30" Type="http://schemas.openxmlformats.org/officeDocument/2006/relationships/hyperlink" Target="mailto:comisionadotransparencia@transparenciacanarias.org" TargetMode="External"/><Relationship Id="rId35" Type="http://schemas.openxmlformats.org/officeDocument/2006/relationships/hyperlink" Target="https://www.itccanarias.org/web/images/itc/TR-POR-Resultado_de_la_evaluacin_del_grado_de_transparencia_2017.docx" TargetMode="External"/><Relationship Id="rId43" Type="http://schemas.openxmlformats.org/officeDocument/2006/relationships/hyperlink" Target="https://www.itccanarias.org/web/images/itc/TR-POR-Resultado_de_la_evaluacin_del_grado_de_transparencia_2020.pdf" TargetMode="External"/><Relationship Id="rId48" Type="http://schemas.openxmlformats.org/officeDocument/2006/relationships/hyperlink" Target="https://www.itccanarias.org/web/images/itc/TR-POR-Informe_de_Transparencia_2021.pdf" TargetMode="External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www.itccanarias.org/web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1531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</dc:creator>
  <cp:keywords/>
  <dc:description/>
  <cp:lastModifiedBy>Ramón García</cp:lastModifiedBy>
  <cp:revision>12</cp:revision>
  <dcterms:created xsi:type="dcterms:W3CDTF">2021-10-27T20:14:00Z</dcterms:created>
  <dcterms:modified xsi:type="dcterms:W3CDTF">2022-07-12T12:39:00Z</dcterms:modified>
</cp:coreProperties>
</file>