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7B77"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En este apartado se recoge la relación de convenios, encargos y subvenciones recibidas por el ITC en los ejercicios anteriores</w:t>
      </w:r>
      <w:r>
        <w:rPr>
          <w:rStyle w:val="s2"/>
          <w:rFonts w:ascii="Open Sans" w:hAnsi="Open Sans" w:cs="Open Sans"/>
          <w:color w:val="333333"/>
          <w:sz w:val="23"/>
          <w:szCs w:val="23"/>
        </w:rPr>
        <w:t> </w:t>
      </w:r>
      <w:r>
        <w:rPr>
          <w:rStyle w:val="s1"/>
          <w:rFonts w:ascii="Open Sans" w:hAnsi="Open Sans" w:cs="Open Sans"/>
          <w:color w:val="333333"/>
          <w:sz w:val="23"/>
          <w:szCs w:val="23"/>
        </w:rPr>
        <w:t>finalizados y la relación actualizada de los mismos tras la finalización del anterior trimestre. Así mismo, también se incluyen la relación de los instrumentos que regulan la actividad convencional del ITC formalizados en el </w:t>
      </w:r>
      <w:r>
        <w:rPr>
          <w:rStyle w:val="s2"/>
          <w:rFonts w:ascii="Open Sans" w:hAnsi="Open Sans" w:cs="Open Sans"/>
          <w:color w:val="333333"/>
          <w:sz w:val="23"/>
          <w:szCs w:val="23"/>
        </w:rPr>
        <w:t>ejercicio anterior </w:t>
      </w:r>
      <w:r>
        <w:rPr>
          <w:rStyle w:val="s1"/>
          <w:rFonts w:ascii="Open Sans" w:hAnsi="Open Sans" w:cs="Open Sans"/>
          <w:color w:val="333333"/>
          <w:sz w:val="23"/>
          <w:szCs w:val="23"/>
        </w:rPr>
        <w:t>finalizado y la relación actualizada de los mismos tras la finalización del anterior trimestre.</w:t>
      </w:r>
      <w:r>
        <w:rPr>
          <w:rFonts w:ascii="Open Sans" w:hAnsi="Open Sans" w:cs="Open Sans"/>
          <w:color w:val="333333"/>
          <w:sz w:val="23"/>
          <w:szCs w:val="23"/>
        </w:rPr>
        <w:t> </w:t>
      </w:r>
    </w:p>
    <w:p w14:paraId="648F5DFE" w14:textId="77777777" w:rsidR="00E03929" w:rsidRDefault="00E03929" w:rsidP="00E0392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6B15CA57" w14:textId="77777777" w:rsidR="00E03929" w:rsidRDefault="00E03929" w:rsidP="00E0392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CONVENIOS</w:t>
      </w:r>
      <w:r>
        <w:rPr>
          <w:rFonts w:ascii="Montserrat" w:hAnsi="Montserrat"/>
          <w:b w:val="0"/>
          <w:bCs w:val="0"/>
          <w:caps/>
          <w:color w:val="0095F8"/>
          <w:spacing w:val="-4"/>
        </w:rPr>
        <w:t> </w:t>
      </w:r>
    </w:p>
    <w:p w14:paraId="3E00491E"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este apartado se adjunta la siguiente información sobre los convenios formalizados por el ITC:</w:t>
      </w:r>
    </w:p>
    <w:p w14:paraId="2C01D1C0" w14:textId="77777777" w:rsidR="00E03929" w:rsidRDefault="00E03929" w:rsidP="00E03929">
      <w:pPr>
        <w:pStyle w:val="p1"/>
        <w:numPr>
          <w:ilvl w:val="0"/>
          <w:numId w:val="33"/>
        </w:numPr>
        <w:shd w:val="clear" w:color="auto" w:fill="FFFFFF"/>
        <w:rPr>
          <w:rFonts w:ascii="Open Sans" w:hAnsi="Open Sans" w:cs="Open Sans"/>
          <w:color w:val="333333"/>
          <w:sz w:val="23"/>
          <w:szCs w:val="23"/>
        </w:rPr>
      </w:pPr>
      <w:r>
        <w:rPr>
          <w:rFonts w:ascii="Open Sans" w:hAnsi="Open Sans" w:cs="Open Sans"/>
          <w:color w:val="333333"/>
          <w:sz w:val="23"/>
          <w:szCs w:val="23"/>
        </w:rPr>
        <w:t>Partes firmantes y denominación del convenio; objeto, con indicación de las actuaciones o actividades comprometidas; plazo y condiciones de vigencia; órganos o unidades encargadas de la ejecución y obligaciones económicas/financiación, con indicación de las cantidades que corresponden a cada una de las partes firmantes</w:t>
      </w:r>
    </w:p>
    <w:p w14:paraId="5CD88206" w14:textId="77777777" w:rsidR="00E03929" w:rsidRDefault="00E03929" w:rsidP="00E03929">
      <w:pPr>
        <w:pStyle w:val="p1"/>
        <w:numPr>
          <w:ilvl w:val="0"/>
          <w:numId w:val="33"/>
        </w:numPr>
        <w:shd w:val="clear" w:color="auto" w:fill="FFFFFF"/>
        <w:rPr>
          <w:rFonts w:ascii="Open Sans" w:hAnsi="Open Sans" w:cs="Open Sans"/>
          <w:color w:val="333333"/>
          <w:sz w:val="23"/>
          <w:szCs w:val="23"/>
        </w:rPr>
      </w:pPr>
      <w:r>
        <w:rPr>
          <w:rFonts w:ascii="Open Sans" w:hAnsi="Open Sans" w:cs="Open Sans"/>
          <w:color w:val="333333"/>
          <w:sz w:val="23"/>
          <w:szCs w:val="23"/>
        </w:rPr>
        <w:t>Modificaciones realizadas durante la vigencia: objeto y fecha. </w:t>
      </w:r>
    </w:p>
    <w:p w14:paraId="790100C2" w14:textId="77777777" w:rsidR="00E03929" w:rsidRDefault="00E03929" w:rsidP="00E03929">
      <w:pPr>
        <w:pStyle w:val="p1"/>
        <w:numPr>
          <w:ilvl w:val="0"/>
          <w:numId w:val="33"/>
        </w:numPr>
        <w:shd w:val="clear" w:color="auto" w:fill="FFFFFF"/>
        <w:rPr>
          <w:rFonts w:ascii="Open Sans" w:hAnsi="Open Sans" w:cs="Open Sans"/>
          <w:color w:val="333333"/>
          <w:sz w:val="23"/>
          <w:szCs w:val="23"/>
        </w:rPr>
      </w:pPr>
      <w:r>
        <w:rPr>
          <w:rFonts w:ascii="Open Sans" w:hAnsi="Open Sans" w:cs="Open Sans"/>
          <w:color w:val="333333"/>
          <w:sz w:val="23"/>
          <w:szCs w:val="23"/>
        </w:rPr>
        <w:t>Publicación de los convenios, así como sus modificaciones, prórrogas, anexos o adendas de los convenios en el Boletín Oficial de Canarias e inscripción en los registros de convenios y acceso telemático a los mismos. </w:t>
      </w:r>
    </w:p>
    <w:p w14:paraId="368717DA"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7AAC5F5"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2017</w:t>
      </w:r>
    </w:p>
    <w:p w14:paraId="6D7937F2" w14:textId="77777777" w:rsidR="00E03929" w:rsidRDefault="00E03929" w:rsidP="00E03929">
      <w:pPr>
        <w:pStyle w:val="p1"/>
        <w:numPr>
          <w:ilvl w:val="0"/>
          <w:numId w:val="34"/>
        </w:numPr>
        <w:shd w:val="clear" w:color="auto" w:fill="FFFFFF"/>
        <w:rPr>
          <w:rFonts w:ascii="Open Sans" w:hAnsi="Open Sans" w:cs="Open Sans"/>
          <w:color w:val="333333"/>
          <w:sz w:val="23"/>
          <w:szCs w:val="23"/>
        </w:rPr>
      </w:pPr>
      <w:r>
        <w:rPr>
          <w:rFonts w:ascii="Open Sans" w:hAnsi="Open Sans" w:cs="Open Sans"/>
          <w:color w:val="333333"/>
          <w:sz w:val="23"/>
          <w:szCs w:val="23"/>
        </w:rPr>
        <w:t>Relación de convenios, apartados a) y b) (</w:t>
      </w:r>
      <w:hyperlink r:id="rId7" w:tgtFrame="_blank" w:history="1">
        <w:r>
          <w:rPr>
            <w:rStyle w:val="Hipervnculo"/>
            <w:rFonts w:ascii="Open Sans" w:hAnsi="Open Sans" w:cs="Open Sans"/>
            <w:color w:val="009FE3"/>
            <w:sz w:val="23"/>
            <w:szCs w:val="23"/>
          </w:rPr>
          <w:t>.xlsx</w:t>
        </w:r>
      </w:hyperlink>
      <w:r>
        <w:rPr>
          <w:rFonts w:ascii="Open Sans" w:hAnsi="Open Sans" w:cs="Open Sans"/>
          <w:color w:val="333333"/>
          <w:sz w:val="23"/>
          <w:szCs w:val="23"/>
        </w:rPr>
        <w:t>) (</w:t>
      </w:r>
      <w:hyperlink r:id="rId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5E642723" w14:textId="77777777" w:rsidR="00E03929" w:rsidRDefault="00E03929" w:rsidP="00E0392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33E5D08"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2018</w:t>
      </w:r>
    </w:p>
    <w:p w14:paraId="4A83C449" w14:textId="77777777" w:rsidR="00E03929" w:rsidRDefault="00E03929" w:rsidP="00E03929">
      <w:pPr>
        <w:pStyle w:val="p1"/>
        <w:numPr>
          <w:ilvl w:val="0"/>
          <w:numId w:val="35"/>
        </w:numPr>
        <w:shd w:val="clear" w:color="auto" w:fill="FFFFFF"/>
        <w:rPr>
          <w:rFonts w:ascii="Open Sans" w:hAnsi="Open Sans" w:cs="Open Sans"/>
          <w:color w:val="333333"/>
          <w:sz w:val="23"/>
          <w:szCs w:val="23"/>
        </w:rPr>
      </w:pPr>
      <w:r>
        <w:rPr>
          <w:rFonts w:ascii="Open Sans" w:hAnsi="Open Sans" w:cs="Open Sans"/>
          <w:color w:val="333333"/>
          <w:sz w:val="23"/>
          <w:szCs w:val="23"/>
        </w:rPr>
        <w:t>Relación de convenios, apartados a) y b)  (</w:t>
      </w:r>
      <w:hyperlink r:id="rId9" w:tgtFrame="_blank" w:history="1">
        <w:r>
          <w:rPr>
            <w:rStyle w:val="Hipervnculo"/>
            <w:rFonts w:ascii="Open Sans" w:hAnsi="Open Sans" w:cs="Open Sans"/>
            <w:color w:val="009FE3"/>
            <w:sz w:val="23"/>
            <w:szCs w:val="23"/>
          </w:rPr>
          <w:t>.xlsx</w:t>
        </w:r>
      </w:hyperlink>
      <w:r>
        <w:rPr>
          <w:rFonts w:ascii="Open Sans" w:hAnsi="Open Sans" w:cs="Open Sans"/>
          <w:color w:val="333333"/>
          <w:sz w:val="23"/>
          <w:szCs w:val="23"/>
        </w:rPr>
        <w:t>) (</w:t>
      </w:r>
      <w:hyperlink r:id="rId1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3C0E1031" w14:textId="77777777" w:rsidR="00E03929" w:rsidRDefault="00E03929" w:rsidP="00E0392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2900251"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2019</w:t>
      </w:r>
    </w:p>
    <w:p w14:paraId="69B5A115" w14:textId="77777777" w:rsidR="00E03929" w:rsidRDefault="00E03929" w:rsidP="00E03929">
      <w:pPr>
        <w:pStyle w:val="p1"/>
        <w:numPr>
          <w:ilvl w:val="0"/>
          <w:numId w:val="36"/>
        </w:numPr>
        <w:shd w:val="clear" w:color="auto" w:fill="FFFFFF"/>
        <w:rPr>
          <w:rFonts w:ascii="Open Sans" w:hAnsi="Open Sans" w:cs="Open Sans"/>
          <w:color w:val="333333"/>
          <w:sz w:val="23"/>
          <w:szCs w:val="23"/>
        </w:rPr>
      </w:pPr>
      <w:r>
        <w:rPr>
          <w:rFonts w:ascii="Open Sans" w:hAnsi="Open Sans" w:cs="Open Sans"/>
          <w:color w:val="333333"/>
          <w:sz w:val="23"/>
          <w:szCs w:val="23"/>
        </w:rPr>
        <w:t>Relación de convenios, apartados a) y b)  (</w:t>
      </w:r>
      <w:hyperlink r:id="rId11" w:tgtFrame="_blank" w:history="1">
        <w:r>
          <w:rPr>
            <w:rStyle w:val="Hipervnculo"/>
            <w:rFonts w:ascii="Open Sans" w:hAnsi="Open Sans" w:cs="Open Sans"/>
            <w:color w:val="009FE3"/>
            <w:sz w:val="23"/>
            <w:szCs w:val="23"/>
          </w:rPr>
          <w:t>.xlsx</w:t>
        </w:r>
      </w:hyperlink>
      <w:r>
        <w:rPr>
          <w:rFonts w:ascii="Open Sans" w:hAnsi="Open Sans" w:cs="Open Sans"/>
          <w:color w:val="333333"/>
          <w:sz w:val="23"/>
          <w:szCs w:val="23"/>
        </w:rPr>
        <w:t>) (</w:t>
      </w:r>
      <w:hyperlink r:id="rId1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77F1A3A8"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C204CA2"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lastRenderedPageBreak/>
        <w:t>Ejercicio 2020</w:t>
      </w:r>
    </w:p>
    <w:p w14:paraId="4E28AC35" w14:textId="77777777" w:rsidR="00E03929" w:rsidRDefault="00E03929" w:rsidP="00E03929">
      <w:pPr>
        <w:pStyle w:val="p1"/>
        <w:numPr>
          <w:ilvl w:val="0"/>
          <w:numId w:val="37"/>
        </w:numPr>
        <w:shd w:val="clear" w:color="auto" w:fill="FFFFFF"/>
        <w:rPr>
          <w:rFonts w:ascii="Open Sans" w:hAnsi="Open Sans" w:cs="Open Sans"/>
          <w:color w:val="333333"/>
          <w:sz w:val="23"/>
          <w:szCs w:val="23"/>
        </w:rPr>
      </w:pPr>
      <w:r>
        <w:rPr>
          <w:rFonts w:ascii="Open Sans" w:hAnsi="Open Sans" w:cs="Open Sans"/>
          <w:color w:val="333333"/>
          <w:sz w:val="23"/>
          <w:szCs w:val="23"/>
        </w:rPr>
        <w:t>Relación de convenios, apartados a) y b)  (</w:t>
      </w:r>
      <w:hyperlink r:id="rId13" w:tgtFrame="_blank" w:history="1">
        <w:r>
          <w:rPr>
            <w:rStyle w:val="Hipervnculo"/>
            <w:rFonts w:ascii="Open Sans" w:hAnsi="Open Sans" w:cs="Open Sans"/>
            <w:color w:val="009FE3"/>
            <w:sz w:val="23"/>
            <w:szCs w:val="23"/>
          </w:rPr>
          <w:t>.xlsx</w:t>
        </w:r>
      </w:hyperlink>
      <w:r>
        <w:rPr>
          <w:rFonts w:ascii="Open Sans" w:hAnsi="Open Sans" w:cs="Open Sans"/>
          <w:color w:val="333333"/>
          <w:sz w:val="23"/>
          <w:szCs w:val="23"/>
        </w:rPr>
        <w:t>) (</w:t>
      </w:r>
      <w:hyperlink r:id="rId1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0963406E" w14:textId="77777777" w:rsidR="00E03929" w:rsidRDefault="00E03929" w:rsidP="00E03929">
      <w:pPr>
        <w:pStyle w:val="p1"/>
        <w:numPr>
          <w:ilvl w:val="0"/>
          <w:numId w:val="37"/>
        </w:numPr>
        <w:shd w:val="clear" w:color="auto" w:fill="FFFFFF"/>
        <w:rPr>
          <w:rFonts w:ascii="Open Sans" w:hAnsi="Open Sans" w:cs="Open Sans"/>
          <w:color w:val="333333"/>
          <w:sz w:val="23"/>
          <w:szCs w:val="23"/>
        </w:rPr>
      </w:pPr>
      <w:r>
        <w:rPr>
          <w:rFonts w:ascii="Open Sans" w:hAnsi="Open Sans" w:cs="Open Sans"/>
          <w:color w:val="333333"/>
          <w:sz w:val="23"/>
          <w:szCs w:val="23"/>
        </w:rPr>
        <w:t>Convenios (</w:t>
      </w:r>
      <w:hyperlink r:id="rId15" w:tgtFrame="_blank" w:history="1">
        <w:r>
          <w:rPr>
            <w:rStyle w:val="Hipervnculo"/>
            <w:rFonts w:ascii="Open Sans" w:hAnsi="Open Sans" w:cs="Open Sans"/>
            <w:color w:val="009FE3"/>
            <w:sz w:val="23"/>
            <w:szCs w:val="23"/>
          </w:rPr>
          <w:t>documentos</w:t>
        </w:r>
      </w:hyperlink>
      <w:r>
        <w:rPr>
          <w:rFonts w:ascii="Open Sans" w:hAnsi="Open Sans" w:cs="Open Sans"/>
          <w:color w:val="333333"/>
          <w:sz w:val="23"/>
          <w:szCs w:val="23"/>
        </w:rPr>
        <w:t>)</w:t>
      </w:r>
    </w:p>
    <w:p w14:paraId="3FAB60E7" w14:textId="77777777" w:rsidR="00E03929" w:rsidRDefault="00E03929" w:rsidP="00E0392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CB14673" w14:textId="77777777" w:rsidR="00E03929" w:rsidRDefault="00E03929" w:rsidP="00E0392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ENCARGOS A MEDIOS PROPIOS Y ENCOMIENDAS DE GESTIÓN</w:t>
      </w:r>
    </w:p>
    <w:p w14:paraId="27E87D06"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este apartado se adjunta la siguiente información sobre los encargos (encomiendas de gestión) realizados al ITC: </w:t>
      </w:r>
    </w:p>
    <w:p w14:paraId="1D112174" w14:textId="77777777" w:rsidR="00E03929" w:rsidRDefault="00E03929" w:rsidP="00E03929">
      <w:pPr>
        <w:numPr>
          <w:ilvl w:val="0"/>
          <w:numId w:val="3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xml:space="preserve">Entidad </w:t>
      </w:r>
      <w:proofErr w:type="spellStart"/>
      <w:r>
        <w:rPr>
          <w:rFonts w:ascii="Open Sans" w:hAnsi="Open Sans" w:cs="Open Sans"/>
          <w:color w:val="333333"/>
          <w:sz w:val="23"/>
          <w:szCs w:val="23"/>
        </w:rPr>
        <w:t>encomendante</w:t>
      </w:r>
      <w:proofErr w:type="spellEnd"/>
      <w:r>
        <w:rPr>
          <w:rFonts w:ascii="Open Sans" w:hAnsi="Open Sans" w:cs="Open Sans"/>
          <w:color w:val="333333"/>
          <w:sz w:val="23"/>
          <w:szCs w:val="23"/>
        </w:rPr>
        <w:t xml:space="preserve"> o </w:t>
      </w:r>
      <w:proofErr w:type="gramStart"/>
      <w:r>
        <w:rPr>
          <w:rFonts w:ascii="Open Sans" w:hAnsi="Open Sans" w:cs="Open Sans"/>
          <w:color w:val="333333"/>
          <w:sz w:val="23"/>
          <w:szCs w:val="23"/>
        </w:rPr>
        <w:t>encomendada ;</w:t>
      </w:r>
      <w:proofErr w:type="gramEnd"/>
      <w:r>
        <w:rPr>
          <w:rFonts w:ascii="Open Sans" w:hAnsi="Open Sans" w:cs="Open Sans"/>
          <w:color w:val="333333"/>
          <w:sz w:val="23"/>
          <w:szCs w:val="23"/>
        </w:rPr>
        <w:t xml:space="preserve"> objeto y denominación; presupuesto; duración y obligaciones económicas reconocidas</w:t>
      </w:r>
    </w:p>
    <w:p w14:paraId="353D238D" w14:textId="77777777" w:rsidR="00E03929" w:rsidRDefault="00E03929" w:rsidP="00E03929">
      <w:pPr>
        <w:numPr>
          <w:ilvl w:val="0"/>
          <w:numId w:val="3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xml:space="preserve">Número y categorías profesionales de las personas incluidas en cada encomienda, importe total destinado a gastos de personal; medios materiales que la entidad </w:t>
      </w:r>
      <w:proofErr w:type="spellStart"/>
      <w:r>
        <w:rPr>
          <w:rFonts w:ascii="Open Sans" w:hAnsi="Open Sans" w:cs="Open Sans"/>
          <w:color w:val="333333"/>
          <w:sz w:val="23"/>
          <w:szCs w:val="23"/>
        </w:rPr>
        <w:t>encomendante</w:t>
      </w:r>
      <w:proofErr w:type="spellEnd"/>
      <w:r>
        <w:rPr>
          <w:rFonts w:ascii="Open Sans" w:hAnsi="Open Sans" w:cs="Open Sans"/>
          <w:color w:val="333333"/>
          <w:sz w:val="23"/>
          <w:szCs w:val="23"/>
        </w:rPr>
        <w:t xml:space="preserve"> haya acordado poner a disposición de la encomendada para la realización del trabajo; motivos que justifican que no se presten los servicios con los medios personales con que cuenta el órgano o entidad </w:t>
      </w:r>
      <w:proofErr w:type="spellStart"/>
      <w:r>
        <w:rPr>
          <w:rFonts w:ascii="Open Sans" w:hAnsi="Open Sans" w:cs="Open Sans"/>
          <w:color w:val="333333"/>
          <w:sz w:val="23"/>
          <w:szCs w:val="23"/>
        </w:rPr>
        <w:t>encomendante</w:t>
      </w:r>
      <w:proofErr w:type="spellEnd"/>
    </w:p>
    <w:p w14:paraId="0589ABD9" w14:textId="77777777" w:rsidR="00E03929" w:rsidRDefault="00E03929" w:rsidP="00E03929">
      <w:pPr>
        <w:numPr>
          <w:ilvl w:val="0"/>
          <w:numId w:val="3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Tarifas y precios Fijados</w:t>
      </w:r>
    </w:p>
    <w:p w14:paraId="0D924C39" w14:textId="77777777" w:rsidR="00E03929" w:rsidRDefault="00E03929" w:rsidP="00E03929">
      <w:pPr>
        <w:numPr>
          <w:ilvl w:val="0"/>
          <w:numId w:val="3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Modificaciones y revisiones de precios y presupuesto; y liquidación final de la encomienda.</w:t>
      </w:r>
    </w:p>
    <w:p w14:paraId="4082D683" w14:textId="77777777" w:rsidR="00E03929" w:rsidRDefault="00E03929" w:rsidP="00E03929">
      <w:pPr>
        <w:numPr>
          <w:ilvl w:val="0"/>
          <w:numId w:val="3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Personas o entidades adjudicatarias de las subcontrataciones efectuadas</w:t>
      </w:r>
    </w:p>
    <w:p w14:paraId="766C3514" w14:textId="77777777" w:rsidR="00E03929" w:rsidRDefault="00E03929" w:rsidP="00E0392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303D4A23"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2017</w:t>
      </w:r>
    </w:p>
    <w:p w14:paraId="3A51DC95" w14:textId="77777777" w:rsidR="00E03929" w:rsidRDefault="00E03929" w:rsidP="00E03929">
      <w:pPr>
        <w:pStyle w:val="p1"/>
        <w:numPr>
          <w:ilvl w:val="0"/>
          <w:numId w:val="39"/>
        </w:numPr>
        <w:shd w:val="clear" w:color="auto" w:fill="FFFFFF"/>
        <w:rPr>
          <w:rFonts w:ascii="Open Sans" w:hAnsi="Open Sans" w:cs="Open Sans"/>
          <w:color w:val="333333"/>
          <w:sz w:val="23"/>
          <w:szCs w:val="23"/>
        </w:rPr>
      </w:pPr>
      <w:r>
        <w:rPr>
          <w:rFonts w:ascii="Open Sans" w:hAnsi="Open Sans" w:cs="Open Sans"/>
          <w:color w:val="333333"/>
          <w:sz w:val="23"/>
          <w:szCs w:val="23"/>
        </w:rPr>
        <w:t>Relación detallada de encomiendas de gestión con inclusión de la información de los apartados a), b), d) y e) (</w:t>
      </w:r>
      <w:hyperlink r:id="rId16" w:tgtFrame="_blank" w:history="1">
        <w:r>
          <w:rPr>
            <w:rStyle w:val="Hipervnculo"/>
            <w:rFonts w:ascii="Open Sans" w:hAnsi="Open Sans" w:cs="Open Sans"/>
            <w:color w:val="009FE3"/>
            <w:sz w:val="23"/>
            <w:szCs w:val="23"/>
          </w:rPr>
          <w:t>.xlsx</w:t>
        </w:r>
      </w:hyperlink>
      <w:r>
        <w:rPr>
          <w:rFonts w:ascii="Open Sans" w:hAnsi="Open Sans" w:cs="Open Sans"/>
          <w:color w:val="333333"/>
          <w:sz w:val="23"/>
          <w:szCs w:val="23"/>
        </w:rPr>
        <w:t>) (</w:t>
      </w:r>
      <w:hyperlink r:id="rId1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71881EFC" w14:textId="77777777" w:rsidR="00E03929" w:rsidRDefault="00E03929" w:rsidP="00E03929">
      <w:pPr>
        <w:pStyle w:val="p1"/>
        <w:numPr>
          <w:ilvl w:val="0"/>
          <w:numId w:val="39"/>
        </w:numPr>
        <w:shd w:val="clear" w:color="auto" w:fill="FFFFFF"/>
        <w:rPr>
          <w:rFonts w:ascii="Open Sans" w:hAnsi="Open Sans" w:cs="Open Sans"/>
          <w:color w:val="333333"/>
          <w:sz w:val="23"/>
          <w:szCs w:val="23"/>
        </w:rPr>
      </w:pPr>
      <w:r>
        <w:rPr>
          <w:rFonts w:ascii="Open Sans" w:hAnsi="Open Sans" w:cs="Open Sans"/>
          <w:color w:val="333333"/>
          <w:sz w:val="23"/>
          <w:szCs w:val="23"/>
        </w:rPr>
        <w:t>Tarifas y precios fijados: </w:t>
      </w:r>
    </w:p>
    <w:p w14:paraId="0E19A81B"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952BF58"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2018</w:t>
      </w:r>
    </w:p>
    <w:p w14:paraId="46835AE6" w14:textId="77777777" w:rsidR="00E03929" w:rsidRDefault="00E03929" w:rsidP="00E03929">
      <w:pPr>
        <w:pStyle w:val="p1"/>
        <w:numPr>
          <w:ilvl w:val="0"/>
          <w:numId w:val="40"/>
        </w:numPr>
        <w:shd w:val="clear" w:color="auto" w:fill="FFFFFF"/>
        <w:rPr>
          <w:rFonts w:ascii="Open Sans" w:hAnsi="Open Sans" w:cs="Open Sans"/>
          <w:color w:val="333333"/>
          <w:sz w:val="23"/>
          <w:szCs w:val="23"/>
        </w:rPr>
      </w:pPr>
      <w:r>
        <w:rPr>
          <w:rFonts w:ascii="Open Sans" w:hAnsi="Open Sans" w:cs="Open Sans"/>
          <w:color w:val="333333"/>
          <w:sz w:val="23"/>
          <w:szCs w:val="23"/>
        </w:rPr>
        <w:t>Relación detallada de encomiendas de gestión con inclusión de la información de los apartados a), b), d) y e) (</w:t>
      </w:r>
      <w:hyperlink r:id="rId18" w:tgtFrame="_blank" w:history="1">
        <w:r>
          <w:rPr>
            <w:rStyle w:val="Hipervnculo"/>
            <w:rFonts w:ascii="Open Sans" w:hAnsi="Open Sans" w:cs="Open Sans"/>
            <w:color w:val="009FE3"/>
            <w:sz w:val="23"/>
            <w:szCs w:val="23"/>
          </w:rPr>
          <w:t>.xlsx</w:t>
        </w:r>
      </w:hyperlink>
      <w:r>
        <w:rPr>
          <w:rFonts w:ascii="Open Sans" w:hAnsi="Open Sans" w:cs="Open Sans"/>
          <w:color w:val="333333"/>
          <w:sz w:val="23"/>
          <w:szCs w:val="23"/>
        </w:rPr>
        <w:t>) (</w:t>
      </w:r>
      <w:hyperlink r:id="rId1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384311C8" w14:textId="77777777" w:rsidR="00E03929" w:rsidRDefault="00E03929" w:rsidP="00E03929">
      <w:pPr>
        <w:pStyle w:val="p1"/>
        <w:numPr>
          <w:ilvl w:val="0"/>
          <w:numId w:val="40"/>
        </w:numPr>
        <w:shd w:val="clear" w:color="auto" w:fill="FFFFFF"/>
        <w:rPr>
          <w:rFonts w:ascii="Open Sans" w:hAnsi="Open Sans" w:cs="Open Sans"/>
          <w:color w:val="333333"/>
          <w:sz w:val="23"/>
          <w:szCs w:val="23"/>
        </w:rPr>
      </w:pPr>
      <w:r>
        <w:rPr>
          <w:rFonts w:ascii="Open Sans" w:hAnsi="Open Sans" w:cs="Open Sans"/>
          <w:color w:val="333333"/>
          <w:sz w:val="23"/>
          <w:szCs w:val="23"/>
        </w:rPr>
        <w:t>Tarifas y precios fijados: </w:t>
      </w:r>
    </w:p>
    <w:p w14:paraId="000DF289"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321E332F"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lastRenderedPageBreak/>
        <w:t>Ejercicio 2019</w:t>
      </w:r>
    </w:p>
    <w:p w14:paraId="4B9E5B81" w14:textId="77777777" w:rsidR="00E03929" w:rsidRDefault="00E03929" w:rsidP="00E03929">
      <w:pPr>
        <w:pStyle w:val="p1"/>
        <w:numPr>
          <w:ilvl w:val="0"/>
          <w:numId w:val="41"/>
        </w:numPr>
        <w:shd w:val="clear" w:color="auto" w:fill="FFFFFF"/>
        <w:rPr>
          <w:rFonts w:ascii="Open Sans" w:hAnsi="Open Sans" w:cs="Open Sans"/>
          <w:color w:val="333333"/>
          <w:sz w:val="23"/>
          <w:szCs w:val="23"/>
        </w:rPr>
      </w:pPr>
      <w:r>
        <w:rPr>
          <w:rFonts w:ascii="Open Sans" w:hAnsi="Open Sans" w:cs="Open Sans"/>
          <w:color w:val="333333"/>
          <w:sz w:val="23"/>
          <w:szCs w:val="23"/>
        </w:rPr>
        <w:t>Relación detallada de encomiendas de gestión con inclusión de la información de los apartados a), b), d) y e) (</w:t>
      </w:r>
      <w:hyperlink r:id="rId20" w:tgtFrame="_blank" w:history="1">
        <w:r>
          <w:rPr>
            <w:rStyle w:val="Hipervnculo"/>
            <w:rFonts w:ascii="Open Sans" w:hAnsi="Open Sans" w:cs="Open Sans"/>
            <w:color w:val="009FE3"/>
            <w:sz w:val="23"/>
            <w:szCs w:val="23"/>
          </w:rPr>
          <w:t>.xlsx</w:t>
        </w:r>
      </w:hyperlink>
      <w:r>
        <w:rPr>
          <w:rFonts w:ascii="Open Sans" w:hAnsi="Open Sans" w:cs="Open Sans"/>
          <w:color w:val="333333"/>
          <w:sz w:val="23"/>
          <w:szCs w:val="23"/>
        </w:rPr>
        <w:t>) (</w:t>
      </w:r>
      <w:hyperlink r:id="rId2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15294BA4" w14:textId="77777777" w:rsidR="00E03929" w:rsidRDefault="00E03929" w:rsidP="00E03929">
      <w:pPr>
        <w:pStyle w:val="p1"/>
        <w:numPr>
          <w:ilvl w:val="0"/>
          <w:numId w:val="41"/>
        </w:numPr>
        <w:shd w:val="clear" w:color="auto" w:fill="FFFFFF"/>
        <w:rPr>
          <w:rFonts w:ascii="Open Sans" w:hAnsi="Open Sans" w:cs="Open Sans"/>
          <w:color w:val="333333"/>
          <w:sz w:val="23"/>
          <w:szCs w:val="23"/>
        </w:rPr>
      </w:pPr>
      <w:r>
        <w:rPr>
          <w:rFonts w:ascii="Open Sans" w:hAnsi="Open Sans" w:cs="Open Sans"/>
          <w:color w:val="333333"/>
          <w:sz w:val="23"/>
          <w:szCs w:val="23"/>
        </w:rPr>
        <w:t>Tarifas y precios fijados: </w:t>
      </w:r>
    </w:p>
    <w:p w14:paraId="6C479C01"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238D2DE"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Ejercicio 2020</w:t>
      </w:r>
    </w:p>
    <w:p w14:paraId="28FE55E8" w14:textId="77777777" w:rsidR="00E03929" w:rsidRDefault="00E03929" w:rsidP="00E03929">
      <w:pPr>
        <w:pStyle w:val="p1"/>
        <w:numPr>
          <w:ilvl w:val="0"/>
          <w:numId w:val="42"/>
        </w:numPr>
        <w:shd w:val="clear" w:color="auto" w:fill="FFFFFF"/>
        <w:rPr>
          <w:rFonts w:ascii="Open Sans" w:hAnsi="Open Sans" w:cs="Open Sans"/>
          <w:color w:val="333333"/>
          <w:sz w:val="23"/>
          <w:szCs w:val="23"/>
        </w:rPr>
      </w:pPr>
      <w:r>
        <w:rPr>
          <w:rFonts w:ascii="Open Sans" w:hAnsi="Open Sans" w:cs="Open Sans"/>
          <w:color w:val="333333"/>
          <w:sz w:val="23"/>
          <w:szCs w:val="23"/>
        </w:rPr>
        <w:t>Relación detallada de encargos a medios propios con inclusión de la información de los apartados a), b), d) y e) (</w:t>
      </w:r>
      <w:hyperlink r:id="rId22" w:tgtFrame="_blank" w:history="1">
        <w:r>
          <w:rPr>
            <w:rStyle w:val="Hipervnculo"/>
            <w:rFonts w:ascii="Open Sans" w:hAnsi="Open Sans" w:cs="Open Sans"/>
            <w:color w:val="009FE3"/>
            <w:sz w:val="23"/>
            <w:szCs w:val="23"/>
          </w:rPr>
          <w:t>.xlsx</w:t>
        </w:r>
      </w:hyperlink>
      <w:r>
        <w:rPr>
          <w:rFonts w:ascii="Open Sans" w:hAnsi="Open Sans" w:cs="Open Sans"/>
          <w:color w:val="333333"/>
          <w:sz w:val="23"/>
          <w:szCs w:val="23"/>
        </w:rPr>
        <w:t>) (</w:t>
      </w:r>
      <w:hyperlink r:id="rId2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40327528" w14:textId="77777777" w:rsidR="00E03929" w:rsidRDefault="00E03929" w:rsidP="00E03929">
      <w:pPr>
        <w:pStyle w:val="p1"/>
        <w:numPr>
          <w:ilvl w:val="0"/>
          <w:numId w:val="42"/>
        </w:numPr>
        <w:shd w:val="clear" w:color="auto" w:fill="FFFFFF"/>
        <w:rPr>
          <w:rFonts w:ascii="Open Sans" w:hAnsi="Open Sans" w:cs="Open Sans"/>
          <w:color w:val="333333"/>
          <w:sz w:val="23"/>
          <w:szCs w:val="23"/>
        </w:rPr>
      </w:pPr>
      <w:r>
        <w:rPr>
          <w:rFonts w:ascii="Open Sans" w:hAnsi="Open Sans" w:cs="Open Sans"/>
          <w:color w:val="333333"/>
          <w:sz w:val="23"/>
          <w:szCs w:val="23"/>
        </w:rPr>
        <w:t>Tarifas y precios fijados. Orden 202/2019 Tarifas 2020 (</w:t>
      </w:r>
      <w:hyperlink r:id="rId2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r>
        <w:rPr>
          <w:rFonts w:ascii="Open Sans" w:hAnsi="Open Sans" w:cs="Open Sans"/>
          <w:color w:val="333333"/>
          <w:sz w:val="23"/>
          <w:szCs w:val="23"/>
        </w:rPr>
        <w:t> (</w:t>
      </w:r>
      <w:hyperlink r:id="rId25"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2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6AC54B22" w14:textId="77777777" w:rsidR="00E03929" w:rsidRDefault="00E03929" w:rsidP="00E03929">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DE03BC2" w14:textId="77777777" w:rsidR="00E03929" w:rsidRDefault="00E03929" w:rsidP="00E0392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AYUDAS Y SUBVENCIONES CONCEDIDAS</w:t>
      </w:r>
    </w:p>
    <w:p w14:paraId="0E61443E" w14:textId="77777777" w:rsidR="00E03929" w:rsidRDefault="00E03929" w:rsidP="00E03929">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 </w:t>
      </w:r>
    </w:p>
    <w:p w14:paraId="4483ABEE" w14:textId="77777777" w:rsidR="00E03929" w:rsidRDefault="00E03929" w:rsidP="00E03929">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Subvención concedida: </w:t>
      </w:r>
      <w:r>
        <w:rPr>
          <w:rFonts w:ascii="Open Sans" w:hAnsi="Open Sans" w:cs="Open Sans"/>
          <w:color w:val="333333"/>
          <w:sz w:val="23"/>
          <w:szCs w:val="23"/>
        </w:rPr>
        <w:t>Equipamiento para activar servicios singulares/estratégicos para la mejora de la competitividad y calidad de las empresas de los sectores agroalimentario y de la biomecánica</w:t>
      </w:r>
    </w:p>
    <w:p w14:paraId="0A67A627" w14:textId="77777777" w:rsidR="00E03929" w:rsidRDefault="00E03929" w:rsidP="00E03929">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Importe:</w:t>
      </w:r>
      <w:r>
        <w:rPr>
          <w:rFonts w:ascii="Open Sans" w:hAnsi="Open Sans" w:cs="Open Sans"/>
          <w:color w:val="333333"/>
          <w:sz w:val="23"/>
          <w:szCs w:val="23"/>
        </w:rPr>
        <w:t> 500.000 euros</w:t>
      </w:r>
    </w:p>
    <w:p w14:paraId="455DCDBB" w14:textId="77777777" w:rsidR="00E03929" w:rsidRDefault="00E03929" w:rsidP="00E03929">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Objetivo:</w:t>
      </w:r>
      <w:r>
        <w:rPr>
          <w:rFonts w:ascii="Open Sans" w:hAnsi="Open Sans" w:cs="Open Sans"/>
          <w:color w:val="333333"/>
          <w:sz w:val="23"/>
          <w:szCs w:val="23"/>
        </w:rPr>
        <w:t> Fomentar el sector industrial en Canarias, mejorando su competitividad, la calidad de los productos industriales y la innovación en el sector</w:t>
      </w:r>
    </w:p>
    <w:p w14:paraId="3AAA552D" w14:textId="77777777" w:rsidR="00E03929" w:rsidRDefault="00E03929" w:rsidP="00E03929">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Finalidad:</w:t>
      </w:r>
      <w:r>
        <w:rPr>
          <w:rFonts w:ascii="Open Sans" w:hAnsi="Open Sans" w:cs="Open Sans"/>
          <w:color w:val="333333"/>
          <w:sz w:val="23"/>
          <w:szCs w:val="23"/>
        </w:rPr>
        <w:t> Adquisición de equipamiento científico tecnológico para un centro de mecanizado por control numérico de arranque de viruta y de equipamiento científico-técnico para evaluar y estudiar la trazabilidad del origen, calidad y autenticidad de los productos agroalimentarios de Canarias (caracterización de las relaciones isotópicas de elementos ligeros).</w:t>
      </w:r>
    </w:p>
    <w:p w14:paraId="33927BCF" w14:textId="77777777" w:rsidR="00E03929" w:rsidRDefault="00E03929" w:rsidP="00E03929">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Fecha de concesión: </w:t>
      </w:r>
      <w:r>
        <w:rPr>
          <w:rFonts w:ascii="Open Sans" w:hAnsi="Open Sans" w:cs="Open Sans"/>
          <w:color w:val="333333"/>
          <w:sz w:val="23"/>
          <w:szCs w:val="23"/>
        </w:rPr>
        <w:t>26 de diciembre de 2018</w:t>
      </w:r>
    </w:p>
    <w:p w14:paraId="15A49396" w14:textId="77777777" w:rsidR="00E03929" w:rsidRDefault="00E03929" w:rsidP="00E03929">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Órgano concedente:</w:t>
      </w:r>
      <w:r>
        <w:rPr>
          <w:rFonts w:ascii="Open Sans" w:hAnsi="Open Sans" w:cs="Open Sans"/>
          <w:color w:val="333333"/>
          <w:sz w:val="23"/>
          <w:szCs w:val="23"/>
        </w:rPr>
        <w:t> Consejería de Economía, Industria, Comercio y Conocimiento del Gobierno de Canarias</w:t>
      </w:r>
    </w:p>
    <w:p w14:paraId="65BE9DBC" w14:textId="77777777" w:rsidR="00E03929" w:rsidRDefault="00E03929" w:rsidP="00E0392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CB610A2" w14:textId="77777777" w:rsidR="00E03929" w:rsidRDefault="00E03929" w:rsidP="00E03929">
      <w:p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Style w:val="s1"/>
          <w:rFonts w:ascii="Open Sans" w:hAnsi="Open Sans" w:cs="Open Sans"/>
          <w:color w:val="333333"/>
          <w:sz w:val="23"/>
          <w:szCs w:val="23"/>
        </w:rPr>
        <w:t>: 28 de octubre de 2021</w:t>
      </w:r>
    </w:p>
    <w:p w14:paraId="4FA900CD" w14:textId="77777777" w:rsidR="00E03929" w:rsidRDefault="00E03929" w:rsidP="00E03929">
      <w:p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lastRenderedPageBreak/>
        <w:t>Periodicidad: </w:t>
      </w:r>
      <w:r>
        <w:rPr>
          <w:rStyle w:val="s1"/>
          <w:rFonts w:ascii="Open Sans" w:hAnsi="Open Sans" w:cs="Open Sans"/>
          <w:color w:val="333333"/>
          <w:sz w:val="23"/>
          <w:szCs w:val="23"/>
        </w:rPr>
        <w:t>Trimestral</w:t>
      </w:r>
    </w:p>
    <w:p w14:paraId="21908C2B" w14:textId="77777777" w:rsidR="00E03929" w:rsidRDefault="00E03929" w:rsidP="00E03929">
      <w:p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t>Tipo de información:</w:t>
      </w:r>
      <w:r>
        <w:rPr>
          <w:rStyle w:val="s1"/>
          <w:rFonts w:ascii="Open Sans" w:hAnsi="Open Sans" w:cs="Open Sans"/>
          <w:color w:val="333333"/>
          <w:sz w:val="23"/>
          <w:szCs w:val="23"/>
        </w:rPr>
        <w:t> Convenios y Encomiendas de Gestión </w:t>
      </w:r>
    </w:p>
    <w:p w14:paraId="2BC05F0C" w14:textId="42289192" w:rsidR="007F44D5" w:rsidRPr="00E03929" w:rsidRDefault="007F44D5" w:rsidP="00E03929"/>
    <w:sectPr w:rsidR="007F44D5" w:rsidRPr="00E03929" w:rsidSect="003453D9">
      <w:headerReference w:type="default" r:id="rId27"/>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D28" w14:textId="77777777" w:rsidR="00B12614" w:rsidRDefault="00B12614" w:rsidP="003453D9">
      <w:pPr>
        <w:spacing w:after="0" w:line="240" w:lineRule="auto"/>
      </w:pPr>
      <w:r>
        <w:separator/>
      </w:r>
    </w:p>
  </w:endnote>
  <w:endnote w:type="continuationSeparator" w:id="0">
    <w:p w14:paraId="4C76509B" w14:textId="77777777" w:rsidR="00B12614" w:rsidRDefault="00B12614"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48CE" w14:textId="77777777" w:rsidR="00B12614" w:rsidRDefault="00B12614" w:rsidP="003453D9">
      <w:pPr>
        <w:spacing w:after="0" w:line="240" w:lineRule="auto"/>
      </w:pPr>
      <w:r>
        <w:separator/>
      </w:r>
    </w:p>
  </w:footnote>
  <w:footnote w:type="continuationSeparator" w:id="0">
    <w:p w14:paraId="3279B7D0" w14:textId="77777777" w:rsidR="00B12614" w:rsidRDefault="00B12614" w:rsidP="0034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68FB" w14:textId="6221312B" w:rsidR="003453D9" w:rsidRDefault="003453D9">
    <w:pPr>
      <w:pStyle w:val="Encabezado"/>
    </w:pPr>
  </w:p>
  <w:tbl>
    <w:tblPr>
      <w:tblStyle w:val="Tablaconcuadrcula"/>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3453D9" w14:paraId="721DE9DF" w14:textId="77777777" w:rsidTr="003453D9">
      <w:trPr>
        <w:trHeight w:val="835"/>
      </w:trPr>
      <w:tc>
        <w:tcPr>
          <w:tcW w:w="4506"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16" name="Imagen 16"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5559" w:type="dxa"/>
          <w:vAlign w:val="center"/>
        </w:tcPr>
        <w:p w14:paraId="049C0FFC" w14:textId="3FA13006" w:rsidR="003453D9" w:rsidRPr="003453D9" w:rsidRDefault="003453D9" w:rsidP="003453D9">
          <w:pPr>
            <w:spacing w:line="276" w:lineRule="auto"/>
            <w:ind w:left="357"/>
            <w:jc w:val="right"/>
            <w:rPr>
              <w:rFonts w:ascii="Montserrat" w:eastAsia="Times New Roman" w:hAnsi="Montserrat" w:cs="Open Sans"/>
              <w:b/>
              <w:bCs/>
              <w:caps/>
              <w:color w:val="0095F8"/>
              <w:spacing w:val="-4"/>
              <w:sz w:val="27"/>
              <w:szCs w:val="27"/>
              <w:lang w:eastAsia="es-ES"/>
            </w:rPr>
          </w:pPr>
          <w:r w:rsidRPr="00A1265C">
            <w:rPr>
              <w:rFonts w:ascii="Montserrat" w:eastAsia="Times New Roman" w:hAnsi="Montserrat" w:cs="Open Sans"/>
              <w:b/>
              <w:bCs/>
              <w:caps/>
              <w:color w:val="0095F8"/>
              <w:spacing w:val="-4"/>
              <w:sz w:val="27"/>
              <w:szCs w:val="27"/>
              <w:lang w:eastAsia="es-ES"/>
            </w:rPr>
            <w:t>PORTAL DE TRANSPARENCIA</w:t>
          </w:r>
        </w:p>
      </w:tc>
    </w:tr>
  </w:tbl>
  <w:p w14:paraId="79FF7433" w14:textId="09AE5FA8" w:rsidR="003453D9" w:rsidRDefault="003453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909"/>
    <w:multiLevelType w:val="multilevel"/>
    <w:tmpl w:val="9550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250EF"/>
    <w:multiLevelType w:val="multilevel"/>
    <w:tmpl w:val="36E8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03DD8"/>
    <w:multiLevelType w:val="multilevel"/>
    <w:tmpl w:val="B24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C11FD"/>
    <w:multiLevelType w:val="multilevel"/>
    <w:tmpl w:val="A14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968C7"/>
    <w:multiLevelType w:val="multilevel"/>
    <w:tmpl w:val="DBBC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F2CD6"/>
    <w:multiLevelType w:val="multilevel"/>
    <w:tmpl w:val="B2A4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45CC1"/>
    <w:multiLevelType w:val="multilevel"/>
    <w:tmpl w:val="4A6E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7274E"/>
    <w:multiLevelType w:val="multilevel"/>
    <w:tmpl w:val="215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52902"/>
    <w:multiLevelType w:val="multilevel"/>
    <w:tmpl w:val="DCA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77A2D"/>
    <w:multiLevelType w:val="multilevel"/>
    <w:tmpl w:val="D2FA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C340F"/>
    <w:multiLevelType w:val="multilevel"/>
    <w:tmpl w:val="A372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21E57"/>
    <w:multiLevelType w:val="multilevel"/>
    <w:tmpl w:val="30EA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66CF2"/>
    <w:multiLevelType w:val="multilevel"/>
    <w:tmpl w:val="BEA4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BA619B"/>
    <w:multiLevelType w:val="multilevel"/>
    <w:tmpl w:val="8962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13F6C"/>
    <w:multiLevelType w:val="multilevel"/>
    <w:tmpl w:val="9D48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D4701"/>
    <w:multiLevelType w:val="multilevel"/>
    <w:tmpl w:val="49B2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24F7A"/>
    <w:multiLevelType w:val="multilevel"/>
    <w:tmpl w:val="9E40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211DD"/>
    <w:multiLevelType w:val="multilevel"/>
    <w:tmpl w:val="0A76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A53572"/>
    <w:multiLevelType w:val="multilevel"/>
    <w:tmpl w:val="2CE4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C32F1A"/>
    <w:multiLevelType w:val="multilevel"/>
    <w:tmpl w:val="8D98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835E7"/>
    <w:multiLevelType w:val="multilevel"/>
    <w:tmpl w:val="189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B7601"/>
    <w:multiLevelType w:val="multilevel"/>
    <w:tmpl w:val="8A962E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B431BE9"/>
    <w:multiLevelType w:val="multilevel"/>
    <w:tmpl w:val="C9B2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9523DA"/>
    <w:multiLevelType w:val="multilevel"/>
    <w:tmpl w:val="161C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723876"/>
    <w:multiLevelType w:val="multilevel"/>
    <w:tmpl w:val="67D2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C0EFC"/>
    <w:multiLevelType w:val="multilevel"/>
    <w:tmpl w:val="2B7C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258FB"/>
    <w:multiLevelType w:val="multilevel"/>
    <w:tmpl w:val="C43C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662FA"/>
    <w:multiLevelType w:val="multilevel"/>
    <w:tmpl w:val="AA24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0C103D"/>
    <w:multiLevelType w:val="multilevel"/>
    <w:tmpl w:val="4D74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1278BF"/>
    <w:multiLevelType w:val="multilevel"/>
    <w:tmpl w:val="396E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E34B62"/>
    <w:multiLevelType w:val="multilevel"/>
    <w:tmpl w:val="41C6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1C7580"/>
    <w:multiLevelType w:val="multilevel"/>
    <w:tmpl w:val="1606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0A0359"/>
    <w:multiLevelType w:val="multilevel"/>
    <w:tmpl w:val="385C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86BAC"/>
    <w:multiLevelType w:val="multilevel"/>
    <w:tmpl w:val="D8421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CF36CF"/>
    <w:multiLevelType w:val="multilevel"/>
    <w:tmpl w:val="BEC63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33F0337"/>
    <w:multiLevelType w:val="multilevel"/>
    <w:tmpl w:val="1222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D44195"/>
    <w:multiLevelType w:val="multilevel"/>
    <w:tmpl w:val="5A5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E250F7"/>
    <w:multiLevelType w:val="multilevel"/>
    <w:tmpl w:val="AC86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D534A2"/>
    <w:multiLevelType w:val="multilevel"/>
    <w:tmpl w:val="AFA6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E81DFD"/>
    <w:multiLevelType w:val="multilevel"/>
    <w:tmpl w:val="6802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27799E"/>
    <w:multiLevelType w:val="multilevel"/>
    <w:tmpl w:val="F704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602FF"/>
    <w:multiLevelType w:val="multilevel"/>
    <w:tmpl w:val="192C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3"/>
  </w:num>
  <w:num w:numId="3">
    <w:abstractNumId w:val="26"/>
  </w:num>
  <w:num w:numId="4">
    <w:abstractNumId w:val="41"/>
  </w:num>
  <w:num w:numId="5">
    <w:abstractNumId w:val="29"/>
  </w:num>
  <w:num w:numId="6">
    <w:abstractNumId w:val="40"/>
  </w:num>
  <w:num w:numId="7">
    <w:abstractNumId w:val="9"/>
  </w:num>
  <w:num w:numId="8">
    <w:abstractNumId w:val="17"/>
  </w:num>
  <w:num w:numId="9">
    <w:abstractNumId w:val="27"/>
  </w:num>
  <w:num w:numId="10">
    <w:abstractNumId w:val="4"/>
  </w:num>
  <w:num w:numId="11">
    <w:abstractNumId w:val="11"/>
  </w:num>
  <w:num w:numId="12">
    <w:abstractNumId w:val="14"/>
  </w:num>
  <w:num w:numId="13">
    <w:abstractNumId w:val="5"/>
  </w:num>
  <w:num w:numId="14">
    <w:abstractNumId w:val="10"/>
  </w:num>
  <w:num w:numId="15">
    <w:abstractNumId w:val="8"/>
  </w:num>
  <w:num w:numId="16">
    <w:abstractNumId w:val="20"/>
  </w:num>
  <w:num w:numId="17">
    <w:abstractNumId w:val="23"/>
  </w:num>
  <w:num w:numId="18">
    <w:abstractNumId w:val="13"/>
  </w:num>
  <w:num w:numId="19">
    <w:abstractNumId w:val="39"/>
  </w:num>
  <w:num w:numId="20">
    <w:abstractNumId w:val="24"/>
  </w:num>
  <w:num w:numId="21">
    <w:abstractNumId w:val="32"/>
  </w:num>
  <w:num w:numId="22">
    <w:abstractNumId w:val="6"/>
  </w:num>
  <w:num w:numId="23">
    <w:abstractNumId w:val="1"/>
  </w:num>
  <w:num w:numId="24">
    <w:abstractNumId w:val="18"/>
  </w:num>
  <w:num w:numId="25">
    <w:abstractNumId w:val="0"/>
  </w:num>
  <w:num w:numId="26">
    <w:abstractNumId w:val="36"/>
  </w:num>
  <w:num w:numId="27">
    <w:abstractNumId w:val="15"/>
  </w:num>
  <w:num w:numId="28">
    <w:abstractNumId w:val="3"/>
  </w:num>
  <w:num w:numId="29">
    <w:abstractNumId w:val="35"/>
  </w:num>
  <w:num w:numId="30">
    <w:abstractNumId w:val="2"/>
  </w:num>
  <w:num w:numId="31">
    <w:abstractNumId w:val="19"/>
  </w:num>
  <w:num w:numId="32">
    <w:abstractNumId w:val="12"/>
  </w:num>
  <w:num w:numId="33">
    <w:abstractNumId w:val="34"/>
  </w:num>
  <w:num w:numId="34">
    <w:abstractNumId w:val="7"/>
  </w:num>
  <w:num w:numId="35">
    <w:abstractNumId w:val="37"/>
  </w:num>
  <w:num w:numId="36">
    <w:abstractNumId w:val="22"/>
  </w:num>
  <w:num w:numId="37">
    <w:abstractNumId w:val="38"/>
  </w:num>
  <w:num w:numId="38">
    <w:abstractNumId w:val="21"/>
  </w:num>
  <w:num w:numId="39">
    <w:abstractNumId w:val="28"/>
  </w:num>
  <w:num w:numId="40">
    <w:abstractNumId w:val="25"/>
  </w:num>
  <w:num w:numId="41">
    <w:abstractNumId w:val="30"/>
  </w:num>
  <w:num w:numId="4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D9"/>
    <w:rsid w:val="00121D45"/>
    <w:rsid w:val="001E2589"/>
    <w:rsid w:val="00202AAB"/>
    <w:rsid w:val="002E513B"/>
    <w:rsid w:val="003453D9"/>
    <w:rsid w:val="0037571C"/>
    <w:rsid w:val="00416BBF"/>
    <w:rsid w:val="005921ED"/>
    <w:rsid w:val="005B478D"/>
    <w:rsid w:val="006242CE"/>
    <w:rsid w:val="00642FBF"/>
    <w:rsid w:val="0068227D"/>
    <w:rsid w:val="006B3F67"/>
    <w:rsid w:val="007A540C"/>
    <w:rsid w:val="007F44D5"/>
    <w:rsid w:val="00964374"/>
    <w:rsid w:val="00A1265C"/>
    <w:rsid w:val="00A42E9C"/>
    <w:rsid w:val="00AC0EC7"/>
    <w:rsid w:val="00B12614"/>
    <w:rsid w:val="00B66552"/>
    <w:rsid w:val="00BD735F"/>
    <w:rsid w:val="00C32A3F"/>
    <w:rsid w:val="00C8667E"/>
    <w:rsid w:val="00D34BCC"/>
    <w:rsid w:val="00DF5824"/>
    <w:rsid w:val="00E00B04"/>
    <w:rsid w:val="00E03929"/>
    <w:rsid w:val="00E15D9A"/>
    <w:rsid w:val="00EE735B"/>
    <w:rsid w:val="00F93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5B47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semiHidden/>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 w:type="character" w:customStyle="1" w:styleId="Ttulo5Car">
    <w:name w:val="Título 5 Car"/>
    <w:basedOn w:val="Fuentedeprrafopredeter"/>
    <w:link w:val="Ttulo5"/>
    <w:uiPriority w:val="9"/>
    <w:semiHidden/>
    <w:rsid w:val="005B478D"/>
    <w:rPr>
      <w:rFonts w:asciiTheme="majorHAnsi" w:eastAsiaTheme="majorEastAsia" w:hAnsiTheme="majorHAnsi" w:cstheme="majorBidi"/>
      <w:color w:val="2F5496" w:themeColor="accent1" w:themeShade="BF"/>
    </w:rPr>
  </w:style>
  <w:style w:type="paragraph" w:customStyle="1" w:styleId="limittexttwolines">
    <w:name w:val="limit_text_two_lines"/>
    <w:basedOn w:val="Normal"/>
    <w:rsid w:val="005B478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0405">
      <w:bodyDiv w:val="1"/>
      <w:marLeft w:val="0"/>
      <w:marRight w:val="0"/>
      <w:marTop w:val="0"/>
      <w:marBottom w:val="0"/>
      <w:divBdr>
        <w:top w:val="none" w:sz="0" w:space="0" w:color="auto"/>
        <w:left w:val="none" w:sz="0" w:space="0" w:color="auto"/>
        <w:bottom w:val="none" w:sz="0" w:space="0" w:color="auto"/>
        <w:right w:val="none" w:sz="0" w:space="0" w:color="auto"/>
      </w:divBdr>
    </w:div>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6562">
      <w:bodyDiv w:val="1"/>
      <w:marLeft w:val="0"/>
      <w:marRight w:val="0"/>
      <w:marTop w:val="0"/>
      <w:marBottom w:val="0"/>
      <w:divBdr>
        <w:top w:val="none" w:sz="0" w:space="0" w:color="auto"/>
        <w:left w:val="none" w:sz="0" w:space="0" w:color="auto"/>
        <w:bottom w:val="none" w:sz="0" w:space="0" w:color="auto"/>
        <w:right w:val="none" w:sz="0" w:space="0" w:color="auto"/>
      </w:divBdr>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046101037">
      <w:bodyDiv w:val="1"/>
      <w:marLeft w:val="0"/>
      <w:marRight w:val="0"/>
      <w:marTop w:val="0"/>
      <w:marBottom w:val="0"/>
      <w:divBdr>
        <w:top w:val="none" w:sz="0" w:space="0" w:color="auto"/>
        <w:left w:val="none" w:sz="0" w:space="0" w:color="auto"/>
        <w:bottom w:val="none" w:sz="0" w:space="0" w:color="auto"/>
        <w:right w:val="none" w:sz="0" w:space="0" w:color="auto"/>
      </w:divBdr>
      <w:divsChild>
        <w:div w:id="931624461">
          <w:marLeft w:val="0"/>
          <w:marRight w:val="0"/>
          <w:marTop w:val="0"/>
          <w:marBottom w:val="0"/>
          <w:divBdr>
            <w:top w:val="none" w:sz="0" w:space="0" w:color="auto"/>
            <w:left w:val="none" w:sz="0" w:space="0" w:color="auto"/>
            <w:bottom w:val="none" w:sz="0" w:space="0" w:color="auto"/>
            <w:right w:val="none" w:sz="0" w:space="0" w:color="auto"/>
          </w:divBdr>
        </w:div>
        <w:div w:id="316885937">
          <w:marLeft w:val="0"/>
          <w:marRight w:val="0"/>
          <w:marTop w:val="0"/>
          <w:marBottom w:val="0"/>
          <w:divBdr>
            <w:top w:val="none" w:sz="0" w:space="0" w:color="auto"/>
            <w:left w:val="none" w:sz="0" w:space="0" w:color="auto"/>
            <w:bottom w:val="none" w:sz="0" w:space="0" w:color="auto"/>
            <w:right w:val="none" w:sz="0" w:space="0" w:color="auto"/>
          </w:divBdr>
          <w:divsChild>
            <w:div w:id="2083940924">
              <w:marLeft w:val="-225"/>
              <w:marRight w:val="-225"/>
              <w:marTop w:val="0"/>
              <w:marBottom w:val="0"/>
              <w:divBdr>
                <w:top w:val="none" w:sz="0" w:space="0" w:color="auto"/>
                <w:left w:val="none" w:sz="0" w:space="0" w:color="auto"/>
                <w:bottom w:val="none" w:sz="0" w:space="0" w:color="auto"/>
                <w:right w:val="none" w:sz="0" w:space="0" w:color="auto"/>
              </w:divBdr>
              <w:divsChild>
                <w:div w:id="56510972">
                  <w:marLeft w:val="0"/>
                  <w:marRight w:val="0"/>
                  <w:marTop w:val="150"/>
                  <w:marBottom w:val="0"/>
                  <w:divBdr>
                    <w:top w:val="none" w:sz="0" w:space="0" w:color="auto"/>
                    <w:left w:val="none" w:sz="0" w:space="0" w:color="auto"/>
                    <w:bottom w:val="none" w:sz="0" w:space="0" w:color="auto"/>
                    <w:right w:val="none" w:sz="0" w:space="0" w:color="auto"/>
                  </w:divBdr>
                </w:div>
                <w:div w:id="1717311296">
                  <w:marLeft w:val="0"/>
                  <w:marRight w:val="0"/>
                  <w:marTop w:val="150"/>
                  <w:marBottom w:val="0"/>
                  <w:divBdr>
                    <w:top w:val="none" w:sz="0" w:space="0" w:color="auto"/>
                    <w:left w:val="none" w:sz="0" w:space="0" w:color="auto"/>
                    <w:bottom w:val="none" w:sz="0" w:space="0" w:color="auto"/>
                    <w:right w:val="none" w:sz="0" w:space="0" w:color="auto"/>
                  </w:divBdr>
                </w:div>
              </w:divsChild>
            </w:div>
            <w:div w:id="775099143">
              <w:marLeft w:val="0"/>
              <w:marRight w:val="0"/>
              <w:marTop w:val="0"/>
              <w:marBottom w:val="0"/>
              <w:divBdr>
                <w:top w:val="none" w:sz="0" w:space="0" w:color="auto"/>
                <w:left w:val="none" w:sz="0" w:space="0" w:color="auto"/>
                <w:bottom w:val="none" w:sz="0" w:space="0" w:color="auto"/>
                <w:right w:val="none" w:sz="0" w:space="0" w:color="auto"/>
              </w:divBdr>
            </w:div>
          </w:divsChild>
        </w:div>
        <w:div w:id="1990594090">
          <w:marLeft w:val="0"/>
          <w:marRight w:val="0"/>
          <w:marTop w:val="450"/>
          <w:marBottom w:val="0"/>
          <w:divBdr>
            <w:top w:val="none" w:sz="0" w:space="0" w:color="auto"/>
            <w:left w:val="none" w:sz="0" w:space="0" w:color="auto"/>
            <w:bottom w:val="none" w:sz="0" w:space="0" w:color="auto"/>
            <w:right w:val="none" w:sz="0" w:space="0" w:color="auto"/>
          </w:divBdr>
        </w:div>
      </w:divsChild>
    </w:div>
    <w:div w:id="1280605830">
      <w:bodyDiv w:val="1"/>
      <w:marLeft w:val="0"/>
      <w:marRight w:val="0"/>
      <w:marTop w:val="0"/>
      <w:marBottom w:val="0"/>
      <w:divBdr>
        <w:top w:val="none" w:sz="0" w:space="0" w:color="auto"/>
        <w:left w:val="none" w:sz="0" w:space="0" w:color="auto"/>
        <w:bottom w:val="none" w:sz="0" w:space="0" w:color="auto"/>
        <w:right w:val="none" w:sz="0" w:space="0" w:color="auto"/>
      </w:divBdr>
      <w:divsChild>
        <w:div w:id="1670912673">
          <w:marLeft w:val="0"/>
          <w:marRight w:val="0"/>
          <w:marTop w:val="0"/>
          <w:marBottom w:val="0"/>
          <w:divBdr>
            <w:top w:val="none" w:sz="0" w:space="0" w:color="auto"/>
            <w:left w:val="none" w:sz="0" w:space="0" w:color="auto"/>
            <w:bottom w:val="none" w:sz="0" w:space="0" w:color="auto"/>
            <w:right w:val="none" w:sz="0" w:space="0" w:color="auto"/>
          </w:divBdr>
        </w:div>
        <w:div w:id="428939044">
          <w:marLeft w:val="0"/>
          <w:marRight w:val="0"/>
          <w:marTop w:val="0"/>
          <w:marBottom w:val="0"/>
          <w:divBdr>
            <w:top w:val="none" w:sz="0" w:space="0" w:color="auto"/>
            <w:left w:val="none" w:sz="0" w:space="0" w:color="auto"/>
            <w:bottom w:val="none" w:sz="0" w:space="0" w:color="auto"/>
            <w:right w:val="none" w:sz="0" w:space="0" w:color="auto"/>
          </w:divBdr>
        </w:div>
        <w:div w:id="1048607010">
          <w:marLeft w:val="0"/>
          <w:marRight w:val="0"/>
          <w:marTop w:val="0"/>
          <w:marBottom w:val="0"/>
          <w:divBdr>
            <w:top w:val="none" w:sz="0" w:space="0" w:color="auto"/>
            <w:left w:val="none" w:sz="0" w:space="0" w:color="auto"/>
            <w:bottom w:val="none" w:sz="0" w:space="0" w:color="auto"/>
            <w:right w:val="none" w:sz="0" w:space="0" w:color="auto"/>
          </w:divBdr>
        </w:div>
      </w:divsChild>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1575969676">
      <w:bodyDiv w:val="1"/>
      <w:marLeft w:val="0"/>
      <w:marRight w:val="0"/>
      <w:marTop w:val="0"/>
      <w:marBottom w:val="0"/>
      <w:divBdr>
        <w:top w:val="none" w:sz="0" w:space="0" w:color="auto"/>
        <w:left w:val="none" w:sz="0" w:space="0" w:color="auto"/>
        <w:bottom w:val="none" w:sz="0" w:space="0" w:color="auto"/>
        <w:right w:val="none" w:sz="0" w:space="0" w:color="auto"/>
      </w:divBdr>
    </w:div>
    <w:div w:id="1697388240">
      <w:bodyDiv w:val="1"/>
      <w:marLeft w:val="0"/>
      <w:marRight w:val="0"/>
      <w:marTop w:val="0"/>
      <w:marBottom w:val="0"/>
      <w:divBdr>
        <w:top w:val="none" w:sz="0" w:space="0" w:color="auto"/>
        <w:left w:val="none" w:sz="0" w:space="0" w:color="auto"/>
        <w:bottom w:val="none" w:sz="0" w:space="0" w:color="auto"/>
        <w:right w:val="none" w:sz="0" w:space="0" w:color="auto"/>
      </w:divBdr>
      <w:divsChild>
        <w:div w:id="1919822714">
          <w:marLeft w:val="0"/>
          <w:marRight w:val="0"/>
          <w:marTop w:val="0"/>
          <w:marBottom w:val="0"/>
          <w:divBdr>
            <w:top w:val="none" w:sz="0" w:space="0" w:color="auto"/>
            <w:left w:val="none" w:sz="0" w:space="0" w:color="auto"/>
            <w:bottom w:val="none" w:sz="0" w:space="0" w:color="auto"/>
            <w:right w:val="none" w:sz="0" w:space="0" w:color="auto"/>
          </w:divBdr>
          <w:divsChild>
            <w:div w:id="445395706">
              <w:marLeft w:val="0"/>
              <w:marRight w:val="0"/>
              <w:marTop w:val="0"/>
              <w:marBottom w:val="240"/>
              <w:divBdr>
                <w:top w:val="none" w:sz="0" w:space="0" w:color="auto"/>
                <w:left w:val="none" w:sz="0" w:space="0" w:color="auto"/>
                <w:bottom w:val="none" w:sz="0" w:space="0" w:color="auto"/>
                <w:right w:val="none" w:sz="0" w:space="0" w:color="auto"/>
              </w:divBdr>
            </w:div>
            <w:div w:id="691303757">
              <w:marLeft w:val="0"/>
              <w:marRight w:val="0"/>
              <w:marTop w:val="0"/>
              <w:marBottom w:val="240"/>
              <w:divBdr>
                <w:top w:val="none" w:sz="0" w:space="0" w:color="auto"/>
                <w:left w:val="none" w:sz="0" w:space="0" w:color="auto"/>
                <w:bottom w:val="none" w:sz="0" w:space="0" w:color="auto"/>
                <w:right w:val="none" w:sz="0" w:space="0" w:color="auto"/>
              </w:divBdr>
            </w:div>
            <w:div w:id="984358943">
              <w:marLeft w:val="-120"/>
              <w:marRight w:val="-120"/>
              <w:marTop w:val="0"/>
              <w:marBottom w:val="240"/>
              <w:divBdr>
                <w:top w:val="none" w:sz="0" w:space="0" w:color="auto"/>
                <w:left w:val="none" w:sz="0" w:space="0" w:color="auto"/>
                <w:bottom w:val="none" w:sz="0" w:space="0" w:color="auto"/>
                <w:right w:val="none" w:sz="0" w:space="0" w:color="auto"/>
              </w:divBdr>
              <w:divsChild>
                <w:div w:id="830632610">
                  <w:marLeft w:val="0"/>
                  <w:marRight w:val="0"/>
                  <w:marTop w:val="0"/>
                  <w:marBottom w:val="0"/>
                  <w:divBdr>
                    <w:top w:val="none" w:sz="0" w:space="0" w:color="auto"/>
                    <w:left w:val="none" w:sz="0" w:space="0" w:color="auto"/>
                    <w:bottom w:val="none" w:sz="0" w:space="0" w:color="auto"/>
                    <w:right w:val="none" w:sz="0" w:space="0" w:color="auto"/>
                  </w:divBdr>
                  <w:divsChild>
                    <w:div w:id="1032807986">
                      <w:marLeft w:val="0"/>
                      <w:marRight w:val="0"/>
                      <w:marTop w:val="0"/>
                      <w:marBottom w:val="0"/>
                      <w:divBdr>
                        <w:top w:val="none" w:sz="0" w:space="0" w:color="auto"/>
                        <w:left w:val="none" w:sz="0" w:space="0" w:color="auto"/>
                        <w:bottom w:val="none" w:sz="0" w:space="0" w:color="auto"/>
                        <w:right w:val="none" w:sz="0" w:space="0" w:color="auto"/>
                      </w:divBdr>
                    </w:div>
                  </w:divsChild>
                </w:div>
                <w:div w:id="1285381388">
                  <w:marLeft w:val="0"/>
                  <w:marRight w:val="0"/>
                  <w:marTop w:val="0"/>
                  <w:marBottom w:val="0"/>
                  <w:divBdr>
                    <w:top w:val="none" w:sz="0" w:space="0" w:color="auto"/>
                    <w:left w:val="none" w:sz="0" w:space="0" w:color="auto"/>
                    <w:bottom w:val="none" w:sz="0" w:space="0" w:color="auto"/>
                    <w:right w:val="none" w:sz="0" w:space="0" w:color="auto"/>
                  </w:divBdr>
                  <w:divsChild>
                    <w:div w:id="16268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5835">
              <w:marLeft w:val="0"/>
              <w:marRight w:val="0"/>
              <w:marTop w:val="0"/>
              <w:marBottom w:val="240"/>
              <w:divBdr>
                <w:top w:val="none" w:sz="0" w:space="0" w:color="auto"/>
                <w:left w:val="none" w:sz="0" w:space="0" w:color="auto"/>
                <w:bottom w:val="none" w:sz="0" w:space="0" w:color="auto"/>
                <w:right w:val="none" w:sz="0" w:space="0" w:color="auto"/>
              </w:divBdr>
            </w:div>
            <w:div w:id="518664635">
              <w:marLeft w:val="0"/>
              <w:marRight w:val="0"/>
              <w:marTop w:val="0"/>
              <w:marBottom w:val="240"/>
              <w:divBdr>
                <w:top w:val="none" w:sz="0" w:space="0" w:color="auto"/>
                <w:left w:val="none" w:sz="0" w:space="0" w:color="auto"/>
                <w:bottom w:val="none" w:sz="0" w:space="0" w:color="auto"/>
                <w:right w:val="none" w:sz="0" w:space="0" w:color="auto"/>
              </w:divBdr>
            </w:div>
            <w:div w:id="1066152513">
              <w:marLeft w:val="0"/>
              <w:marRight w:val="0"/>
              <w:marTop w:val="0"/>
              <w:marBottom w:val="240"/>
              <w:divBdr>
                <w:top w:val="none" w:sz="0" w:space="0" w:color="auto"/>
                <w:left w:val="none" w:sz="0" w:space="0" w:color="auto"/>
                <w:bottom w:val="none" w:sz="0" w:space="0" w:color="auto"/>
                <w:right w:val="none" w:sz="0" w:space="0" w:color="auto"/>
              </w:divBdr>
              <w:divsChild>
                <w:div w:id="18457085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77421732">
      <w:bodyDiv w:val="1"/>
      <w:marLeft w:val="0"/>
      <w:marRight w:val="0"/>
      <w:marTop w:val="0"/>
      <w:marBottom w:val="0"/>
      <w:divBdr>
        <w:top w:val="none" w:sz="0" w:space="0" w:color="auto"/>
        <w:left w:val="none" w:sz="0" w:space="0" w:color="auto"/>
        <w:bottom w:val="none" w:sz="0" w:space="0" w:color="auto"/>
        <w:right w:val="none" w:sz="0" w:space="0" w:color="auto"/>
      </w:divBdr>
      <w:divsChild>
        <w:div w:id="1028338685">
          <w:marLeft w:val="0"/>
          <w:marRight w:val="0"/>
          <w:marTop w:val="0"/>
          <w:marBottom w:val="750"/>
          <w:divBdr>
            <w:top w:val="none" w:sz="0" w:space="0" w:color="auto"/>
            <w:left w:val="none" w:sz="0" w:space="0" w:color="auto"/>
            <w:bottom w:val="none" w:sz="0" w:space="0" w:color="auto"/>
            <w:right w:val="none" w:sz="0" w:space="0" w:color="auto"/>
          </w:divBdr>
          <w:divsChild>
            <w:div w:id="850222328">
              <w:marLeft w:val="0"/>
              <w:marRight w:val="0"/>
              <w:marTop w:val="0"/>
              <w:marBottom w:val="0"/>
              <w:divBdr>
                <w:top w:val="none" w:sz="0" w:space="0" w:color="auto"/>
                <w:left w:val="none" w:sz="0" w:space="0" w:color="auto"/>
                <w:bottom w:val="none" w:sz="0" w:space="0" w:color="auto"/>
                <w:right w:val="none" w:sz="0" w:space="0" w:color="auto"/>
              </w:divBdr>
            </w:div>
            <w:div w:id="898904983">
              <w:marLeft w:val="0"/>
              <w:marRight w:val="0"/>
              <w:marTop w:val="0"/>
              <w:marBottom w:val="0"/>
              <w:divBdr>
                <w:top w:val="none" w:sz="0" w:space="0" w:color="auto"/>
                <w:left w:val="none" w:sz="0" w:space="0" w:color="auto"/>
                <w:bottom w:val="none" w:sz="0" w:space="0" w:color="auto"/>
                <w:right w:val="none" w:sz="0" w:space="0" w:color="auto"/>
              </w:divBdr>
            </w:div>
          </w:divsChild>
        </w:div>
        <w:div w:id="382557564">
          <w:marLeft w:val="0"/>
          <w:marRight w:val="0"/>
          <w:marTop w:val="0"/>
          <w:marBottom w:val="0"/>
          <w:divBdr>
            <w:top w:val="none" w:sz="0" w:space="0" w:color="auto"/>
            <w:left w:val="none" w:sz="0" w:space="0" w:color="auto"/>
            <w:bottom w:val="none" w:sz="0" w:space="0" w:color="auto"/>
            <w:right w:val="none" w:sz="0" w:space="0" w:color="auto"/>
          </w:divBdr>
          <w:divsChild>
            <w:div w:id="613024234">
              <w:marLeft w:val="-225"/>
              <w:marRight w:val="-225"/>
              <w:marTop w:val="0"/>
              <w:marBottom w:val="0"/>
              <w:divBdr>
                <w:top w:val="none" w:sz="0" w:space="0" w:color="auto"/>
                <w:left w:val="none" w:sz="0" w:space="0" w:color="auto"/>
                <w:bottom w:val="none" w:sz="0" w:space="0" w:color="auto"/>
                <w:right w:val="none" w:sz="0" w:space="0" w:color="auto"/>
              </w:divBdr>
              <w:divsChild>
                <w:div w:id="2002194816">
                  <w:marLeft w:val="0"/>
                  <w:marRight w:val="0"/>
                  <w:marTop w:val="150"/>
                  <w:marBottom w:val="0"/>
                  <w:divBdr>
                    <w:top w:val="none" w:sz="0" w:space="0" w:color="auto"/>
                    <w:left w:val="none" w:sz="0" w:space="0" w:color="auto"/>
                    <w:bottom w:val="none" w:sz="0" w:space="0" w:color="auto"/>
                    <w:right w:val="none" w:sz="0" w:space="0" w:color="auto"/>
                  </w:divBdr>
                </w:div>
                <w:div w:id="1682973956">
                  <w:marLeft w:val="0"/>
                  <w:marRight w:val="0"/>
                  <w:marTop w:val="150"/>
                  <w:marBottom w:val="0"/>
                  <w:divBdr>
                    <w:top w:val="none" w:sz="0" w:space="0" w:color="auto"/>
                    <w:left w:val="none" w:sz="0" w:space="0" w:color="auto"/>
                    <w:bottom w:val="none" w:sz="0" w:space="0" w:color="auto"/>
                    <w:right w:val="none" w:sz="0" w:space="0" w:color="auto"/>
                  </w:divBdr>
                </w:div>
              </w:divsChild>
            </w:div>
            <w:div w:id="1834105007">
              <w:marLeft w:val="0"/>
              <w:marRight w:val="0"/>
              <w:marTop w:val="0"/>
              <w:marBottom w:val="0"/>
              <w:divBdr>
                <w:top w:val="none" w:sz="0" w:space="0" w:color="auto"/>
                <w:left w:val="none" w:sz="0" w:space="0" w:color="auto"/>
                <w:bottom w:val="none" w:sz="0" w:space="0" w:color="auto"/>
                <w:right w:val="none" w:sz="0" w:space="0" w:color="auto"/>
              </w:divBdr>
            </w:div>
            <w:div w:id="9263048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52028138">
      <w:bodyDiv w:val="1"/>
      <w:marLeft w:val="0"/>
      <w:marRight w:val="0"/>
      <w:marTop w:val="0"/>
      <w:marBottom w:val="0"/>
      <w:divBdr>
        <w:top w:val="none" w:sz="0" w:space="0" w:color="auto"/>
        <w:left w:val="none" w:sz="0" w:space="0" w:color="auto"/>
        <w:bottom w:val="none" w:sz="0" w:space="0" w:color="auto"/>
        <w:right w:val="none" w:sz="0" w:space="0" w:color="auto"/>
      </w:divBdr>
      <w:divsChild>
        <w:div w:id="943659674">
          <w:marLeft w:val="0"/>
          <w:marRight w:val="0"/>
          <w:marTop w:val="0"/>
          <w:marBottom w:val="750"/>
          <w:divBdr>
            <w:top w:val="none" w:sz="0" w:space="0" w:color="auto"/>
            <w:left w:val="none" w:sz="0" w:space="0" w:color="auto"/>
            <w:bottom w:val="none" w:sz="0" w:space="0" w:color="auto"/>
            <w:right w:val="none" w:sz="0" w:space="0" w:color="auto"/>
          </w:divBdr>
          <w:divsChild>
            <w:div w:id="51542256">
              <w:marLeft w:val="0"/>
              <w:marRight w:val="0"/>
              <w:marTop w:val="0"/>
              <w:marBottom w:val="0"/>
              <w:divBdr>
                <w:top w:val="none" w:sz="0" w:space="0" w:color="auto"/>
                <w:left w:val="none" w:sz="0" w:space="0" w:color="auto"/>
                <w:bottom w:val="none" w:sz="0" w:space="0" w:color="auto"/>
                <w:right w:val="none" w:sz="0" w:space="0" w:color="auto"/>
              </w:divBdr>
            </w:div>
            <w:div w:id="1303195216">
              <w:marLeft w:val="0"/>
              <w:marRight w:val="0"/>
              <w:marTop w:val="0"/>
              <w:marBottom w:val="0"/>
              <w:divBdr>
                <w:top w:val="none" w:sz="0" w:space="0" w:color="auto"/>
                <w:left w:val="none" w:sz="0" w:space="0" w:color="auto"/>
                <w:bottom w:val="none" w:sz="0" w:space="0" w:color="auto"/>
                <w:right w:val="none" w:sz="0" w:space="0" w:color="auto"/>
              </w:divBdr>
            </w:div>
          </w:divsChild>
        </w:div>
        <w:div w:id="707803817">
          <w:marLeft w:val="0"/>
          <w:marRight w:val="0"/>
          <w:marTop w:val="0"/>
          <w:marBottom w:val="0"/>
          <w:divBdr>
            <w:top w:val="none" w:sz="0" w:space="0" w:color="auto"/>
            <w:left w:val="none" w:sz="0" w:space="0" w:color="auto"/>
            <w:bottom w:val="none" w:sz="0" w:space="0" w:color="auto"/>
            <w:right w:val="none" w:sz="0" w:space="0" w:color="auto"/>
          </w:divBdr>
          <w:divsChild>
            <w:div w:id="969213585">
              <w:marLeft w:val="-225"/>
              <w:marRight w:val="-225"/>
              <w:marTop w:val="0"/>
              <w:marBottom w:val="0"/>
              <w:divBdr>
                <w:top w:val="none" w:sz="0" w:space="0" w:color="auto"/>
                <w:left w:val="none" w:sz="0" w:space="0" w:color="auto"/>
                <w:bottom w:val="none" w:sz="0" w:space="0" w:color="auto"/>
                <w:right w:val="none" w:sz="0" w:space="0" w:color="auto"/>
              </w:divBdr>
              <w:divsChild>
                <w:div w:id="650254659">
                  <w:marLeft w:val="0"/>
                  <w:marRight w:val="0"/>
                  <w:marTop w:val="150"/>
                  <w:marBottom w:val="0"/>
                  <w:divBdr>
                    <w:top w:val="none" w:sz="0" w:space="0" w:color="auto"/>
                    <w:left w:val="none" w:sz="0" w:space="0" w:color="auto"/>
                    <w:bottom w:val="none" w:sz="0" w:space="0" w:color="auto"/>
                    <w:right w:val="none" w:sz="0" w:space="0" w:color="auto"/>
                  </w:divBdr>
                </w:div>
                <w:div w:id="1016271965">
                  <w:marLeft w:val="0"/>
                  <w:marRight w:val="0"/>
                  <w:marTop w:val="150"/>
                  <w:marBottom w:val="0"/>
                  <w:divBdr>
                    <w:top w:val="none" w:sz="0" w:space="0" w:color="auto"/>
                    <w:left w:val="none" w:sz="0" w:space="0" w:color="auto"/>
                    <w:bottom w:val="none" w:sz="0" w:space="0" w:color="auto"/>
                    <w:right w:val="none" w:sz="0" w:space="0" w:color="auto"/>
                  </w:divBdr>
                </w:div>
              </w:divsChild>
            </w:div>
            <w:div w:id="74398823">
              <w:marLeft w:val="0"/>
              <w:marRight w:val="0"/>
              <w:marTop w:val="0"/>
              <w:marBottom w:val="0"/>
              <w:divBdr>
                <w:top w:val="none" w:sz="0" w:space="0" w:color="auto"/>
                <w:left w:val="none" w:sz="0" w:space="0" w:color="auto"/>
                <w:bottom w:val="none" w:sz="0" w:space="0" w:color="auto"/>
                <w:right w:val="none" w:sz="0" w:space="0" w:color="auto"/>
              </w:divBdr>
            </w:div>
            <w:div w:id="17143786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ccanarias.org/web/images/itc/TR-CON-Relacin_de_convenios_2017.ods" TargetMode="External"/><Relationship Id="rId13" Type="http://schemas.openxmlformats.org/officeDocument/2006/relationships/hyperlink" Target="https://www.itccanarias.org/web/images/itc/TR-CON-Relacin_de_convenios_2020_1.xlsx" TargetMode="External"/><Relationship Id="rId18" Type="http://schemas.openxmlformats.org/officeDocument/2006/relationships/hyperlink" Target="https://www.itccanarias.org/web/images/itc/TR-CON-Encomiendas_2018.xlsx" TargetMode="External"/><Relationship Id="rId26" Type="http://schemas.openxmlformats.org/officeDocument/2006/relationships/hyperlink" Target="https://www.itccanarias.org/web/images/itc/TR-CON-Orden_202-2019_Tarifas_2020_prorrogada_2021.odt" TargetMode="External"/><Relationship Id="rId3" Type="http://schemas.openxmlformats.org/officeDocument/2006/relationships/settings" Target="settings.xml"/><Relationship Id="rId21" Type="http://schemas.openxmlformats.org/officeDocument/2006/relationships/hyperlink" Target="https://www.itccanarias.org/web/images/itc/TR-CON-Encomiendas_2019.ods" TargetMode="External"/><Relationship Id="rId7" Type="http://schemas.openxmlformats.org/officeDocument/2006/relationships/hyperlink" Target="https://www.itccanarias.org/web/images/itc/TR-CON-Relacin_de_convenios_2017.xlsx" TargetMode="External"/><Relationship Id="rId12" Type="http://schemas.openxmlformats.org/officeDocument/2006/relationships/hyperlink" Target="https://www.itccanarias.org/web/images/itc/TR-CON-Relacin_de_convenios_2019.ods" TargetMode="External"/><Relationship Id="rId17" Type="http://schemas.openxmlformats.org/officeDocument/2006/relationships/hyperlink" Target="https://www.itccanarias.org/web/images/itc/TR-CON-Encomiendas_2017.ods" TargetMode="External"/><Relationship Id="rId25" Type="http://schemas.openxmlformats.org/officeDocument/2006/relationships/hyperlink" Target="https://www.itccanarias.org/web/images/itc/TR-CON-Orden_202-2019_Tarifas_2020_prorrogada_2021.docx" TargetMode="External"/><Relationship Id="rId2" Type="http://schemas.openxmlformats.org/officeDocument/2006/relationships/styles" Target="styles.xml"/><Relationship Id="rId16" Type="http://schemas.openxmlformats.org/officeDocument/2006/relationships/hyperlink" Target="https://www.itccanarias.org/web/images/itc/TR-CON-Encomiendas_2017.xlsx" TargetMode="External"/><Relationship Id="rId20" Type="http://schemas.openxmlformats.org/officeDocument/2006/relationships/hyperlink" Target="https://www.itccanarias.org/web/images/itc/TR-CON-Encomiendas_2019.xls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ccanarias.org/web/images/itc/TR-CON-Relacin_de_convenios_2019.xlsx" TargetMode="External"/><Relationship Id="rId24" Type="http://schemas.openxmlformats.org/officeDocument/2006/relationships/hyperlink" Target="https://www.itccanarias.org/web/images/itc/TR-CON-Orden_202-2019_Tarifas_2020_prorrogada_2021.pdf" TargetMode="External"/><Relationship Id="rId5" Type="http://schemas.openxmlformats.org/officeDocument/2006/relationships/footnotes" Target="footnotes.xml"/><Relationship Id="rId15" Type="http://schemas.openxmlformats.org/officeDocument/2006/relationships/hyperlink" Target="https://www.itccanarias.org/web/es/perfil-del-contratante?view=article&amp;layout=edit&amp;id=1379" TargetMode="External"/><Relationship Id="rId23" Type="http://schemas.openxmlformats.org/officeDocument/2006/relationships/hyperlink" Target="https://www.itccanarias.org/web/images/itc/TR-CON-Encomiendas_2020.ods" TargetMode="External"/><Relationship Id="rId28" Type="http://schemas.openxmlformats.org/officeDocument/2006/relationships/fontTable" Target="fontTable.xml"/><Relationship Id="rId10" Type="http://schemas.openxmlformats.org/officeDocument/2006/relationships/hyperlink" Target="https://www.itccanarias.org/web/images/itc/TR-CON-Relacin_de_convenios_2018.ods" TargetMode="External"/><Relationship Id="rId19" Type="http://schemas.openxmlformats.org/officeDocument/2006/relationships/hyperlink" Target="https://www.itccanarias.org/web/images/itc/TR-CON-Encomiendas_2018.ods" TargetMode="External"/><Relationship Id="rId4" Type="http://schemas.openxmlformats.org/officeDocument/2006/relationships/webSettings" Target="webSettings.xml"/><Relationship Id="rId9" Type="http://schemas.openxmlformats.org/officeDocument/2006/relationships/hyperlink" Target="https://www.itccanarias.org/web/images/itc/TR-CON-Relacin_de_convenios_2018.xlsx" TargetMode="External"/><Relationship Id="rId14" Type="http://schemas.openxmlformats.org/officeDocument/2006/relationships/hyperlink" Target="https://www.itccanarias.org/web/images/itc/TR-CON-Relacin_de_convenios_2020_1.ods" TargetMode="External"/><Relationship Id="rId22" Type="http://schemas.openxmlformats.org/officeDocument/2006/relationships/hyperlink" Target="https://www.itccanarias.org/web/images/itc/TR-CON-Encomiendas_2020.xlsx"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itccanarias.org/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971</Words>
  <Characters>5341</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Ramón García</cp:lastModifiedBy>
  <cp:revision>7</cp:revision>
  <dcterms:created xsi:type="dcterms:W3CDTF">2021-10-29T13:01:00Z</dcterms:created>
  <dcterms:modified xsi:type="dcterms:W3CDTF">2021-11-05T13:18:00Z</dcterms:modified>
</cp:coreProperties>
</file>