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131" w14:textId="77777777" w:rsidR="00E538D7" w:rsidRDefault="00E538D7">
      <w:pPr>
        <w:pStyle w:val="LO-Normal"/>
        <w:rPr>
          <w:rFonts w:ascii="Calibri" w:hAnsi="Calibri" w:cs="Calibri"/>
          <w:b/>
        </w:rPr>
      </w:pPr>
    </w:p>
    <w:p w14:paraId="6755E132" w14:textId="77777777" w:rsidR="00E538D7" w:rsidRDefault="00E538D7">
      <w:pPr>
        <w:pStyle w:val="LO-Normal"/>
        <w:jc w:val="center"/>
      </w:pPr>
    </w:p>
    <w:p w14:paraId="6755E133" w14:textId="77777777" w:rsidR="00E538D7" w:rsidRDefault="00E538D7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6755E134" w14:textId="77777777" w:rsidR="00E538D7" w:rsidRDefault="00742F3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6755E135" w14:textId="77777777" w:rsidR="00E538D7" w:rsidRDefault="00E538D7">
      <w:pPr>
        <w:pStyle w:val="LO-Normal"/>
        <w:rPr>
          <w:rFonts w:ascii="Calibri" w:hAnsi="Calibri" w:cs="Calibri"/>
          <w:b/>
        </w:rPr>
      </w:pPr>
    </w:p>
    <w:p w14:paraId="6755E136" w14:textId="77777777" w:rsidR="00E538D7" w:rsidRDefault="00E538D7">
      <w:pPr>
        <w:pStyle w:val="LO-Normal"/>
        <w:rPr>
          <w:rFonts w:ascii="Calibri" w:hAnsi="Calibri" w:cs="Calibri"/>
          <w:b/>
        </w:rPr>
      </w:pPr>
    </w:p>
    <w:p w14:paraId="6755E137" w14:textId="77777777" w:rsidR="00E538D7" w:rsidRDefault="00742F3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6755E138" w14:textId="77777777" w:rsidR="00E538D7" w:rsidRDefault="00E538D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6755E139" w14:textId="77777777" w:rsidR="00E538D7" w:rsidRDefault="00E538D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6755E13A" w14:textId="77777777" w:rsidR="00E538D7" w:rsidRDefault="00E538D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6755E13B" w14:textId="77777777" w:rsidR="00E538D7" w:rsidRDefault="00E538D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9"/>
        <w:gridCol w:w="7779"/>
      </w:tblGrid>
      <w:tr w:rsidR="00E538D7" w14:paraId="6755E13E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6755E13C" w14:textId="77777777" w:rsidR="00E538D7" w:rsidRDefault="00742F37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6755E13D" w14:textId="77777777" w:rsidR="00E538D7" w:rsidRDefault="00742F3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(RGPD) y Ley Orgánica 3/2018, de 5 de diciembre, de Protección de Datos Personales y Garantía de los Derechos Digitales.</w:t>
            </w:r>
          </w:p>
        </w:tc>
      </w:tr>
      <w:tr w:rsidR="00E538D7" w14:paraId="6755E141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6755E13F" w14:textId="77777777" w:rsidR="00E538D7" w:rsidRDefault="00742F37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6755E140" w14:textId="77777777" w:rsidR="00E538D7" w:rsidRDefault="00742F3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E538D7" w14:paraId="6755E144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6755E142" w14:textId="77777777" w:rsidR="00E538D7" w:rsidRDefault="00742F37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6755E143" w14:textId="77777777" w:rsidR="00E538D7" w:rsidRDefault="00742F3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PRODAT© 2018  SIGPAC®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6755E145" w14:textId="77777777" w:rsidR="00E538D7" w:rsidRDefault="00742F37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6755E3B1" w14:textId="77777777" w:rsidR="00E538D7" w:rsidRDefault="00742F37">
      <w:pPr>
        <w:pStyle w:val="Ttulo3"/>
        <w:tabs>
          <w:tab w:val="left" w:pos="0"/>
        </w:tabs>
        <w:jc w:val="center"/>
      </w:pPr>
      <w:bookmarkStart w:id="0" w:name="__RefHeading___Toc12845_32731154735f158b"/>
      <w:bookmarkStart w:id="1" w:name="__RefHeading___Toc2382_22567890085f158bc"/>
      <w:bookmarkEnd w:id="0"/>
      <w:bookmarkEnd w:id="1"/>
      <w:r>
        <w:rPr>
          <w:rFonts w:ascii="Calibri" w:hAnsi="Calibri" w:cs="Calibri"/>
          <w:b/>
          <w:sz w:val="22"/>
          <w:szCs w:val="22"/>
        </w:rPr>
        <w:lastRenderedPageBreak/>
        <w:t>OPOSICIÓN</w:t>
      </w:r>
    </w:p>
    <w:p w14:paraId="6755E3B2" w14:textId="77777777" w:rsidR="00E538D7" w:rsidRDefault="00E538D7">
      <w:pPr>
        <w:pStyle w:val="LO-Normal"/>
        <w:rPr>
          <w:rFonts w:ascii="Calibri" w:hAnsi="Calibri" w:cs="Calibri"/>
          <w:b/>
          <w:sz w:val="22"/>
          <w:szCs w:val="22"/>
        </w:rPr>
      </w:pPr>
    </w:p>
    <w:p w14:paraId="6755E3B3" w14:textId="77777777" w:rsidR="00E538D7" w:rsidRDefault="00742F37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IDENTIFICACIÓN DEL RESPONSABLE DEL TRATAMIENTO</w:t>
      </w:r>
    </w:p>
    <w:p w14:paraId="6755E3B4" w14:textId="77777777" w:rsidR="00E538D7" w:rsidRDefault="00E538D7">
      <w:pPr>
        <w:pStyle w:val="LO-Normal"/>
        <w:rPr>
          <w:rFonts w:ascii="Calibri" w:hAnsi="Calibri" w:cs="Calibri"/>
          <w:sz w:val="20"/>
          <w:szCs w:val="20"/>
        </w:rPr>
      </w:pPr>
    </w:p>
    <w:p w14:paraId="6755E3B5" w14:textId="77777777" w:rsidR="00E538D7" w:rsidRDefault="00742F37">
      <w:pPr>
        <w:pStyle w:val="LO-Normal"/>
        <w:numPr>
          <w:ilvl w:val="0"/>
          <w:numId w:val="9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6755E3B6" w14:textId="77777777" w:rsidR="00E538D7" w:rsidRDefault="00742F37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6755E3B7" w14:textId="77777777" w:rsidR="00E538D7" w:rsidRDefault="00742F37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nº 3; 35003 Las Palmas de G.C..  </w:t>
      </w:r>
    </w:p>
    <w:p w14:paraId="6755E3B8" w14:textId="77777777" w:rsidR="00E538D7" w:rsidRDefault="00E538D7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6755E3B9" w14:textId="77777777" w:rsidR="00E538D7" w:rsidRDefault="00742F37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6755E3BA" w14:textId="77777777" w:rsidR="00E538D7" w:rsidRDefault="00E538D7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6755E3BB" w14:textId="77777777" w:rsidR="00E538D7" w:rsidRDefault="00742F37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>D./ Dª. ____________________________________, mayor de edad, con domicilio en ___________________________________________________________________________________, localidad ___________</w:t>
      </w:r>
      <w:r>
        <w:rPr>
          <w:rFonts w:ascii="Calibri" w:hAnsi="Calibri" w:cs="Calibri"/>
          <w:sz w:val="20"/>
          <w:szCs w:val="20"/>
        </w:rPr>
        <w:t>_____________________ código postal _____________________, provincia ____________________________________,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____________________________________________________, mayor de edad, con DNI número ______________________________________, en nombre y representación de D./ Dª. ____________________</w:t>
      </w:r>
      <w:r>
        <w:rPr>
          <w:rFonts w:ascii="Calibri" w:hAnsi="Calibri" w:cs="Calibri"/>
          <w:sz w:val="20"/>
          <w:szCs w:val="20"/>
        </w:rPr>
        <w:t>________________, con DNI* número ____________________, acompañando copia del poder de representación.</w:t>
      </w:r>
    </w:p>
    <w:p w14:paraId="6755E3BC" w14:textId="77777777" w:rsidR="00E538D7" w:rsidRDefault="00E538D7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755E3BD" w14:textId="77777777" w:rsidR="00E538D7" w:rsidRDefault="00742F37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>Por medio del presente escrito ejerzo el derecho de oposición, de conformidad con lo previsto el artículo 21 del Reglamento 2016/679 del Parlamento Euro</w:t>
      </w:r>
      <w:r>
        <w:rPr>
          <w:rFonts w:ascii="Calibri" w:hAnsi="Calibri" w:cs="Calibri"/>
          <w:sz w:val="20"/>
          <w:szCs w:val="20"/>
        </w:rPr>
        <w:t>peo y del Consejo, de 27 de abril de 2016 (en adelante, “</w:t>
      </w:r>
      <w:r>
        <w:rPr>
          <w:rFonts w:ascii="Calibri" w:hAnsi="Calibri" w:cs="Calibri"/>
          <w:b/>
          <w:sz w:val="20"/>
          <w:szCs w:val="20"/>
        </w:rPr>
        <w:t>RGPD</w:t>
      </w:r>
      <w:r>
        <w:rPr>
          <w:rFonts w:ascii="Calibri" w:hAnsi="Calibri" w:cs="Calibri"/>
          <w:sz w:val="20"/>
          <w:szCs w:val="20"/>
        </w:rPr>
        <w:t>”) y del artículo 18 de la Ley Orgánica 3/2018, de 5 de diciembre, de Protección de Datos Personales y Garantía de los Derechos Digitales, y en consecuencia,</w:t>
      </w:r>
    </w:p>
    <w:p w14:paraId="6755E3BE" w14:textId="77777777" w:rsidR="00E538D7" w:rsidRDefault="00E538D7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6755E3BF" w14:textId="77777777" w:rsidR="00E538D7" w:rsidRDefault="00742F37">
      <w:pPr>
        <w:pStyle w:val="LO-Normal"/>
        <w:autoSpaceDE w:val="0"/>
        <w:jc w:val="center"/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6755E3C0" w14:textId="77777777" w:rsidR="00E538D7" w:rsidRDefault="00E538D7">
      <w:pPr>
        <w:pStyle w:val="LO-Normal"/>
        <w:tabs>
          <w:tab w:val="left" w:pos="1276"/>
        </w:tabs>
        <w:jc w:val="both"/>
        <w:rPr>
          <w:rFonts w:ascii="Calibri" w:hAnsi="Calibri" w:cs="Calibri"/>
          <w:sz w:val="20"/>
          <w:szCs w:val="20"/>
        </w:rPr>
      </w:pPr>
    </w:p>
    <w:p w14:paraId="6755E3C1" w14:textId="77777777" w:rsidR="00E538D7" w:rsidRDefault="00742F37">
      <w:pPr>
        <w:pStyle w:val="LO-Normal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Que, en el plazo máximo de</w:t>
      </w:r>
      <w:r>
        <w:rPr>
          <w:rFonts w:ascii="Calibri" w:hAnsi="Calibri" w:cs="Calibri"/>
          <w:sz w:val="20"/>
          <w:szCs w:val="20"/>
        </w:rPr>
        <w:t xml:space="preserve"> un mes a contar desde la recepción de esta solicitud, se cese en el tratamiento o la oposición que se lleve el mismo en base al siguiente/s motivo/s:</w:t>
      </w:r>
    </w:p>
    <w:p w14:paraId="6755E3C2" w14:textId="77777777" w:rsidR="00E538D7" w:rsidRDefault="00742F37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6755E3C3" w14:textId="77777777" w:rsidR="00E538D7" w:rsidRDefault="00E538D7">
      <w:pPr>
        <w:pStyle w:val="LO-Normal"/>
        <w:tabs>
          <w:tab w:val="left" w:pos="1276"/>
        </w:tabs>
        <w:jc w:val="both"/>
        <w:rPr>
          <w:rFonts w:ascii="Calibri" w:hAnsi="Calibri" w:cs="Calibri"/>
          <w:sz w:val="20"/>
          <w:szCs w:val="20"/>
        </w:rPr>
      </w:pPr>
    </w:p>
    <w:p w14:paraId="6755E3C4" w14:textId="77777777" w:rsidR="00E538D7" w:rsidRDefault="00742F37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Que en caso de el Responsable del </w:t>
      </w:r>
      <w:r>
        <w:rPr>
          <w:rFonts w:ascii="Calibri" w:hAnsi="Calibri" w:cs="Calibri"/>
          <w:sz w:val="20"/>
          <w:szCs w:val="20"/>
        </w:rPr>
        <w:t>Tratamiento, acuerde que no procede practicar total o parcialmente las oposiciones propuestas, se me comunique motivadamente, en el plazo máximo de un mes a contar desde la recepción de esta solicitud a fin de, en su caso, solicitar la tutela de la Agencia</w:t>
      </w:r>
      <w:r>
        <w:rPr>
          <w:rFonts w:ascii="Calibri" w:hAnsi="Calibri" w:cs="Calibri"/>
          <w:sz w:val="20"/>
          <w:szCs w:val="20"/>
        </w:rPr>
        <w:t xml:space="preserve"> Española de Protección de Datos, al amparo de la legislación vigente en materia de protección de datos.</w:t>
      </w:r>
    </w:p>
    <w:p w14:paraId="6755E3C5" w14:textId="77777777" w:rsidR="00E538D7" w:rsidRDefault="00E538D7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6755E3C6" w14:textId="77777777" w:rsidR="00E538D7" w:rsidRDefault="00742F37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 ____________________, a _______ de ___________________ de ______</w:t>
      </w:r>
    </w:p>
    <w:p w14:paraId="6755E3C7" w14:textId="77777777" w:rsidR="00E538D7" w:rsidRDefault="00E538D7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755E3C8" w14:textId="77777777" w:rsidR="00E538D7" w:rsidRDefault="00742F37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6755E3C9" w14:textId="77777777" w:rsidR="00E538D7" w:rsidRDefault="00E538D7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6755E3CA" w14:textId="77777777" w:rsidR="00E538D7" w:rsidRDefault="00E538D7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6755E3CB" w14:textId="74863896" w:rsidR="00E538D7" w:rsidRDefault="00E538D7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sectPr w:rsidR="00E538D7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E3F3" w14:textId="77777777" w:rsidR="00000000" w:rsidRDefault="00742F37">
      <w:r>
        <w:separator/>
      </w:r>
    </w:p>
  </w:endnote>
  <w:endnote w:type="continuationSeparator" w:id="0">
    <w:p w14:paraId="6755E3F5" w14:textId="77777777" w:rsidR="00000000" w:rsidRDefault="0074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E3EF" w14:textId="77777777" w:rsidR="00E538D7" w:rsidRDefault="00742F37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6755E3F0" w14:textId="77777777" w:rsidR="00E538D7" w:rsidRDefault="00E538D7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E3E7" w14:textId="77777777" w:rsidR="00E538D7" w:rsidRDefault="00742F37">
      <w:r>
        <w:separator/>
      </w:r>
    </w:p>
  </w:footnote>
  <w:footnote w:type="continuationSeparator" w:id="0">
    <w:p w14:paraId="6755E3E8" w14:textId="77777777" w:rsidR="00E538D7" w:rsidRDefault="00742F37">
      <w:r>
        <w:continuationSeparator/>
      </w:r>
    </w:p>
  </w:footnote>
  <w:footnote w:id="1">
    <w:p w14:paraId="6755E3FA" w14:textId="77777777" w:rsidR="00E538D7" w:rsidRDefault="00742F37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>Deberá adjuntar fotocopia del DNI u otro documento acreditativo del solicitante y, en su caso, 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E3E9" w14:textId="77777777" w:rsidR="00E538D7" w:rsidRDefault="00E538D7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7650"/>
      <w:gridCol w:w="1640"/>
    </w:tblGrid>
    <w:tr w:rsidR="00E538D7" w14:paraId="6755E3ED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6755E3EA" w14:textId="77777777" w:rsidR="00E538D7" w:rsidRDefault="00E538D7">
          <w:pPr>
            <w:pStyle w:val="Ttulo"/>
            <w:tabs>
              <w:tab w:val="right" w:pos="8504"/>
            </w:tabs>
            <w:jc w:val="center"/>
          </w:pPr>
        </w:p>
        <w:p w14:paraId="6755E3EB" w14:textId="77777777" w:rsidR="00E538D7" w:rsidRDefault="00742F37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6755E3EC" w14:textId="77777777" w:rsidR="00E538D7" w:rsidRDefault="00742F37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6755E3F1" wp14:editId="6755E3F2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55E3EE" w14:textId="77777777" w:rsidR="00E538D7" w:rsidRDefault="00E538D7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D44DA"/>
    <w:multiLevelType w:val="multilevel"/>
    <w:tmpl w:val="495EF71C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F27ADD"/>
    <w:multiLevelType w:val="multilevel"/>
    <w:tmpl w:val="6DF01792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D46BD"/>
    <w:multiLevelType w:val="multilevel"/>
    <w:tmpl w:val="E30277AE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9A1B79"/>
    <w:multiLevelType w:val="multilevel"/>
    <w:tmpl w:val="6A76C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7B5F"/>
    <w:multiLevelType w:val="multilevel"/>
    <w:tmpl w:val="79B21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993232A"/>
    <w:multiLevelType w:val="multilevel"/>
    <w:tmpl w:val="66FA22AA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5712D5"/>
    <w:multiLevelType w:val="multilevel"/>
    <w:tmpl w:val="30B84FD2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0C4D07"/>
    <w:multiLevelType w:val="multilevel"/>
    <w:tmpl w:val="939A0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4AC5C84"/>
    <w:multiLevelType w:val="multilevel"/>
    <w:tmpl w:val="DE2CF76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153570"/>
    <w:multiLevelType w:val="multilevel"/>
    <w:tmpl w:val="82B2579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8D7"/>
    <w:rsid w:val="00742F37"/>
    <w:rsid w:val="00E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E131"/>
  <w15:docId w15:val="{48E763B1-F5D0-4D90-ACCE-FD79115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2020-07-27T15:09:00Z</dcterms:modified>
  <dc:language>es-ES</dc:language>
</cp:coreProperties>
</file>